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Product Requirement Document</w:t>
      </w:r>
    </w:p>
    <w:p>
      <w:pPr>
        <w:pStyle w:val="Subtitle"/>
      </w:pPr>
      <w:r>
        <w:rPr>
          <w:rFonts w:ascii="Aptos" w:hAnsi="Aptos"/>
          <w:color w:val="4D4D4D"/>
          <w:sz w:val="30"/>
        </w:rPr>
        <w:t>autorag-tuner Python package</w:t>
      </w:r>
    </w:p>
    <w:p>
      <w:r>
        <w:t>Product goals, users, V0.1 scope, user stories, acceptance criteria, constraints, non-goals, and roadmap.</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Product owner, maintainers, early adopters, and contributors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autorag-tuner helps engineers compare and optimize configurations of an existing RAG system without rewriting that system into a prescribed framework. V0.1 delivers a local Python workflow with typed search spaces, random and LLM-guided search, pluggable evaluation, quality-cost-latency objectives, durable SQLite experiments, caching, retries, resumability, and actionable results.</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System Architecture Document for solution shape</w:t>
      </w:r>
    </w:p>
    <w:p>
      <w:pPr>
        <w:pStyle w:val="ListBullet"/>
      </w:pPr>
      <w:r>
        <w:t>API Specification for user contracts</w:t>
      </w:r>
    </w:p>
    <w:p>
      <w:pPr>
        <w:pStyle w:val="ListBullet"/>
      </w:pPr>
      <w:r>
        <w:t>Technical Design Document for implementation</w:t>
      </w:r>
    </w:p>
    <w:p>
      <w:pPr>
        <w:pStyle w:val="ListBullet"/>
      </w:pPr>
      <w:r>
        <w:t>Documentation Index for status and roadmap</w:t>
      </w:r>
    </w:p>
    <w:p>
      <w:pPr>
        <w:pStyle w:val="Heading1"/>
      </w:pPr>
      <w:r>
        <w:t>Product problem</w:t>
      </w:r>
    </w:p>
    <w:p>
      <w:r>
        <w:t>RAG teams often tune chunking, retrieval, reranking, prompts, and models through ad hoc scripts. Results become difficult to reproduce, failures interrupt whole runs, cost estimates are unreliable, and evaluation code becomes coupled to one framework or metric provider. Existing optimization libraries can search parameters but usually do not model RAG outputs, evaluation datasets, provider usage, retrieval metrics, or adapter preparation.</w:t>
      </w:r>
    </w:p>
    <w:p>
      <w:r>
        <w:t>autorag-tuner provides a focused optimization loop around a user-owned RAG pipeline. It standardizes trial lifecycle, measurement, comparison, persistence, and resumption while leaving the RAG implementation under user control.</w:t>
      </w:r>
    </w:p>
    <w:p>
      <w:pPr>
        <w:pStyle w:val="Heading1"/>
      </w:pPr>
      <w:r>
        <w:t>Target users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User</w:t>
            </w:r>
          </w:p>
        </w:tc>
        <w:tc>
          <w:tcPr>
            <w:tcW w:type="dxa" w:w="3331"/>
            <w:shd w:fill="17324D"/>
            <w:tcMar>
              <w:top w:w="115" w:type="dxa"/>
              <w:start w:w="120" w:type="dxa"/>
              <w:bottom w:w="115" w:type="dxa"/>
              <w:end w:w="120" w:type="dxa"/>
            </w:tcMar>
            <w:vAlign w:val="center"/>
          </w:tcPr>
          <w:p>
            <w:r>
              <w:rPr>
                <w:b/>
                <w:color w:val="FFFFFF"/>
                <w:sz w:val="18"/>
              </w:rPr>
              <w:t>Primary need</w:t>
            </w:r>
          </w:p>
        </w:tc>
        <w:tc>
          <w:tcPr>
            <w:tcW w:type="dxa" w:w="3331"/>
            <w:shd w:fill="17324D"/>
            <w:tcMar>
              <w:top w:w="115" w:type="dxa"/>
              <w:start w:w="120" w:type="dxa"/>
              <w:bottom w:w="115" w:type="dxa"/>
              <w:end w:w="120" w:type="dxa"/>
            </w:tcMar>
            <w:vAlign w:val="center"/>
          </w:tcPr>
          <w:p>
            <w:r>
              <w:rPr>
                <w:b/>
                <w:color w:val="FFFFFF"/>
                <w:sz w:val="18"/>
              </w:rPr>
              <w:t>Current friction</w:t>
            </w:r>
          </w:p>
        </w:tc>
      </w:tr>
      <w:tr>
        <w:tc>
          <w:tcPr>
            <w:tcW w:type="dxa" w:w="3331"/>
            <w:tcMar>
              <w:top w:w="100" w:type="dxa"/>
              <w:start w:w="120" w:type="dxa"/>
              <w:bottom w:w="100" w:type="dxa"/>
              <w:end w:w="120" w:type="dxa"/>
            </w:tcMar>
            <w:vAlign w:val="center"/>
          </w:tcPr>
          <w:p>
            <w:pPr>
              <w:spacing w:after="0" w:line="240" w:lineRule="auto"/>
            </w:pPr>
            <w:r>
              <w:rPr>
                <w:sz w:val="17"/>
              </w:rPr>
              <w:t>RAG application engineer</w:t>
            </w:r>
          </w:p>
        </w:tc>
        <w:tc>
          <w:tcPr>
            <w:tcW w:type="dxa" w:w="3331"/>
            <w:tcMar>
              <w:top w:w="100" w:type="dxa"/>
              <w:start w:w="120" w:type="dxa"/>
              <w:bottom w:w="100" w:type="dxa"/>
              <w:end w:w="120" w:type="dxa"/>
            </w:tcMar>
            <w:vAlign w:val="center"/>
          </w:tcPr>
          <w:p>
            <w:pPr>
              <w:spacing w:after="0" w:line="240" w:lineRule="auto"/>
            </w:pPr>
            <w:r>
              <w:rPr>
                <w:sz w:val="17"/>
              </w:rPr>
              <w:t>Improve quality without manual experiment scripts</w:t>
            </w:r>
          </w:p>
        </w:tc>
        <w:tc>
          <w:tcPr>
            <w:tcW w:type="dxa" w:w="3331"/>
            <w:tcMar>
              <w:top w:w="100" w:type="dxa"/>
              <w:start w:w="120" w:type="dxa"/>
              <w:bottom w:w="100" w:type="dxa"/>
              <w:end w:w="120" w:type="dxa"/>
            </w:tcMar>
            <w:vAlign w:val="center"/>
          </w:tcPr>
          <w:p>
            <w:pPr>
              <w:spacing w:after="0" w:line="240" w:lineRule="auto"/>
            </w:pPr>
            <w:r>
              <w:rPr>
                <w:sz w:val="17"/>
              </w:rPr>
              <w:t>Configuration results and usage data are scattered</w:t>
            </w:r>
          </w:p>
        </w:tc>
      </w:tr>
      <w:tr>
        <w:tc>
          <w:tcPr>
            <w:tcW w:type="dxa" w:w="3331"/>
            <w:tcMar>
              <w:top w:w="100" w:type="dxa"/>
              <w:start w:w="120" w:type="dxa"/>
              <w:bottom w:w="100" w:type="dxa"/>
              <w:end w:w="120" w:type="dxa"/>
            </w:tcMar>
            <w:vAlign w:val="center"/>
            <w:shd w:fill="F5F7F8"/>
          </w:tcPr>
          <w:p>
            <w:pPr>
              <w:spacing w:after="0" w:line="240" w:lineRule="auto"/>
            </w:pPr>
            <w:r>
              <w:rPr>
                <w:sz w:val="17"/>
              </w:rPr>
              <w:t>ML or evaluation engineer</w:t>
            </w:r>
          </w:p>
        </w:tc>
        <w:tc>
          <w:tcPr>
            <w:tcW w:type="dxa" w:w="3331"/>
            <w:tcMar>
              <w:top w:w="100" w:type="dxa"/>
              <w:start w:w="120" w:type="dxa"/>
              <w:bottom w:w="100" w:type="dxa"/>
              <w:end w:w="120" w:type="dxa"/>
            </w:tcMar>
            <w:vAlign w:val="center"/>
            <w:shd w:fill="F5F7F8"/>
          </w:tcPr>
          <w:p>
            <w:pPr>
              <w:spacing w:after="0" w:line="240" w:lineRule="auto"/>
            </w:pPr>
            <w:r>
              <w:rPr>
                <w:sz w:val="17"/>
              </w:rPr>
              <w:t>Compare metrics and prevent benchmark leakage</w:t>
            </w:r>
          </w:p>
        </w:tc>
        <w:tc>
          <w:tcPr>
            <w:tcW w:type="dxa" w:w="3331"/>
            <w:tcMar>
              <w:top w:w="100" w:type="dxa"/>
              <w:start w:w="120" w:type="dxa"/>
              <w:bottom w:w="100" w:type="dxa"/>
              <w:end w:w="120" w:type="dxa"/>
            </w:tcMar>
            <w:vAlign w:val="center"/>
            <w:shd w:fill="F5F7F8"/>
          </w:tcPr>
          <w:p>
            <w:pPr>
              <w:spacing w:after="0" w:line="240" w:lineRule="auto"/>
            </w:pPr>
            <w:r>
              <w:rPr>
                <w:sz w:val="17"/>
              </w:rPr>
              <w:t>Evaluation is coupled to pipeline code or one provider</w:t>
            </w:r>
          </w:p>
        </w:tc>
      </w:tr>
      <w:tr>
        <w:tc>
          <w:tcPr>
            <w:tcW w:type="dxa" w:w="3331"/>
            <w:tcMar>
              <w:top w:w="100" w:type="dxa"/>
              <w:start w:w="120" w:type="dxa"/>
              <w:bottom w:w="100" w:type="dxa"/>
              <w:end w:w="120" w:type="dxa"/>
            </w:tcMar>
            <w:vAlign w:val="center"/>
          </w:tcPr>
          <w:p>
            <w:pPr>
              <w:spacing w:after="0" w:line="240" w:lineRule="auto"/>
            </w:pPr>
            <w:r>
              <w:rPr>
                <w:sz w:val="17"/>
              </w:rPr>
              <w:t>Platform engineer</w:t>
            </w:r>
          </w:p>
        </w:tc>
        <w:tc>
          <w:tcPr>
            <w:tcW w:type="dxa" w:w="3331"/>
            <w:tcMar>
              <w:top w:w="100" w:type="dxa"/>
              <w:start w:w="120" w:type="dxa"/>
              <w:bottom w:w="100" w:type="dxa"/>
              <w:end w:w="120" w:type="dxa"/>
            </w:tcMar>
            <w:vAlign w:val="center"/>
          </w:tcPr>
          <w:p>
            <w:pPr>
              <w:spacing w:after="0" w:line="240" w:lineRule="auto"/>
            </w:pPr>
            <w:r>
              <w:rPr>
                <w:sz w:val="17"/>
              </w:rPr>
              <w:t>Add governance, retries, and observability</w:t>
            </w:r>
          </w:p>
        </w:tc>
        <w:tc>
          <w:tcPr>
            <w:tcW w:type="dxa" w:w="3331"/>
            <w:tcMar>
              <w:top w:w="100" w:type="dxa"/>
              <w:start w:w="120" w:type="dxa"/>
              <w:bottom w:w="100" w:type="dxa"/>
              <w:end w:w="120" w:type="dxa"/>
            </w:tcMar>
            <w:vAlign w:val="center"/>
          </w:tcPr>
          <w:p>
            <w:pPr>
              <w:spacing w:after="0" w:line="240" w:lineRule="auto"/>
            </w:pPr>
            <w:r>
              <w:rPr>
                <w:sz w:val="17"/>
              </w:rPr>
              <w:t>Experiment scripts fail unpredictably and leak secrets</w:t>
            </w:r>
          </w:p>
        </w:tc>
      </w:tr>
      <w:tr>
        <w:tc>
          <w:tcPr>
            <w:tcW w:type="dxa" w:w="3331"/>
            <w:tcMar>
              <w:top w:w="100" w:type="dxa"/>
              <w:start w:w="120" w:type="dxa"/>
              <w:bottom w:w="100" w:type="dxa"/>
              <w:end w:w="120" w:type="dxa"/>
            </w:tcMar>
            <w:vAlign w:val="center"/>
            <w:shd w:fill="F5F7F8"/>
          </w:tcPr>
          <w:p>
            <w:pPr>
              <w:spacing w:after="0" w:line="240" w:lineRule="auto"/>
            </w:pPr>
            <w:r>
              <w:rPr>
                <w:sz w:val="17"/>
              </w:rPr>
              <w:t>Researcher</w:t>
            </w:r>
          </w:p>
        </w:tc>
        <w:tc>
          <w:tcPr>
            <w:tcW w:type="dxa" w:w="3331"/>
            <w:tcMar>
              <w:top w:w="100" w:type="dxa"/>
              <w:start w:w="120" w:type="dxa"/>
              <w:bottom w:w="100" w:type="dxa"/>
              <w:end w:w="120" w:type="dxa"/>
            </w:tcMar>
            <w:vAlign w:val="center"/>
            <w:shd w:fill="F5F7F8"/>
          </w:tcPr>
          <w:p>
            <w:pPr>
              <w:spacing w:after="0" w:line="240" w:lineRule="auto"/>
            </w:pPr>
            <w:r>
              <w:rPr>
                <w:sz w:val="17"/>
              </w:rPr>
              <w:t>Compare LLM-guided and baseline search fairly</w:t>
            </w:r>
          </w:p>
        </w:tc>
        <w:tc>
          <w:tcPr>
            <w:tcW w:type="dxa" w:w="3331"/>
            <w:tcMar>
              <w:top w:w="100" w:type="dxa"/>
              <w:start w:w="120" w:type="dxa"/>
              <w:bottom w:w="100" w:type="dxa"/>
              <w:end w:w="120" w:type="dxa"/>
            </w:tcMar>
            <w:vAlign w:val="center"/>
            <w:shd w:fill="F5F7F8"/>
          </w:tcPr>
          <w:p>
            <w:pPr>
              <w:spacing w:after="0" w:line="240" w:lineRule="auto"/>
            </w:pPr>
            <w:r>
              <w:rPr>
                <w:sz w:val="17"/>
              </w:rPr>
              <w:t>Search history and seeds are not reproducible</w:t>
            </w:r>
          </w:p>
        </w:tc>
      </w:tr>
      <w:tr>
        <w:tc>
          <w:tcPr>
            <w:tcW w:type="dxa" w:w="3331"/>
            <w:tcMar>
              <w:top w:w="100" w:type="dxa"/>
              <w:start w:w="120" w:type="dxa"/>
              <w:bottom w:w="100" w:type="dxa"/>
              <w:end w:w="120" w:type="dxa"/>
            </w:tcMar>
            <w:vAlign w:val="center"/>
          </w:tcPr>
          <w:p>
            <w:pPr>
              <w:spacing w:after="0" w:line="240" w:lineRule="auto"/>
            </w:pPr>
            <w:r>
              <w:rPr>
                <w:sz w:val="17"/>
              </w:rPr>
              <w:t>Library integrator</w:t>
            </w:r>
          </w:p>
        </w:tc>
        <w:tc>
          <w:tcPr>
            <w:tcW w:type="dxa" w:w="3331"/>
            <w:tcMar>
              <w:top w:w="100" w:type="dxa"/>
              <w:start w:w="120" w:type="dxa"/>
              <w:bottom w:w="100" w:type="dxa"/>
              <w:end w:w="120" w:type="dxa"/>
            </w:tcMar>
            <w:vAlign w:val="center"/>
          </w:tcPr>
          <w:p>
            <w:pPr>
              <w:spacing w:after="0" w:line="240" w:lineRule="auto"/>
            </w:pPr>
            <w:r>
              <w:rPr>
                <w:sz w:val="17"/>
              </w:rPr>
              <w:t>Connect a proprietary pipeline and metrics</w:t>
            </w:r>
          </w:p>
        </w:tc>
        <w:tc>
          <w:tcPr>
            <w:tcW w:type="dxa" w:w="3331"/>
            <w:tcMar>
              <w:top w:w="100" w:type="dxa"/>
              <w:start w:w="120" w:type="dxa"/>
              <w:bottom w:w="100" w:type="dxa"/>
              <w:end w:w="120" w:type="dxa"/>
            </w:tcMar>
            <w:vAlign w:val="center"/>
          </w:tcPr>
          <w:p>
            <w:pPr>
              <w:spacing w:after="0" w:line="240" w:lineRule="auto"/>
            </w:pPr>
            <w:r>
              <w:rPr>
                <w:sz w:val="17"/>
              </w:rPr>
              <w:t>Tools require a specific framework abstraction</w:t>
            </w:r>
          </w:p>
        </w:tc>
      </w:tr>
    </w:tbl>
    <w:p>
      <w:pPr>
        <w:spacing w:after="20"/>
      </w:pPr>
    </w:p>
    <w:p>
      <w:pPr>
        <w:pStyle w:val="Heading1"/>
      </w:pPr>
      <w:r>
        <w:t>Product principles</w:t>
      </w:r>
    </w:p>
    <w:p>
      <w:pPr>
        <w:pStyle w:val="ListBullet"/>
      </w:pPr>
      <w:r>
        <w:t>The user's pipeline remains the system under test.</w:t>
      </w:r>
    </w:p>
    <w:p>
      <w:pPr>
        <w:pStyle w:val="ListBullet"/>
      </w:pPr>
      <w:r>
        <w:t>Reproducibility requires data, code, configuration, metric, and usage provenance.</w:t>
      </w:r>
    </w:p>
    <w:p>
      <w:pPr>
        <w:pStyle w:val="ListBullet"/>
      </w:pPr>
      <w:r>
        <w:t>A failed candidate should produce evidence, not destroy the study.</w:t>
      </w:r>
    </w:p>
    <w:p>
      <w:pPr>
        <w:pStyle w:val="ListBullet"/>
      </w:pPr>
      <w:r>
        <w:t>Quality, cost, and latency remain visible as separate measures even when combined into one objective.</w:t>
      </w:r>
    </w:p>
    <w:p>
      <w:pPr>
        <w:pStyle w:val="ListBullet"/>
      </w:pPr>
      <w:r>
        <w:t>Optional integrations cannot define the core product.</w:t>
      </w:r>
    </w:p>
    <w:p>
      <w:pPr>
        <w:pStyle w:val="ListBullet"/>
      </w:pPr>
      <w:r>
        <w:t>Local use should require no service infrastructure.</w:t>
      </w:r>
    </w:p>
    <w:p>
      <w:pPr>
        <w:pStyle w:val="Heading1"/>
      </w:pPr>
      <w:r>
        <w:t>Goals for V0.1</w:t>
      </w:r>
    </w:p>
    <w:p>
      <w:pPr>
        <w:spacing w:after="50" w:line="269" w:lineRule="auto"/>
        <w:ind w:left="115"/>
      </w:pPr>
      <w:r>
        <w:t xml:space="preserve">1. </w:t>
      </w:r>
      <w:r>
        <w:t>Let a user wrap an existing RAG pipeline with a small async adapter.</w:t>
      </w:r>
      <w:r>
        <w:br/>
      </w:r>
      <w:r>
        <w:t xml:space="preserve">2. </w:t>
      </w:r>
      <w:r>
        <w:t>Express realistic typed and conditional parameter spaces.</w:t>
      </w:r>
      <w:r>
        <w:br/>
      </w:r>
      <w:r>
        <w:t xml:space="preserve">3. </w:t>
      </w:r>
      <w:r>
        <w:t>Run RandomSearch and LLMSearch through one strategy contract.</w:t>
      </w:r>
      <w:r>
        <w:br/>
      </w:r>
      <w:r>
        <w:t xml:space="preserve">4. </w:t>
      </w:r>
      <w:r>
        <w:t>Evaluate with custom evaluators and optional RAGAS metrics.</w:t>
      </w:r>
      <w:r>
        <w:br/>
      </w:r>
      <w:r>
        <w:t xml:space="preserve">5. </w:t>
      </w:r>
      <w:r>
        <w:t>Rank candidates with single, weighted, or callable scalar objectives.</w:t>
      </w:r>
      <w:r>
        <w:br/>
      </w:r>
      <w:r>
        <w:t xml:space="preserve">6. </w:t>
      </w:r>
      <w:r>
        <w:t>Track exact provider usage when available and label estimates otherwise.</w:t>
      </w:r>
      <w:r>
        <w:br/>
      </w:r>
      <w:r>
        <w:t xml:space="preserve">7. </w:t>
      </w:r>
      <w:r>
        <w:t>Persist studies and resume them safely with SQLite.</w:t>
      </w:r>
      <w:r>
        <w:br/>
      </w:r>
      <w:r>
        <w:t xml:space="preserve">8. </w:t>
      </w:r>
      <w:r>
        <w:t>Isolate trial failures, retry transient operations, cache repeated work, and bound concurrency.</w:t>
      </w:r>
      <w:r>
        <w:br/>
      </w:r>
      <w:r>
        <w:t xml:space="preserve">9. </w:t>
      </w:r>
      <w:r>
        <w:t>Return a rich result containing best configuration, metrics, usage, failures, provenance, and stop reason.</w:t>
      </w:r>
      <w:r>
        <w:br/>
      </w:r>
      <w:r>
        <w:t xml:space="preserve">10. </w:t>
      </w:r>
      <w:r>
        <w:t>Demonstrate the former research pipeline as a reference example, not package architecture.</w:t>
      </w:r>
    </w:p>
    <w:p>
      <w:pPr>
        <w:pStyle w:val="Heading1"/>
      </w:pPr>
      <w:r>
        <w:t>Non-goals for V0.1</w:t>
      </w:r>
    </w:p>
    <w:p>
      <w:pPr>
        <w:pStyle w:val="ListBullet"/>
      </w:pPr>
      <w:r>
        <w:t>Building or hosting the user's production RAG application.</w:t>
      </w:r>
    </w:p>
    <w:p>
      <w:pPr>
        <w:pStyle w:val="ListBullet"/>
      </w:pPr>
      <w:r>
        <w:t>Choosing a vector database, embedding provider, model provider, or application framework.</w:t>
      </w:r>
    </w:p>
    <w:p>
      <w:pPr>
        <w:pStyle w:val="ListBullet"/>
      </w:pPr>
      <w:r>
        <w:t>A web dashboard or hosted control plane.</w:t>
      </w:r>
    </w:p>
    <w:p>
      <w:pPr>
        <w:pStyle w:val="ListBullet"/>
      </w:pPr>
      <w:r>
        <w:t>Distributed optimization across machines.</w:t>
      </w:r>
    </w:p>
    <w:p>
      <w:pPr>
        <w:pStyle w:val="ListBullet"/>
      </w:pPr>
      <w:r>
        <w:t>Automatic rollout of the winning configuration.</w:t>
      </w:r>
    </w:p>
    <w:p>
      <w:pPr>
        <w:pStyle w:val="ListBullet"/>
      </w:pPr>
      <w:r>
        <w:t>Universal document ingestion, OCR, or enterprise connectors.</w:t>
      </w:r>
    </w:p>
    <w:p>
      <w:pPr>
        <w:pStyle w:val="ListBullet"/>
      </w:pPr>
      <w:r>
        <w:t>Perfect cost accounting when providers do not expose usage.</w:t>
      </w:r>
    </w:p>
    <w:p>
      <w:pPr>
        <w:pStyle w:val="ListBullet"/>
      </w:pPr>
      <w:r>
        <w:t>Pareto-frontier optimization or Bayesian search in the first release.</w:t>
      </w:r>
    </w:p>
    <w:p>
      <w:pPr>
        <w:pStyle w:val="ListBullet"/>
      </w:pPr>
      <w:r>
        <w:t>Built-in LangChain and LlamaIndex support as stable commitments.</w:t>
      </w:r>
    </w:p>
    <w:p>
      <w:pPr>
        <w:pStyle w:val="ListBullet"/>
      </w:pPr>
      <w:r>
        <w:t>Replacing MLflow, experiment platforms, or general hyperparameter frameworks.</w:t>
      </w:r>
    </w:p>
    <w:p>
      <w:pPr>
        <w:pStyle w:val="Heading1"/>
      </w:pPr>
      <w:r>
        <w:t>V0.1 feature requirements</w:t>
      </w:r>
    </w:p>
    <w:p>
      <w:pPr>
        <w:pStyle w:val="Heading2"/>
      </w:pPr>
      <w:r>
        <w:t>Adapter and execution</w:t>
      </w:r>
    </w:p>
    <w:p>
      <w:r>
        <w:t xml:space="preserve">The user can implement </w:t>
      </w:r>
      <w:r>
        <w:rPr>
          <w:rFonts w:ascii="Cascadia Mono" w:hAnsi="Cascadia Mono"/>
          <w:sz w:val="18"/>
        </w:rPr>
        <w:t>RAGAdapter.arun</w:t>
      </w:r>
      <w:r>
        <w:t xml:space="preserve"> and optionally trial preparation and teardown. The runner supports async I/O, a synchronous top-level wrapper, separate trial and sample concurrency, timeouts, cleanup, cancellation, and retry classification.</w:t>
      </w:r>
    </w:p>
    <w:p>
      <w:pPr>
        <w:pStyle w:val="Heading2"/>
      </w:pPr>
      <w:r>
        <w:t>Search spaces and strategies</w:t>
      </w:r>
    </w:p>
    <w:p>
      <w:r>
        <w:t>Search spaces support bounded integer and float parameters, choices, booleans, and simple conditional parameters. RandomSearch is deterministic from the study seed. LLMSearch uses validated structured output, summarized history, bounded repair, duplicate rejection, and random fallback.</w:t>
      </w:r>
    </w:p>
    <w:p>
      <w:pPr>
        <w:pStyle w:val="Heading2"/>
      </w:pPr>
      <w:r>
        <w:t>Evaluation and objectives</w:t>
      </w:r>
    </w:p>
    <w:p>
      <w:r>
        <w:t>Custom evaluators are first-class. RAGAS metrics are optional and individually selectable. Metrics include direction, version, status, and provenance. Objectives support one metric, weighted normalized metrics, and user callables. Quality, latency, and cost can participate.</w:t>
      </w:r>
    </w:p>
    <w:p>
      <w:pPr>
        <w:pStyle w:val="Heading2"/>
      </w:pPr>
      <w:r>
        <w:t>Experiment operations</w:t>
      </w:r>
    </w:p>
    <w:p>
      <w:r>
        <w:t>SQLite stores lifecycle, samples, trials, attempts, metrics, usage, events, and cache metadata. The user can start, inspect, resume, cancel, and export a study. MLflow mirroring is optional.</w:t>
      </w:r>
    </w:p>
    <w:p>
      <w:pPr>
        <w:pStyle w:val="Heading2"/>
      </w:pPr>
      <w:r>
        <w:t>Dataset support</w:t>
      </w:r>
    </w:p>
    <w:p>
      <w:r>
        <w:t>Users can load JSONL, JSON, CSV, or Python samples. The package validates evaluator requirements, creates deterministic optimize-validation-test splits, hashes semantic content, and optionally generates synthetic QA from documents.</w:t>
      </w:r>
    </w:p>
    <w:p>
      <w:pPr>
        <w:pStyle w:val="Heading1"/>
      </w:pPr>
      <w:r>
        <w:t>User stories and acceptance criteria</w:t>
      </w:r>
    </w:p>
    <w:p>
      <w:pPr>
        <w:pStyle w:val="Heading2"/>
      </w:pPr>
      <w:r>
        <w:t>Existing pipeline user</w:t>
      </w:r>
    </w:p>
    <w:p>
      <w:r>
        <w:t>As a RAG engineer, I can wrap my pipeline without changing its framework so I can optimize real configuration choices.</w:t>
      </w:r>
    </w:p>
    <w:p>
      <w:pPr>
        <w:pStyle w:val="ListBullet"/>
      </w:pPr>
      <w:r>
        <w:t>A documented adapter under 60 lines can wrap a simple async pipeline.</w:t>
      </w:r>
    </w:p>
    <w:p>
      <w:pPr>
        <w:pStyle w:val="ListBullet"/>
      </w:pPr>
      <w:r>
        <w:t>The package does not import LangChain or LlamaIndex in the base installation.</w:t>
      </w:r>
    </w:p>
    <w:p>
      <w:pPr>
        <w:pStyle w:val="ListBullet"/>
      </w:pPr>
      <w:r>
        <w:t>Adapter output includes answer, contexts, usage, and metadata.</w:t>
      </w:r>
    </w:p>
    <w:p>
      <w:pPr>
        <w:pStyle w:val="ListBullet"/>
      </w:pPr>
      <w:r>
        <w:t>Invalid adapter results identify the sample and field.</w:t>
      </w:r>
    </w:p>
    <w:p>
      <w:pPr>
        <w:pStyle w:val="Heading2"/>
      </w:pPr>
      <w:r>
        <w:t>Reproducible random baseline</w:t>
      </w:r>
    </w:p>
    <w:p>
      <w:r>
        <w:t>As a researcher, I can run seeded RandomSearch so LLMSearch has a fair baseline.</w:t>
      </w:r>
    </w:p>
    <w:p>
      <w:pPr>
        <w:pStyle w:val="ListBullet"/>
      </w:pPr>
      <w:r>
        <w:t>The same package version, search space, seed, and completed history produce the same candidate sequence.</w:t>
      </w:r>
    </w:p>
    <w:p>
      <w:pPr>
        <w:pStyle w:val="ListBullet"/>
      </w:pPr>
      <w:r>
        <w:t>Duplicate candidates do not consume a successful-trial slot, but rejected attempts are observable.</w:t>
      </w:r>
    </w:p>
    <w:p>
      <w:pPr>
        <w:pStyle w:val="ListBullet"/>
      </w:pPr>
      <w:r>
        <w:t>Exhausted finite spaces stop with a distinct reason.</w:t>
      </w:r>
    </w:p>
    <w:p>
      <w:pPr>
        <w:pStyle w:val="Heading2"/>
      </w:pPr>
      <w:r>
        <w:t>LLM-guided search</w:t>
      </w:r>
    </w:p>
    <w:p>
      <w:r>
        <w:t>As an experimenter, I can use an LLM to propose candidates without trusting free-form output.</w:t>
      </w:r>
    </w:p>
    <w:p>
      <w:pPr>
        <w:pStyle w:val="ListBullet"/>
      </w:pPr>
      <w:r>
        <w:t>Suggestions conform to a generated schema and search-space validation.</w:t>
      </w:r>
    </w:p>
    <w:p>
      <w:pPr>
        <w:pStyle w:val="ListBullet"/>
      </w:pPr>
      <w:r>
        <w:t>The prompt includes top results, recent results, failures, coverage, and weak metrics within a configured token budget.</w:t>
      </w:r>
    </w:p>
    <w:p>
      <w:pPr>
        <w:pStyle w:val="ListBullet"/>
      </w:pPr>
      <w:r>
        <w:t>Invalid output receives at most the configured repair attempts.</w:t>
      </w:r>
    </w:p>
    <w:p>
      <w:pPr>
        <w:pStyle w:val="ListBullet"/>
      </w:pPr>
      <w:r>
        <w:t>Fallback behavior is recorded and deterministic.</w:t>
      </w:r>
    </w:p>
    <w:p>
      <w:pPr>
        <w:pStyle w:val="Heading2"/>
      </w:pPr>
      <w:r>
        <w:t>Pluggable evaluation</w:t>
      </w:r>
    </w:p>
    <w:p>
      <w:r>
        <w:t>As an evaluation engineer, I can combine proprietary metrics with RAGAS.</w:t>
      </w:r>
    </w:p>
    <w:p>
      <w:pPr>
        <w:pStyle w:val="ListBullet"/>
      </w:pPr>
      <w:r>
        <w:t>Each evaluator receives the same normalized sample and run result.</w:t>
      </w:r>
    </w:p>
    <w:p>
      <w:pPr>
        <w:pStyle w:val="ListBullet"/>
      </w:pPr>
      <w:r>
        <w:t>Metrics are namespaced and versioned.</w:t>
      </w:r>
    </w:p>
    <w:p>
      <w:pPr>
        <w:pStyle w:val="ListBullet"/>
      </w:pPr>
      <w:r>
        <w:t>One optional evaluator failure does not erase other metric results.</w:t>
      </w:r>
    </w:p>
    <w:p>
      <w:pPr>
        <w:pStyle w:val="ListBullet"/>
      </w:pPr>
      <w:r>
        <w:t>Objective eligibility reflects missing required metrics.</w:t>
      </w:r>
    </w:p>
    <w:p>
      <w:pPr>
        <w:pStyle w:val="Heading2"/>
      </w:pPr>
      <w:r>
        <w:t>Cost and latency aware objective</w:t>
      </w:r>
    </w:p>
    <w:p>
      <w:r>
        <w:t>As a platform owner, I can penalize expensive or slow candidates.</w:t>
      </w:r>
    </w:p>
    <w:p>
      <w:pPr>
        <w:pStyle w:val="ListBullet"/>
      </w:pPr>
      <w:r>
        <w:t>Exact and estimated usage remain distinguishable at component, trial, and study level.</w:t>
      </w:r>
    </w:p>
    <w:p>
      <w:pPr>
        <w:pStyle w:val="ListBullet"/>
      </w:pPr>
      <w:r>
        <w:t>Weighted objectives require explicit normalization for incomparable units.</w:t>
      </w:r>
    </w:p>
    <w:p>
      <w:pPr>
        <w:pStyle w:val="ListBullet"/>
      </w:pPr>
      <w:r>
        <w:t>Hard cost budgets stop scheduling before knowingly exceeding the remaining budget when a conservative estimate is available.</w:t>
      </w:r>
    </w:p>
    <w:p>
      <w:pPr>
        <w:pStyle w:val="ListBullet"/>
      </w:pPr>
      <w:r>
        <w:t>The result shows both scalar score and component measures.</w:t>
      </w:r>
    </w:p>
    <w:p>
      <w:pPr>
        <w:pStyle w:val="Heading2"/>
      </w:pPr>
      <w:r>
        <w:t>Resumable study</w:t>
      </w:r>
    </w:p>
    <w:p>
      <w:r>
        <w:t>As a user with a long experiment, I can resume after interruption.</w:t>
      </w:r>
    </w:p>
    <w:p>
      <w:pPr>
        <w:pStyle w:val="ListBullet"/>
      </w:pPr>
      <w:r>
        <w:t>Completed trials are never rerun solely because the process stopped.</w:t>
      </w:r>
    </w:p>
    <w:p>
      <w:pPr>
        <w:pStyle w:val="ListBullet"/>
      </w:pPr>
      <w:r>
        <w:t>Expired running attempts recover according to retry policy.</w:t>
      </w:r>
    </w:p>
    <w:p>
      <w:pPr>
        <w:pStyle w:val="ListBullet"/>
      </w:pPr>
      <w:r>
        <w:t>Incompatible dataset, space, adapter, evaluator, or objective fingerprints block resume with a clear explanation.</w:t>
      </w:r>
    </w:p>
    <w:p>
      <w:pPr>
        <w:pStyle w:val="ListBullet"/>
      </w:pPr>
      <w:r>
        <w:t>Strategy state is reconstructed from durable observations.</w:t>
      </w:r>
    </w:p>
    <w:p>
      <w:pPr>
        <w:pStyle w:val="Heading2"/>
      </w:pPr>
      <w:r>
        <w:t>Failure isolation</w:t>
      </w:r>
    </w:p>
    <w:p>
      <w:r>
        <w:t>As a user testing risky configurations, I can continue after one candidate fails.</w:t>
      </w:r>
    </w:p>
    <w:p>
      <w:pPr>
        <w:pStyle w:val="ListBullet"/>
      </w:pPr>
      <w:r>
        <w:t>Retryable failures use bounded exponential backoff with jitter.</w:t>
      </w:r>
    </w:p>
    <w:p>
      <w:pPr>
        <w:pStyle w:val="ListBullet"/>
      </w:pPr>
      <w:r>
        <w:t>Terminal failures retain stage, stable code, attempt history, and redacted message.</w:t>
      </w:r>
    </w:p>
    <w:p>
      <w:pPr>
        <w:pStyle w:val="ListBullet"/>
      </w:pPr>
      <w:r>
        <w:t>A configurable systemic-failure threshold can stop wasteful studies.</w:t>
      </w:r>
    </w:p>
    <w:p>
      <w:pPr>
        <w:pStyle w:val="ListBullet"/>
      </w:pPr>
      <w:r>
        <w:t>The final result remains inspectable when no trial succeeds.</w:t>
      </w:r>
    </w:p>
    <w:p>
      <w:pPr>
        <w:pStyle w:val="Heading1"/>
      </w:pPr>
      <w:r>
        <w:t>Success measures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Measure</w:t>
            </w:r>
          </w:p>
        </w:tc>
        <w:tc>
          <w:tcPr>
            <w:tcW w:type="dxa" w:w="3331"/>
            <w:shd w:fill="17324D"/>
            <w:tcMar>
              <w:top w:w="115" w:type="dxa"/>
              <w:start w:w="120" w:type="dxa"/>
              <w:bottom w:w="115" w:type="dxa"/>
              <w:end w:w="120" w:type="dxa"/>
            </w:tcMar>
            <w:vAlign w:val="center"/>
          </w:tcPr>
          <w:p>
            <w:r>
              <w:rPr>
                <w:b/>
                <w:color w:val="FFFFFF"/>
                <w:sz w:val="18"/>
              </w:rPr>
              <w:t>V0.1 target</w:t>
            </w:r>
          </w:p>
        </w:tc>
        <w:tc>
          <w:tcPr>
            <w:tcW w:type="dxa" w:w="3331"/>
            <w:shd w:fill="17324D"/>
            <w:tcMar>
              <w:top w:w="115" w:type="dxa"/>
              <w:start w:w="120" w:type="dxa"/>
              <w:bottom w:w="115" w:type="dxa"/>
              <w:end w:w="120" w:type="dxa"/>
            </w:tcMar>
            <w:vAlign w:val="center"/>
          </w:tcPr>
          <w:p>
            <w:r>
              <w:rPr>
                <w:b/>
                <w:color w:val="FFFFFF"/>
                <w:sz w:val="18"/>
              </w:rPr>
              <w:t>Why it matters</w:t>
            </w:r>
          </w:p>
        </w:tc>
      </w:tr>
      <w:tr>
        <w:tc>
          <w:tcPr>
            <w:tcW w:type="dxa" w:w="3331"/>
            <w:tcMar>
              <w:top w:w="100" w:type="dxa"/>
              <w:start w:w="120" w:type="dxa"/>
              <w:bottom w:w="100" w:type="dxa"/>
              <w:end w:w="120" w:type="dxa"/>
            </w:tcMar>
            <w:vAlign w:val="center"/>
          </w:tcPr>
          <w:p>
            <w:pPr>
              <w:spacing w:after="0" w:line="240" w:lineRule="auto"/>
            </w:pPr>
            <w:r>
              <w:rPr>
                <w:sz w:val="17"/>
              </w:rPr>
              <w:t>Time to first local study</w:t>
            </w:r>
          </w:p>
        </w:tc>
        <w:tc>
          <w:tcPr>
            <w:tcW w:type="dxa" w:w="3331"/>
            <w:tcMar>
              <w:top w:w="100" w:type="dxa"/>
              <w:start w:w="120" w:type="dxa"/>
              <w:bottom w:w="100" w:type="dxa"/>
              <w:end w:w="120" w:type="dxa"/>
            </w:tcMar>
            <w:vAlign w:val="center"/>
          </w:tcPr>
          <w:p>
            <w:pPr>
              <w:spacing w:after="0" w:line="240" w:lineRule="auto"/>
            </w:pPr>
            <w:r>
              <w:rPr>
                <w:sz w:val="17"/>
              </w:rPr>
              <w:t>Under 15 minutes from installation for the minimal example</w:t>
            </w:r>
          </w:p>
        </w:tc>
        <w:tc>
          <w:tcPr>
            <w:tcW w:type="dxa" w:w="3331"/>
            <w:tcMar>
              <w:top w:w="100" w:type="dxa"/>
              <w:start w:w="120" w:type="dxa"/>
              <w:bottom w:w="100" w:type="dxa"/>
              <w:end w:w="120" w:type="dxa"/>
            </w:tcMar>
            <w:vAlign w:val="center"/>
          </w:tcPr>
          <w:p>
            <w:pPr>
              <w:spacing w:after="0" w:line="240" w:lineRule="auto"/>
            </w:pPr>
            <w:r>
              <w:rPr>
                <w:sz w:val="17"/>
              </w:rPr>
              <w:t>Measures onboarding clarity</w:t>
            </w:r>
          </w:p>
        </w:tc>
      </w:tr>
      <w:tr>
        <w:tc>
          <w:tcPr>
            <w:tcW w:type="dxa" w:w="3331"/>
            <w:tcMar>
              <w:top w:w="100" w:type="dxa"/>
              <w:start w:w="120" w:type="dxa"/>
              <w:bottom w:w="100" w:type="dxa"/>
              <w:end w:w="120" w:type="dxa"/>
            </w:tcMar>
            <w:vAlign w:val="center"/>
            <w:shd w:fill="F5F7F8"/>
          </w:tcPr>
          <w:p>
            <w:pPr>
              <w:spacing w:after="0" w:line="240" w:lineRule="auto"/>
            </w:pPr>
            <w:r>
              <w:rPr>
                <w:sz w:val="17"/>
              </w:rPr>
              <w:t>Resume correctness</w:t>
            </w:r>
          </w:p>
        </w:tc>
        <w:tc>
          <w:tcPr>
            <w:tcW w:type="dxa" w:w="3331"/>
            <w:tcMar>
              <w:top w:w="100" w:type="dxa"/>
              <w:start w:w="120" w:type="dxa"/>
              <w:bottom w:w="100" w:type="dxa"/>
              <w:end w:w="120" w:type="dxa"/>
            </w:tcMar>
            <w:vAlign w:val="center"/>
            <w:shd w:fill="F5F7F8"/>
          </w:tcPr>
          <w:p>
            <w:pPr>
              <w:spacing w:after="0" w:line="240" w:lineRule="auto"/>
            </w:pPr>
            <w:r>
              <w:rPr>
                <w:sz w:val="17"/>
              </w:rPr>
              <w:t>No completed trial re-executed in interruption tests</w:t>
            </w:r>
          </w:p>
        </w:tc>
        <w:tc>
          <w:tcPr>
            <w:tcW w:type="dxa" w:w="3331"/>
            <w:tcMar>
              <w:top w:w="100" w:type="dxa"/>
              <w:start w:w="120" w:type="dxa"/>
              <w:bottom w:w="100" w:type="dxa"/>
              <w:end w:w="120" w:type="dxa"/>
            </w:tcMar>
            <w:vAlign w:val="center"/>
            <w:shd w:fill="F5F7F8"/>
          </w:tcPr>
          <w:p>
            <w:pPr>
              <w:spacing w:after="0" w:line="240" w:lineRule="auto"/>
            </w:pPr>
            <w:r>
              <w:rPr>
                <w:sz w:val="17"/>
              </w:rPr>
              <w:t>Protects cost and trust</w:t>
            </w:r>
          </w:p>
        </w:tc>
      </w:tr>
      <w:tr>
        <w:tc>
          <w:tcPr>
            <w:tcW w:type="dxa" w:w="3331"/>
            <w:tcMar>
              <w:top w:w="100" w:type="dxa"/>
              <w:start w:w="120" w:type="dxa"/>
              <w:bottom w:w="100" w:type="dxa"/>
              <w:end w:w="120" w:type="dxa"/>
            </w:tcMar>
            <w:vAlign w:val="center"/>
          </w:tcPr>
          <w:p>
            <w:pPr>
              <w:spacing w:after="0" w:line="240" w:lineRule="auto"/>
            </w:pPr>
            <w:r>
              <w:rPr>
                <w:sz w:val="17"/>
              </w:rPr>
              <w:t>Base import</w:t>
            </w:r>
          </w:p>
        </w:tc>
        <w:tc>
          <w:tcPr>
            <w:tcW w:type="dxa" w:w="3331"/>
            <w:tcMar>
              <w:top w:w="100" w:type="dxa"/>
              <w:start w:w="120" w:type="dxa"/>
              <w:bottom w:w="100" w:type="dxa"/>
              <w:end w:w="120" w:type="dxa"/>
            </w:tcMar>
            <w:vAlign w:val="center"/>
          </w:tcPr>
          <w:p>
            <w:pPr>
              <w:spacing w:after="0" w:line="240" w:lineRule="auto"/>
            </w:pPr>
            <w:r>
              <w:rPr>
                <w:sz w:val="17"/>
              </w:rPr>
              <w:t>Succeeds without optional integrations installed</w:t>
            </w:r>
          </w:p>
        </w:tc>
        <w:tc>
          <w:tcPr>
            <w:tcW w:type="dxa" w:w="3331"/>
            <w:tcMar>
              <w:top w:w="100" w:type="dxa"/>
              <w:start w:w="120" w:type="dxa"/>
              <w:bottom w:w="100" w:type="dxa"/>
              <w:end w:w="120" w:type="dxa"/>
            </w:tcMar>
            <w:vAlign w:val="center"/>
          </w:tcPr>
          <w:p>
            <w:pPr>
              <w:spacing w:after="0" w:line="240" w:lineRule="auto"/>
            </w:pPr>
            <w:r>
              <w:rPr>
                <w:sz w:val="17"/>
              </w:rPr>
              <w:t>Confirms modularity</w:t>
            </w:r>
          </w:p>
        </w:tc>
      </w:tr>
      <w:tr>
        <w:tc>
          <w:tcPr>
            <w:tcW w:type="dxa" w:w="3331"/>
            <w:tcMar>
              <w:top w:w="100" w:type="dxa"/>
              <w:start w:w="120" w:type="dxa"/>
              <w:bottom w:w="100" w:type="dxa"/>
              <w:end w:w="120" w:type="dxa"/>
            </w:tcMar>
            <w:vAlign w:val="center"/>
            <w:shd w:fill="F5F7F8"/>
          </w:tcPr>
          <w:p>
            <w:pPr>
              <w:spacing w:after="0" w:line="240" w:lineRule="auto"/>
            </w:pPr>
            <w:r>
              <w:rPr>
                <w:sz w:val="17"/>
              </w:rPr>
              <w:t>Deterministic baseline</w:t>
            </w:r>
          </w:p>
        </w:tc>
        <w:tc>
          <w:tcPr>
            <w:tcW w:type="dxa" w:w="3331"/>
            <w:tcMar>
              <w:top w:w="100" w:type="dxa"/>
              <w:start w:w="120" w:type="dxa"/>
              <w:bottom w:w="100" w:type="dxa"/>
              <w:end w:w="120" w:type="dxa"/>
            </w:tcMar>
            <w:vAlign w:val="center"/>
            <w:shd w:fill="F5F7F8"/>
          </w:tcPr>
          <w:p>
            <w:pPr>
              <w:spacing w:after="0" w:line="240" w:lineRule="auto"/>
            </w:pPr>
            <w:r>
              <w:rPr>
                <w:sz w:val="17"/>
              </w:rPr>
              <w:t>Candidate sequence stable under recorded conditions</w:t>
            </w:r>
          </w:p>
        </w:tc>
        <w:tc>
          <w:tcPr>
            <w:tcW w:type="dxa" w:w="3331"/>
            <w:tcMar>
              <w:top w:w="100" w:type="dxa"/>
              <w:start w:w="120" w:type="dxa"/>
              <w:bottom w:w="100" w:type="dxa"/>
              <w:end w:w="120" w:type="dxa"/>
            </w:tcMar>
            <w:vAlign w:val="center"/>
            <w:shd w:fill="F5F7F8"/>
          </w:tcPr>
          <w:p>
            <w:pPr>
              <w:spacing w:after="0" w:line="240" w:lineRule="auto"/>
            </w:pPr>
            <w:r>
              <w:rPr>
                <w:sz w:val="17"/>
              </w:rPr>
              <w:t>Enables fair comparison</w:t>
            </w:r>
          </w:p>
        </w:tc>
      </w:tr>
      <w:tr>
        <w:tc>
          <w:tcPr>
            <w:tcW w:type="dxa" w:w="3331"/>
            <w:tcMar>
              <w:top w:w="100" w:type="dxa"/>
              <w:start w:w="120" w:type="dxa"/>
              <w:bottom w:w="100" w:type="dxa"/>
              <w:end w:w="120" w:type="dxa"/>
            </w:tcMar>
            <w:vAlign w:val="center"/>
          </w:tcPr>
          <w:p>
            <w:pPr>
              <w:spacing w:after="0" w:line="240" w:lineRule="auto"/>
            </w:pPr>
            <w:r>
              <w:rPr>
                <w:sz w:val="17"/>
              </w:rPr>
              <w:t>Failure isolation</w:t>
            </w:r>
          </w:p>
        </w:tc>
        <w:tc>
          <w:tcPr>
            <w:tcW w:type="dxa" w:w="3331"/>
            <w:tcMar>
              <w:top w:w="100" w:type="dxa"/>
              <w:start w:w="120" w:type="dxa"/>
              <w:bottom w:w="100" w:type="dxa"/>
              <w:end w:w="120" w:type="dxa"/>
            </w:tcMar>
            <w:vAlign w:val="center"/>
          </w:tcPr>
          <w:p>
            <w:pPr>
              <w:spacing w:after="0" w:line="240" w:lineRule="auto"/>
            </w:pPr>
            <w:r>
              <w:rPr>
                <w:sz w:val="17"/>
              </w:rPr>
              <w:t>Independent trial failure does not stop default study</w:t>
            </w:r>
          </w:p>
        </w:tc>
        <w:tc>
          <w:tcPr>
            <w:tcW w:type="dxa" w:w="3331"/>
            <w:tcMar>
              <w:top w:w="100" w:type="dxa"/>
              <w:start w:w="120" w:type="dxa"/>
              <w:bottom w:w="100" w:type="dxa"/>
              <w:end w:w="120" w:type="dxa"/>
            </w:tcMar>
            <w:vAlign w:val="center"/>
          </w:tcPr>
          <w:p>
            <w:pPr>
              <w:spacing w:after="0" w:line="240" w:lineRule="auto"/>
            </w:pPr>
            <w:r>
              <w:rPr>
                <w:sz w:val="17"/>
              </w:rPr>
              <w:t>Supports real search spaces</w:t>
            </w:r>
          </w:p>
        </w:tc>
      </w:tr>
      <w:tr>
        <w:tc>
          <w:tcPr>
            <w:tcW w:type="dxa" w:w="3331"/>
            <w:tcMar>
              <w:top w:w="100" w:type="dxa"/>
              <w:start w:w="120" w:type="dxa"/>
              <w:bottom w:w="100" w:type="dxa"/>
              <w:end w:w="120" w:type="dxa"/>
            </w:tcMar>
            <w:vAlign w:val="center"/>
            <w:shd w:fill="F5F7F8"/>
          </w:tcPr>
          <w:p>
            <w:pPr>
              <w:spacing w:after="0" w:line="240" w:lineRule="auto"/>
            </w:pPr>
            <w:r>
              <w:rPr>
                <w:sz w:val="17"/>
              </w:rPr>
              <w:t>Usage transparency</w:t>
            </w:r>
          </w:p>
        </w:tc>
        <w:tc>
          <w:tcPr>
            <w:tcW w:type="dxa" w:w="3331"/>
            <w:tcMar>
              <w:top w:w="100" w:type="dxa"/>
              <w:start w:w="120" w:type="dxa"/>
              <w:bottom w:w="100" w:type="dxa"/>
              <w:end w:w="120" w:type="dxa"/>
            </w:tcMar>
            <w:vAlign w:val="center"/>
            <w:shd w:fill="F5F7F8"/>
          </w:tcPr>
          <w:p>
            <w:pPr>
              <w:spacing w:after="0" w:line="240" w:lineRule="auto"/>
            </w:pPr>
            <w:r>
              <w:rPr>
                <w:sz w:val="17"/>
              </w:rPr>
              <w:t>Every reported aggregate states exact, estimated, mixed, or unavailable</w:t>
            </w:r>
          </w:p>
        </w:tc>
        <w:tc>
          <w:tcPr>
            <w:tcW w:type="dxa" w:w="3331"/>
            <w:tcMar>
              <w:top w:w="100" w:type="dxa"/>
              <w:start w:w="120" w:type="dxa"/>
              <w:bottom w:w="100" w:type="dxa"/>
              <w:end w:w="120" w:type="dxa"/>
            </w:tcMar>
            <w:vAlign w:val="center"/>
            <w:shd w:fill="F5F7F8"/>
          </w:tcPr>
          <w:p>
            <w:pPr>
              <w:spacing w:after="0" w:line="240" w:lineRule="auto"/>
            </w:pPr>
            <w:r>
              <w:rPr>
                <w:sz w:val="17"/>
              </w:rPr>
              <w:t>Prevents false precision</w:t>
            </w:r>
          </w:p>
        </w:tc>
      </w:tr>
      <w:tr>
        <w:tc>
          <w:tcPr>
            <w:tcW w:type="dxa" w:w="3331"/>
            <w:tcMar>
              <w:top w:w="100" w:type="dxa"/>
              <w:start w:w="120" w:type="dxa"/>
              <w:bottom w:w="100" w:type="dxa"/>
              <w:end w:w="120" w:type="dxa"/>
            </w:tcMar>
            <w:vAlign w:val="center"/>
          </w:tcPr>
          <w:p>
            <w:pPr>
              <w:spacing w:after="0" w:line="240" w:lineRule="auto"/>
            </w:pPr>
            <w:r>
              <w:rPr>
                <w:sz w:val="17"/>
              </w:rPr>
              <w:t>Documentation</w:t>
            </w:r>
          </w:p>
        </w:tc>
        <w:tc>
          <w:tcPr>
            <w:tcW w:type="dxa" w:w="3331"/>
            <w:tcMar>
              <w:top w:w="100" w:type="dxa"/>
              <w:start w:w="120" w:type="dxa"/>
              <w:bottom w:w="100" w:type="dxa"/>
              <w:end w:w="120" w:type="dxa"/>
            </w:tcMar>
            <w:vAlign w:val="center"/>
          </w:tcPr>
          <w:p>
            <w:pPr>
              <w:spacing w:after="0" w:line="240" w:lineRule="auto"/>
            </w:pPr>
            <w:r>
              <w:rPr>
                <w:sz w:val="17"/>
              </w:rPr>
              <w:t>Public interfaces and examples match release tests</w:t>
            </w:r>
          </w:p>
        </w:tc>
        <w:tc>
          <w:tcPr>
            <w:tcW w:type="dxa" w:w="3331"/>
            <w:tcMar>
              <w:top w:w="100" w:type="dxa"/>
              <w:start w:w="120" w:type="dxa"/>
              <w:bottom w:w="100" w:type="dxa"/>
              <w:end w:w="120" w:type="dxa"/>
            </w:tcMar>
            <w:vAlign w:val="center"/>
          </w:tcPr>
          <w:p>
            <w:pPr>
              <w:spacing w:after="0" w:line="240" w:lineRule="auto"/>
            </w:pPr>
            <w:r>
              <w:rPr>
                <w:sz w:val="17"/>
              </w:rPr>
              <w:t>Reduces integration ambiguity</w:t>
            </w:r>
          </w:p>
        </w:tc>
      </w:tr>
    </w:tbl>
    <w:p>
      <w:pPr>
        <w:spacing w:after="20"/>
      </w:pPr>
    </w:p>
    <w:p>
      <w:r>
        <w:t>These are product acceptance measures, not claims about optimization improving every RAG system. Search effectiveness depends on the dataset, space, objective, and pipeline.</w:t>
      </w:r>
    </w:p>
    <w:p>
      <w:pPr>
        <w:pStyle w:val="Heading1"/>
      </w:pPr>
      <w:r>
        <w:t>Constraints</w:t>
      </w:r>
    </w:p>
    <w:p>
      <w:pPr>
        <w:pStyle w:val="ListBullet"/>
      </w:pPr>
      <w:r>
        <w:t>V0.1 is maintained as a small open-source Python package.</w:t>
      </w:r>
    </w:p>
    <w:p>
      <w:pPr>
        <w:pStyle w:val="ListBullet"/>
      </w:pPr>
      <w:r>
        <w:t>Local SQLite must remain sufficient for the default workflow.</w:t>
      </w:r>
    </w:p>
    <w:p>
      <w:pPr>
        <w:pStyle w:val="ListBullet"/>
      </w:pPr>
      <w:r>
        <w:t>Provider-backed features can incur cost and require user credentials.</w:t>
      </w:r>
    </w:p>
    <w:p>
      <w:pPr>
        <w:pStyle w:val="ListBullet"/>
      </w:pPr>
      <w:r>
        <w:t>RAGAS and provider libraries change independently and require compatibility boundaries.</w:t>
      </w:r>
    </w:p>
    <w:p>
      <w:pPr>
        <w:pStyle w:val="ListBullet"/>
      </w:pPr>
      <w:r>
        <w:t>Async internals must support Python 3.10.</w:t>
      </w:r>
    </w:p>
    <w:p>
      <w:pPr>
        <w:pStyle w:val="ListBullet"/>
      </w:pPr>
      <w:r>
        <w:t>Sensitive evaluation data must stay local unless the user explicitly invokes an external provider.</w:t>
      </w:r>
    </w:p>
    <w:p>
      <w:pPr>
        <w:pStyle w:val="ListBullet"/>
      </w:pPr>
      <w:r>
        <w:t>Search cannot correct a poor or unrepresentative benchmark.</w:t>
      </w:r>
    </w:p>
    <w:p>
      <w:pPr>
        <w:pStyle w:val="Heading1"/>
      </w:pPr>
      <w:r>
        <w:t>Product risks and mitigations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Risk</w:t>
            </w:r>
          </w:p>
        </w:tc>
        <w:tc>
          <w:tcPr>
            <w:tcW w:type="dxa" w:w="3331"/>
            <w:shd w:fill="17324D"/>
            <w:tcMar>
              <w:top w:w="115" w:type="dxa"/>
              <w:start w:w="120" w:type="dxa"/>
              <w:bottom w:w="115" w:type="dxa"/>
              <w:end w:w="120" w:type="dxa"/>
            </w:tcMar>
            <w:vAlign w:val="center"/>
          </w:tcPr>
          <w:p>
            <w:r>
              <w:rPr>
                <w:b/>
                <w:color w:val="FFFFFF"/>
                <w:sz w:val="18"/>
              </w:rPr>
              <w:t>Consequence</w:t>
            </w:r>
          </w:p>
        </w:tc>
        <w:tc>
          <w:tcPr>
            <w:tcW w:type="dxa" w:w="3331"/>
            <w:shd w:fill="17324D"/>
            <w:tcMar>
              <w:top w:w="115" w:type="dxa"/>
              <w:start w:w="120" w:type="dxa"/>
              <w:bottom w:w="115" w:type="dxa"/>
              <w:end w:w="120" w:type="dxa"/>
            </w:tcMar>
            <w:vAlign w:val="center"/>
          </w:tcPr>
          <w:p>
            <w:r>
              <w:rPr>
                <w:b/>
                <w:color w:val="FFFFFF"/>
                <w:sz w:val="18"/>
              </w:rPr>
              <w:t>Mitigation</w:t>
            </w:r>
          </w:p>
        </w:tc>
      </w:tr>
      <w:tr>
        <w:tc>
          <w:tcPr>
            <w:tcW w:type="dxa" w:w="3331"/>
            <w:tcMar>
              <w:top w:w="100" w:type="dxa"/>
              <w:start w:w="120" w:type="dxa"/>
              <w:bottom w:w="100" w:type="dxa"/>
              <w:end w:w="120" w:type="dxa"/>
            </w:tcMar>
            <w:vAlign w:val="center"/>
          </w:tcPr>
          <w:p>
            <w:pPr>
              <w:spacing w:after="0" w:line="240" w:lineRule="auto"/>
            </w:pPr>
            <w:r>
              <w:rPr>
                <w:sz w:val="17"/>
              </w:rPr>
              <w:t>Evaluation overfitting</w:t>
            </w:r>
          </w:p>
        </w:tc>
        <w:tc>
          <w:tcPr>
            <w:tcW w:type="dxa" w:w="3331"/>
            <w:tcMar>
              <w:top w:w="100" w:type="dxa"/>
              <w:start w:w="120" w:type="dxa"/>
              <w:bottom w:w="100" w:type="dxa"/>
              <w:end w:w="120" w:type="dxa"/>
            </w:tcMar>
            <w:vAlign w:val="center"/>
          </w:tcPr>
          <w:p>
            <w:pPr>
              <w:spacing w:after="0" w:line="240" w:lineRule="auto"/>
            </w:pPr>
            <w:r>
              <w:rPr>
                <w:sz w:val="17"/>
              </w:rPr>
              <w:t>Best config performs poorly in production</w:t>
            </w:r>
          </w:p>
        </w:tc>
        <w:tc>
          <w:tcPr>
            <w:tcW w:type="dxa" w:w="3331"/>
            <w:tcMar>
              <w:top w:w="100" w:type="dxa"/>
              <w:start w:w="120" w:type="dxa"/>
              <w:bottom w:w="100" w:type="dxa"/>
              <w:end w:w="120" w:type="dxa"/>
            </w:tcMar>
            <w:vAlign w:val="center"/>
          </w:tcPr>
          <w:p>
            <w:pPr>
              <w:spacing w:after="0" w:line="240" w:lineRule="auto"/>
            </w:pPr>
            <w:r>
              <w:rPr>
                <w:sz w:val="17"/>
              </w:rPr>
              <w:t>Optimize-validation-test semantics and holdout reporting</w:t>
            </w:r>
          </w:p>
        </w:tc>
      </w:tr>
      <w:tr>
        <w:tc>
          <w:tcPr>
            <w:tcW w:type="dxa" w:w="3331"/>
            <w:tcMar>
              <w:top w:w="100" w:type="dxa"/>
              <w:start w:w="120" w:type="dxa"/>
              <w:bottom w:w="100" w:type="dxa"/>
              <w:end w:w="120" w:type="dxa"/>
            </w:tcMar>
            <w:vAlign w:val="center"/>
            <w:shd w:fill="F5F7F8"/>
          </w:tcPr>
          <w:p>
            <w:pPr>
              <w:spacing w:after="0" w:line="240" w:lineRule="auto"/>
            </w:pPr>
            <w:r>
              <w:rPr>
                <w:sz w:val="17"/>
              </w:rPr>
              <w:t>LLM search appears superior without baseline</w:t>
            </w:r>
          </w:p>
        </w:tc>
        <w:tc>
          <w:tcPr>
            <w:tcW w:type="dxa" w:w="3331"/>
            <w:tcMar>
              <w:top w:w="100" w:type="dxa"/>
              <w:start w:w="120" w:type="dxa"/>
              <w:bottom w:w="100" w:type="dxa"/>
              <w:end w:w="120" w:type="dxa"/>
            </w:tcMar>
            <w:vAlign w:val="center"/>
            <w:shd w:fill="F5F7F8"/>
          </w:tcPr>
          <w:p>
            <w:pPr>
              <w:spacing w:after="0" w:line="240" w:lineRule="auto"/>
            </w:pPr>
            <w:r>
              <w:rPr>
                <w:sz w:val="17"/>
              </w:rPr>
              <w:t>Misleading research result</w:t>
            </w:r>
          </w:p>
        </w:tc>
        <w:tc>
          <w:tcPr>
            <w:tcW w:type="dxa" w:w="3331"/>
            <w:tcMar>
              <w:top w:w="100" w:type="dxa"/>
              <w:start w:w="120" w:type="dxa"/>
              <w:bottom w:w="100" w:type="dxa"/>
              <w:end w:w="120" w:type="dxa"/>
            </w:tcMar>
            <w:vAlign w:val="center"/>
            <w:shd w:fill="F5F7F8"/>
          </w:tcPr>
          <w:p>
            <w:pPr>
              <w:spacing w:after="0" w:line="240" w:lineRule="auto"/>
            </w:pPr>
            <w:r>
              <w:rPr>
                <w:sz w:val="17"/>
              </w:rPr>
              <w:t>RandomSearch is required and equally instrumented</w:t>
            </w:r>
          </w:p>
        </w:tc>
      </w:tr>
      <w:tr>
        <w:tc>
          <w:tcPr>
            <w:tcW w:type="dxa" w:w="3331"/>
            <w:tcMar>
              <w:top w:w="100" w:type="dxa"/>
              <w:start w:w="120" w:type="dxa"/>
              <w:bottom w:w="100" w:type="dxa"/>
              <w:end w:w="120" w:type="dxa"/>
            </w:tcMar>
            <w:vAlign w:val="center"/>
          </w:tcPr>
          <w:p>
            <w:pPr>
              <w:spacing w:after="0" w:line="240" w:lineRule="auto"/>
            </w:pPr>
            <w:r>
              <w:rPr>
                <w:sz w:val="17"/>
              </w:rPr>
              <w:t>Provider usage unavailable</w:t>
            </w:r>
          </w:p>
        </w:tc>
        <w:tc>
          <w:tcPr>
            <w:tcW w:type="dxa" w:w="3331"/>
            <w:tcMar>
              <w:top w:w="100" w:type="dxa"/>
              <w:start w:w="120" w:type="dxa"/>
              <w:bottom w:w="100" w:type="dxa"/>
              <w:end w:w="120" w:type="dxa"/>
            </w:tcMar>
            <w:vAlign w:val="center"/>
          </w:tcPr>
          <w:p>
            <w:pPr>
              <w:spacing w:after="0" w:line="240" w:lineRule="auto"/>
            </w:pPr>
            <w:r>
              <w:rPr>
                <w:sz w:val="17"/>
              </w:rPr>
              <w:t>Incorrect budgets</w:t>
            </w:r>
          </w:p>
        </w:tc>
        <w:tc>
          <w:tcPr>
            <w:tcW w:type="dxa" w:w="3331"/>
            <w:tcMar>
              <w:top w:w="100" w:type="dxa"/>
              <w:start w:w="120" w:type="dxa"/>
              <w:bottom w:w="100" w:type="dxa"/>
              <w:end w:w="120" w:type="dxa"/>
            </w:tcMar>
            <w:vAlign w:val="center"/>
          </w:tcPr>
          <w:p>
            <w:pPr>
              <w:spacing w:after="0" w:line="240" w:lineRule="auto"/>
            </w:pPr>
            <w:r>
              <w:rPr>
                <w:sz w:val="17"/>
              </w:rPr>
              <w:t>Estimated marker, conservative preflight, hard and soft budgets</w:t>
            </w:r>
          </w:p>
        </w:tc>
      </w:tr>
      <w:tr>
        <w:tc>
          <w:tcPr>
            <w:tcW w:type="dxa" w:w="3331"/>
            <w:tcMar>
              <w:top w:w="100" w:type="dxa"/>
              <w:start w:w="120" w:type="dxa"/>
              <w:bottom w:w="100" w:type="dxa"/>
              <w:end w:w="120" w:type="dxa"/>
            </w:tcMar>
            <w:vAlign w:val="center"/>
            <w:shd w:fill="F5F7F8"/>
          </w:tcPr>
          <w:p>
            <w:pPr>
              <w:spacing w:after="0" w:line="240" w:lineRule="auto"/>
            </w:pPr>
            <w:r>
              <w:rPr>
                <w:sz w:val="17"/>
              </w:rPr>
              <w:t>Cache returns stale result</w:t>
            </w:r>
          </w:p>
        </w:tc>
        <w:tc>
          <w:tcPr>
            <w:tcW w:type="dxa" w:w="3331"/>
            <w:tcMar>
              <w:top w:w="100" w:type="dxa"/>
              <w:start w:w="120" w:type="dxa"/>
              <w:bottom w:w="100" w:type="dxa"/>
              <w:end w:w="120" w:type="dxa"/>
            </w:tcMar>
            <w:vAlign w:val="center"/>
            <w:shd w:fill="F5F7F8"/>
          </w:tcPr>
          <w:p>
            <w:pPr>
              <w:spacing w:after="0" w:line="240" w:lineRule="auto"/>
            </w:pPr>
            <w:r>
              <w:rPr>
                <w:sz w:val="17"/>
              </w:rPr>
              <w:t>Invalid comparison</w:t>
            </w:r>
          </w:p>
        </w:tc>
        <w:tc>
          <w:tcPr>
            <w:tcW w:type="dxa" w:w="3331"/>
            <w:tcMar>
              <w:top w:w="100" w:type="dxa"/>
              <w:start w:w="120" w:type="dxa"/>
              <w:bottom w:w="100" w:type="dxa"/>
              <w:end w:w="120" w:type="dxa"/>
            </w:tcMar>
            <w:vAlign w:val="center"/>
            <w:shd w:fill="F5F7F8"/>
          </w:tcPr>
          <w:p>
            <w:pPr>
              <w:spacing w:after="0" w:line="240" w:lineRule="auto"/>
            </w:pPr>
            <w:r>
              <w:rPr>
                <w:sz w:val="17"/>
              </w:rPr>
              <w:t>Semantic fingerprints and component versions</w:t>
            </w:r>
          </w:p>
        </w:tc>
      </w:tr>
      <w:tr>
        <w:tc>
          <w:tcPr>
            <w:tcW w:type="dxa" w:w="3331"/>
            <w:tcMar>
              <w:top w:w="100" w:type="dxa"/>
              <w:start w:w="120" w:type="dxa"/>
              <w:bottom w:w="100" w:type="dxa"/>
              <w:end w:w="120" w:type="dxa"/>
            </w:tcMar>
            <w:vAlign w:val="center"/>
          </w:tcPr>
          <w:p>
            <w:pPr>
              <w:spacing w:after="0" w:line="240" w:lineRule="auto"/>
            </w:pPr>
            <w:r>
              <w:rPr>
                <w:sz w:val="17"/>
              </w:rPr>
              <w:t>Optional integration drives core design</w:t>
            </w:r>
          </w:p>
        </w:tc>
        <w:tc>
          <w:tcPr>
            <w:tcW w:type="dxa" w:w="3331"/>
            <w:tcMar>
              <w:top w:w="100" w:type="dxa"/>
              <w:start w:w="120" w:type="dxa"/>
              <w:bottom w:w="100" w:type="dxa"/>
              <w:end w:w="120" w:type="dxa"/>
            </w:tcMar>
            <w:vAlign w:val="center"/>
          </w:tcPr>
          <w:p>
            <w:pPr>
              <w:spacing w:after="0" w:line="240" w:lineRule="auto"/>
            </w:pPr>
            <w:r>
              <w:rPr>
                <w:sz w:val="17"/>
              </w:rPr>
              <w:t>Dependency instability</w:t>
            </w:r>
          </w:p>
        </w:tc>
        <w:tc>
          <w:tcPr>
            <w:tcW w:type="dxa" w:w="3331"/>
            <w:tcMar>
              <w:top w:w="100" w:type="dxa"/>
              <w:start w:w="120" w:type="dxa"/>
              <w:bottom w:w="100" w:type="dxa"/>
              <w:end w:w="120" w:type="dxa"/>
            </w:tcMar>
            <w:vAlign w:val="center"/>
          </w:tcPr>
          <w:p>
            <w:pPr>
              <w:spacing w:after="0" w:line="240" w:lineRule="auto"/>
            </w:pPr>
            <w:r>
              <w:rPr>
                <w:sz w:val="17"/>
              </w:rPr>
              <w:t>Ports and import boundaries</w:t>
            </w:r>
          </w:p>
        </w:tc>
      </w:tr>
      <w:tr>
        <w:tc>
          <w:tcPr>
            <w:tcW w:type="dxa" w:w="3331"/>
            <w:tcMar>
              <w:top w:w="100" w:type="dxa"/>
              <w:start w:w="120" w:type="dxa"/>
              <w:bottom w:w="100" w:type="dxa"/>
              <w:end w:w="120" w:type="dxa"/>
            </w:tcMar>
            <w:vAlign w:val="center"/>
            <w:shd w:fill="F5F7F8"/>
          </w:tcPr>
          <w:p>
            <w:pPr>
              <w:spacing w:after="0" w:line="240" w:lineRule="auto"/>
            </w:pPr>
            <w:r>
              <w:rPr>
                <w:sz w:val="17"/>
              </w:rPr>
              <w:t>Trial concurrency overloads provider</w:t>
            </w:r>
          </w:p>
        </w:tc>
        <w:tc>
          <w:tcPr>
            <w:tcW w:type="dxa" w:w="3331"/>
            <w:tcMar>
              <w:top w:w="100" w:type="dxa"/>
              <w:start w:w="120" w:type="dxa"/>
              <w:bottom w:w="100" w:type="dxa"/>
              <w:end w:w="120" w:type="dxa"/>
            </w:tcMar>
            <w:vAlign w:val="center"/>
            <w:shd w:fill="F5F7F8"/>
          </w:tcPr>
          <w:p>
            <w:pPr>
              <w:spacing w:after="0" w:line="240" w:lineRule="auto"/>
            </w:pPr>
            <w:r>
              <w:rPr>
                <w:sz w:val="17"/>
              </w:rPr>
              <w:t>Rate limits and cost spikes</w:t>
            </w:r>
          </w:p>
        </w:tc>
        <w:tc>
          <w:tcPr>
            <w:tcW w:type="dxa" w:w="3331"/>
            <w:tcMar>
              <w:top w:w="100" w:type="dxa"/>
              <w:start w:w="120" w:type="dxa"/>
              <w:bottom w:w="100" w:type="dxa"/>
              <w:end w:w="120" w:type="dxa"/>
            </w:tcMar>
            <w:vAlign w:val="center"/>
            <w:shd w:fill="F5F7F8"/>
          </w:tcPr>
          <w:p>
            <w:pPr>
              <w:spacing w:after="0" w:line="240" w:lineRule="auto"/>
            </w:pPr>
            <w:r>
              <w:rPr>
                <w:sz w:val="17"/>
              </w:rPr>
              <w:t>Bounded concurrency, retries, callback visibility</w:t>
            </w:r>
          </w:p>
        </w:tc>
      </w:tr>
      <w:tr>
        <w:tc>
          <w:tcPr>
            <w:tcW w:type="dxa" w:w="3331"/>
            <w:tcMar>
              <w:top w:w="100" w:type="dxa"/>
              <w:start w:w="120" w:type="dxa"/>
              <w:bottom w:w="100" w:type="dxa"/>
              <w:end w:w="120" w:type="dxa"/>
            </w:tcMar>
            <w:vAlign w:val="center"/>
          </w:tcPr>
          <w:p>
            <w:pPr>
              <w:spacing w:after="0" w:line="240" w:lineRule="auto"/>
            </w:pPr>
            <w:r>
              <w:rPr>
                <w:sz w:val="17"/>
              </w:rPr>
              <w:t>Sensitive content leaks to logs or mirrors</w:t>
            </w:r>
          </w:p>
        </w:tc>
        <w:tc>
          <w:tcPr>
            <w:tcW w:type="dxa" w:w="3331"/>
            <w:tcMar>
              <w:top w:w="100" w:type="dxa"/>
              <w:start w:w="120" w:type="dxa"/>
              <w:bottom w:w="100" w:type="dxa"/>
              <w:end w:w="120" w:type="dxa"/>
            </w:tcMar>
            <w:vAlign w:val="center"/>
          </w:tcPr>
          <w:p>
            <w:pPr>
              <w:spacing w:after="0" w:line="240" w:lineRule="auto"/>
            </w:pPr>
            <w:r>
              <w:rPr>
                <w:sz w:val="17"/>
              </w:rPr>
              <w:t>Privacy incident</w:t>
            </w:r>
          </w:p>
        </w:tc>
        <w:tc>
          <w:tcPr>
            <w:tcW w:type="dxa" w:w="3331"/>
            <w:tcMar>
              <w:top w:w="100" w:type="dxa"/>
              <w:start w:w="120" w:type="dxa"/>
              <w:bottom w:w="100" w:type="dxa"/>
              <w:end w:w="120" w:type="dxa"/>
            </w:tcMar>
            <w:vAlign w:val="center"/>
          </w:tcPr>
          <w:p>
            <w:pPr>
              <w:spacing w:after="0" w:line="240" w:lineRule="auto"/>
            </w:pPr>
            <w:r>
              <w:rPr>
                <w:sz w:val="17"/>
              </w:rPr>
              <w:t>Minimal payload defaults and explicit export policy</w:t>
            </w:r>
          </w:p>
        </w:tc>
      </w:tr>
    </w:tbl>
    <w:p>
      <w:pPr>
        <w:spacing w:after="20"/>
      </w:pPr>
    </w:p>
    <w:p>
      <w:pPr>
        <w:pStyle w:val="Heading1"/>
      </w:pPr>
      <w:r>
        <w:t>Release acceptance checklist</w:t>
      </w:r>
    </w:p>
    <w:p>
      <w:pPr>
        <w:spacing w:after="50" w:line="269" w:lineRule="auto"/>
        <w:ind w:left="115"/>
      </w:pPr>
      <w:r>
        <w:t xml:space="preserve">1. </w:t>
      </w:r>
      <w:r>
        <w:t>Public API examples run against the built wheel.</w:t>
      </w:r>
      <w:r>
        <w:br/>
      </w:r>
      <w:r>
        <w:t xml:space="preserve">2. </w:t>
      </w:r>
      <w:r>
        <w:t>RandomSearch, LLMSearch fallback, custom evaluator, RAGAS extra, SQLite resume, caching, and usage aggregation pass end-to-end tests.</w:t>
      </w:r>
      <w:r>
        <w:br/>
      </w:r>
      <w:r>
        <w:t xml:space="preserve">3. </w:t>
      </w:r>
      <w:r>
        <w:t>Migration fixtures upgrade from every released schema.</w:t>
      </w:r>
      <w:r>
        <w:br/>
      </w:r>
      <w:r>
        <w:t xml:space="preserve">4. </w:t>
      </w:r>
      <w:r>
        <w:t>Base package import passes with no optional extras.</w:t>
      </w:r>
      <w:r>
        <w:br/>
      </w:r>
      <w:r>
        <w:t xml:space="preserve">5. </w:t>
      </w:r>
      <w:r>
        <w:t>The reference RAG example is isolated from core and documents its costs and limitations.</w:t>
      </w:r>
      <w:r>
        <w:br/>
      </w:r>
      <w:r>
        <w:t xml:space="preserve">6. </w:t>
      </w:r>
      <w:r>
        <w:t>Error messages and config display are reviewed for secret leakage.</w:t>
      </w:r>
      <w:r>
        <w:br/>
      </w:r>
      <w:r>
        <w:t xml:space="preserve">7. </w:t>
      </w:r>
      <w:r>
        <w:t>A complete interrupted-study scenario resumes to the same final trial set as an uninterrupted seeded run where deterministic components are used.</w:t>
      </w:r>
    </w:p>
    <w:p>
      <w:pPr>
        <w:pStyle w:val="Heading1"/>
      </w:pPr>
      <w:r>
        <w:t>Roadmap</w:t>
      </w:r>
    </w:p>
    <w:p>
      <w:pPr>
        <w:pStyle w:val="Heading2"/>
      </w:pPr>
      <w:r>
        <w:t>V0.1</w:t>
      </w:r>
    </w:p>
    <w:p>
      <w:r>
        <w:t>Core adapter, typed spaces, RandomSearch, LLMSearch, evaluator plugins, optional RAGAS, scalar objectives, SQLite, caching, retries, resume, callbacks, usage tracking, synthetic generation, CLI, and reference example.</w:t>
      </w:r>
    </w:p>
    <w:p>
      <w:pPr>
        <w:pStyle w:val="Heading2"/>
      </w:pPr>
      <w:r>
        <w:t>V0.2 candidates</w:t>
      </w:r>
    </w:p>
    <w:p>
      <w:r>
        <w:t>Grid search, richer conditional spaces, retrieval-only optimization helpers, improved reports, experiment comparison, framework adapter previews, and stronger pricing-table management.</w:t>
      </w:r>
    </w:p>
    <w:p>
      <w:pPr>
        <w:pStyle w:val="Heading2"/>
      </w:pPr>
      <w:r>
        <w:t>V0.3 and later candidates</w:t>
      </w:r>
    </w:p>
    <w:p>
      <w:r>
        <w:t>Bayesian or evolutionary strategies, Pareto-frontier selection, Postgres store, distributed workers, LangChain and LlamaIndex stable adapters, service API, and dashboard integrations. Roadmap items remain uncommitted until validated by usage.</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Product Requirement Document</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