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System Architecture Document</w:t>
      </w:r>
    </w:p>
    <w:p>
      <w:pPr>
        <w:pStyle w:val="Subtitle"/>
      </w:pPr>
      <w:r>
        <w:rPr>
          <w:rFonts w:ascii="Aptos" w:hAnsi="Aptos"/>
          <w:color w:val="4D4D4D"/>
          <w:sz w:val="30"/>
        </w:rPr>
        <w:t>autorag-tuner Python package</w:t>
      </w:r>
    </w:p>
    <w:p>
      <w:r>
        <w:t>Overall architecture, data and control flows, adapters, search, evaluation, storage, caching, observability, and entrypoints.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Architects, maintainers, advanced users, and reviewers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autorag-tuner is a single-process, async orchestration library in V0.1. It surrounds a user-owned RAG pipeline with a repeatable study loop: suggest a typed configuration, execute it on an evaluation split, compute pluggable metrics and an objective, commit the result, update strategy state, and continue until a stop condition fires. Durable SQLite state makes this loop resumable and auditable.</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Component Map for responsibilities</w:t>
      </w:r>
    </w:p>
    <w:p>
      <w:pPr>
        <w:pStyle w:val="ListBullet"/>
      </w:pPr>
      <w:r>
        <w:t>Technical Design Document for implementation detail</w:t>
      </w:r>
    </w:p>
    <w:p>
      <w:pPr>
        <w:pStyle w:val="ListBullet"/>
      </w:pPr>
      <w:r>
        <w:t>Database Schema for persistence</w:t>
      </w:r>
    </w:p>
    <w:p>
      <w:pPr>
        <w:pStyle w:val="ListBullet"/>
      </w:pPr>
      <w:r>
        <w:t>API Specification for public entrypoints</w:t>
      </w:r>
    </w:p>
    <w:p>
      <w:pPr>
        <w:pStyle w:val="Heading1"/>
      </w:pPr>
      <w:r>
        <w:t>Architectural context</w:t>
      </w:r>
    </w:p>
    <w:p>
      <w:r>
        <w:t>The package runs inside a user's Python process or CLI process. It calls the user's adapter and optional external model or evaluation providers. It owns experiment control and local records but does not own production traffic, deployment, vector storage, or corpus lifecycle.</w:t>
      </w:r>
    </w:p>
    <w:p>
      <w:pPr>
        <w:spacing w:before="80" w:after="140" w:line="240" w:lineRule="auto"/>
        <w:ind w:left="360" w:right="216"/>
      </w:pPr>
      <w:r>
        <w:rPr>
          <w:rFonts w:ascii="Cascadia Mono" w:hAnsi="Cascadia Mono"/>
          <w:sz w:val="17"/>
        </w:rPr>
        <w:t>Evaluation files and documents        External model services</w:t>
        <w:br/>
      </w:r>
      <w:r>
        <w:rPr>
          <w:rFonts w:ascii="Cascadia Mono" w:hAnsi="Cascadia Mono"/>
          <w:sz w:val="17"/>
        </w:rPr>
        <w:t xml:space="preserve">              |                                  ^</w:t>
        <w:br/>
      </w:r>
      <w:r>
        <w:rPr>
          <w:rFonts w:ascii="Cascadia Mono" w:hAnsi="Cascadia Mono"/>
          <w:sz w:val="17"/>
        </w:rPr>
        <w:t xml:space="preserve">              v                                  |</w:t>
        <w:br/>
      </w:r>
      <w:r>
        <w:rPr>
          <w:rFonts w:ascii="Cascadia Mono" w:hAnsi="Cascadia Mono"/>
          <w:sz w:val="17"/>
        </w:rPr>
        <w:t xml:space="preserve">        EvaluationDataset                 optional integrations</w:t>
        <w:br/>
      </w:r>
      <w:r>
        <w:rPr>
          <w:rFonts w:ascii="Cascadia Mono" w:hAnsi="Cascadia Mono"/>
          <w:sz w:val="17"/>
        </w:rPr>
        <w:t xml:space="preserve">              |                                  ^</w:t>
        <w:br/>
      </w:r>
      <w:r>
        <w:rPr>
          <w:rFonts w:ascii="Cascadia Mono" w:hAnsi="Cascadia Mono"/>
          <w:sz w:val="17"/>
        </w:rPr>
        <w:t xml:space="preserve">              v                                  |</w:t>
        <w:br/>
      </w:r>
      <w:r>
        <w:rPr>
          <w:rFonts w:ascii="Cascadia Mono" w:hAnsi="Cascadia Mono"/>
          <w:sz w:val="17"/>
        </w:rPr>
        <w:t>User or CLI -&gt; Optimizer -&gt; RAGAdapter -&gt; user RAG pipeline</w:t>
        <w:br/>
      </w:r>
      <w:r>
        <w:rPr>
          <w:rFonts w:ascii="Cascadia Mono" w:hAnsi="Cascadia Mono"/>
          <w:sz w:val="17"/>
        </w:rPr>
        <w:t xml:space="preserve">              |     |             |</w:t>
        <w:br/>
      </w:r>
      <w:r>
        <w:rPr>
          <w:rFonts w:ascii="Cascadia Mono" w:hAnsi="Cascadia Mono"/>
          <w:sz w:val="17"/>
        </w:rPr>
        <w:t xml:space="preserve">              |     v             v</w:t>
        <w:br/>
      </w:r>
      <w:r>
        <w:rPr>
          <w:rFonts w:ascii="Cascadia Mono" w:hAnsi="Cascadia Mono"/>
          <w:sz w:val="17"/>
        </w:rPr>
        <w:t xml:space="preserve">              |  Strategy      RunResult</w:t>
        <w:br/>
      </w:r>
      <w:r>
        <w:rPr>
          <w:rFonts w:ascii="Cascadia Mono" w:hAnsi="Cascadia Mono"/>
          <w:sz w:val="17"/>
        </w:rPr>
        <w:t xml:space="preserve">              |     |             |</w:t>
        <w:br/>
      </w:r>
      <w:r>
        <w:rPr>
          <w:rFonts w:ascii="Cascadia Mono" w:hAnsi="Cascadia Mono"/>
          <w:sz w:val="17"/>
        </w:rPr>
        <w:t xml:space="preserve">              |     +------&gt; Evaluators -&gt; Objective</w:t>
        <w:br/>
      </w:r>
      <w:r>
        <w:rPr>
          <w:rFonts w:ascii="Cascadia Mono" w:hAnsi="Cascadia Mono"/>
          <w:sz w:val="17"/>
        </w:rPr>
        <w:t xml:space="preserve">              |                         |</w:t>
        <w:br/>
      </w:r>
      <w:r>
        <w:rPr>
          <w:rFonts w:ascii="Cascadia Mono" w:hAnsi="Cascadia Mono"/>
          <w:sz w:val="17"/>
        </w:rPr>
        <w:t xml:space="preserve">              +------&gt; SQLite store &lt;---+</w:t>
        <w:br/>
      </w:r>
      <w:r>
        <w:rPr>
          <w:rFonts w:ascii="Cascadia Mono" w:hAnsi="Cascadia Mono"/>
          <w:sz w:val="17"/>
        </w:rPr>
        <w:t xml:space="preserve">              +------&gt; Cache and artifacts</w:t>
        <w:br/>
      </w:r>
      <w:r>
        <w:rPr>
          <w:rFonts w:ascii="Cascadia Mono" w:hAnsi="Cascadia Mono"/>
          <w:sz w:val="17"/>
        </w:rPr>
        <w:t xml:space="preserve">              `------&gt; Events and callbacks -&gt; MLflow optional mirror</w:t>
      </w:r>
    </w:p>
    <w:p>
      <w:pPr>
        <w:pStyle w:val="Heading1"/>
      </w:pPr>
      <w:r>
        <w:t>Architectural style</w:t>
      </w:r>
    </w:p>
    <w:p>
      <w:r>
        <w:t>The system uses ports and adapters around a domain-focused orchestration core. Public protocols define replaceable behavior. Core state changes are durable before observers are notified. Functional calculation is preferred for hashes, normalization, aggregation, and objective scoring; stateful services handle scheduling and transactions.</w:t>
      </w:r>
    </w:p>
    <w:p>
      <w:pPr>
        <w:pStyle w:val="Heading1"/>
      </w:pPr>
      <w:r>
        <w:t>Primary data flow</w:t>
      </w:r>
    </w:p>
    <w:p>
      <w:pPr>
        <w:pStyle w:val="Heading2"/>
      </w:pPr>
      <w:r>
        <w:t>Dataset preparation</w:t>
      </w:r>
    </w:p>
    <w:p>
      <w:r>
        <w:t>User records or documents enter the dataset layer. The package maps fields, normalizes text, validates evaluator requirements, assigns stable identities, creates deterministic splits, and computes a dataset hash. Optional synthetic generation calls an external model through an injected client and records source provenance and usage.</w:t>
      </w:r>
    </w:p>
    <w:p>
      <w:pPr>
        <w:pStyle w:val="Heading2"/>
      </w:pPr>
      <w:r>
        <w:t>Candidate generation</w:t>
      </w:r>
    </w:p>
    <w:p>
      <w:r>
        <w:t>The study controller asks a strategy for enough candidates to fill available trial capacity. The request contains the typed search space, budgets, a bounded summary of completed trials, and deduplication hints. Candidates pass through canonical validation before reservation.</w:t>
      </w:r>
    </w:p>
    <w:p>
      <w:pPr>
        <w:pStyle w:val="Heading2"/>
      </w:pPr>
      <w:r>
        <w:t>Trial execution</w:t>
      </w:r>
    </w:p>
    <w:p>
      <w:r>
        <w:t>The runner prepares adapter resources once per candidate when supported. It processes evaluation samples concurrently within a limit. Each successful adapter call yields answer, contexts, metadata, and usage. Evaluators run according to dependency and batching capabilities. Results aggregate by split, then the objective produces a comparable scalar and components.</w:t>
      </w:r>
    </w:p>
    <w:p>
      <w:pPr>
        <w:pStyle w:val="Heading2"/>
      </w:pPr>
      <w:r>
        <w:t>Commit and feedback</w:t>
      </w:r>
    </w:p>
    <w:p>
      <w:r>
        <w:t>The store commits sample outcomes, metrics, usage, trial status, events, and best-trial change atomically. After commit, the strategy observes the result and callbacks receive events. The controller checks stop conditions and repeats.</w:t>
      </w:r>
    </w:p>
    <w:p>
      <w:pPr>
        <w:pStyle w:val="Heading1"/>
      </w:pPr>
      <w:r>
        <w:t>Control flow</w:t>
      </w:r>
    </w:p>
    <w:p>
      <w:pPr>
        <w:spacing w:before="80" w:after="140" w:line="240" w:lineRule="auto"/>
        <w:ind w:left="360" w:right="216"/>
      </w:pPr>
      <w:r>
        <w:rPr>
          <w:rFonts w:ascii="Cascadia Mono" w:hAnsi="Cascadia Mono"/>
          <w:sz w:val="17"/>
        </w:rPr>
        <w:t>validate inputs</w:t>
        <w:br/>
      </w:r>
      <w:r>
        <w:rPr>
          <w:rFonts w:ascii="Cascadia Mono" w:hAnsi="Cascadia Mono"/>
          <w:sz w:val="17"/>
        </w:rPr>
        <w:t xml:space="preserve">    |</w:t>
        <w:br/>
      </w:r>
      <w:r>
        <w:rPr>
          <w:rFonts w:ascii="Cascadia Mono" w:hAnsi="Cascadia Mono"/>
          <w:sz w:val="17"/>
        </w:rPr>
        <w:t>create or load study</w:t>
        <w:br/>
      </w:r>
      <w:r>
        <w:rPr>
          <w:rFonts w:ascii="Cascadia Mono" w:hAnsi="Cascadia Mono"/>
          <w:sz w:val="17"/>
        </w:rPr>
        <w:t xml:space="preserve">    |</w:t>
        <w:br/>
      </w:r>
      <w:r>
        <w:rPr>
          <w:rFonts w:ascii="Cascadia Mono" w:hAnsi="Cascadia Mono"/>
          <w:sz w:val="17"/>
        </w:rPr>
        <w:t>initialize or replay strategy</w:t>
        <w:br/>
      </w:r>
      <w:r>
        <w:rPr>
          <w:rFonts w:ascii="Cascadia Mono" w:hAnsi="Cascadia Mono"/>
          <w:sz w:val="17"/>
        </w:rPr>
        <w:t xml:space="preserve">    |</w:t>
        <w:br/>
      </w:r>
      <w:r>
        <w:rPr>
          <w:rFonts w:ascii="Cascadia Mono" w:hAnsi="Cascadia Mono"/>
          <w:sz w:val="17"/>
        </w:rPr>
        <w:t>+---v----------------------------------------------------+</w:t>
        <w:br/>
      </w:r>
      <w:r>
        <w:rPr>
          <w:rFonts w:ascii="Cascadia Mono" w:hAnsi="Cascadia Mono"/>
          <w:sz w:val="17"/>
        </w:rPr>
        <w:t>| check budgets and stop conditions                     |</w:t>
        <w:br/>
      </w:r>
      <w:r>
        <w:rPr>
          <w:rFonts w:ascii="Cascadia Mono" w:hAnsi="Cascadia Mono"/>
          <w:sz w:val="17"/>
        </w:rPr>
        <w:t>| request and reserve candidates                        |</w:t>
        <w:br/>
      </w:r>
      <w:r>
        <w:rPr>
          <w:rFonts w:ascii="Cascadia Mono" w:hAnsi="Cascadia Mono"/>
          <w:sz w:val="17"/>
        </w:rPr>
        <w:t>| execute bounded concurrent trials                     |</w:t>
        <w:br/>
      </w:r>
      <w:r>
        <w:rPr>
          <w:rFonts w:ascii="Cascadia Mono" w:hAnsi="Cascadia Mono"/>
          <w:sz w:val="17"/>
        </w:rPr>
        <w:t>| commit each terminal result                           |</w:t>
        <w:br/>
      </w:r>
      <w:r>
        <w:rPr>
          <w:rFonts w:ascii="Cascadia Mono" w:hAnsi="Cascadia Mono"/>
          <w:sz w:val="17"/>
        </w:rPr>
        <w:t>| observe results and emit callbacks                    |</w:t>
        <w:br/>
      </w:r>
      <w:r>
        <w:rPr>
          <w:rFonts w:ascii="Cascadia Mono" w:hAnsi="Cascadia Mono"/>
          <w:sz w:val="17"/>
        </w:rPr>
        <w:t>| repeat while capacity and conditions permit           |</w:t>
        <w:br/>
      </w:r>
      <w:r>
        <w:rPr>
          <w:rFonts w:ascii="Cascadia Mono" w:hAnsi="Cascadia Mono"/>
          <w:sz w:val="17"/>
        </w:rPr>
        <w:t>+---+----------------------------------------------------+</w:t>
        <w:br/>
      </w:r>
      <w:r>
        <w:rPr>
          <w:rFonts w:ascii="Cascadia Mono" w:hAnsi="Cascadia Mono"/>
          <w:sz w:val="17"/>
        </w:rPr>
        <w:t xml:space="preserve">    |</w:t>
        <w:br/>
      </w:r>
      <w:r>
        <w:rPr>
          <w:rFonts w:ascii="Cascadia Mono" w:hAnsi="Cascadia Mono"/>
          <w:sz w:val="17"/>
        </w:rPr>
        <w:t>evaluate selected candidate on test split if configured</w:t>
        <w:br/>
      </w:r>
      <w:r>
        <w:rPr>
          <w:rFonts w:ascii="Cascadia Mono" w:hAnsi="Cascadia Mono"/>
          <w:sz w:val="17"/>
        </w:rPr>
        <w:t xml:space="preserve">    |</w:t>
        <w:br/>
      </w:r>
      <w:r>
        <w:rPr>
          <w:rFonts w:ascii="Cascadia Mono" w:hAnsi="Cascadia Mono"/>
          <w:sz w:val="17"/>
        </w:rPr>
        <w:t>finalize study and build OptimizationResult</w:t>
      </w:r>
    </w:p>
    <w:p>
      <w:pPr>
        <w:pStyle w:val="Heading1"/>
      </w:pPr>
      <w:r>
        <w:t>Async and sync entrypoints</w:t>
      </w:r>
    </w:p>
    <w:p>
      <w:r>
        <w:rPr>
          <w:rFonts w:ascii="Cascadia Mono" w:hAnsi="Cascadia Mono"/>
          <w:sz w:val="18"/>
        </w:rPr>
        <w:t>aoptimize</w:t>
      </w:r>
      <w:r>
        <w:t xml:space="preserve"> runs in the caller's event loop and uses async providers directly. </w:t>
      </w:r>
      <w:r>
        <w:rPr>
          <w:rFonts w:ascii="Cascadia Mono" w:hAnsi="Cascadia Mono"/>
          <w:sz w:val="18"/>
        </w:rPr>
        <w:t>optimize</w:t>
      </w:r>
      <w:r>
        <w:t xml:space="preserve"> owns a new loop when called from normal synchronous code. It raises a targeted error if a loop is already running. Internal APIs do not maintain parallel sync implementations.</w:t>
      </w:r>
    </w:p>
    <w:p>
      <w:r>
        <w:t>Concurrency has two levels. Trial concurrency evaluates different configurations in parallel. Sample concurrency evaluates different queries within one candidate. A global provider limiter may further cap calls across adapter, evaluator, synthetic generation, and LLM search integrations.</w:t>
      </w:r>
    </w:p>
    <w:p>
      <w:pPr>
        <w:pStyle w:val="Heading1"/>
      </w:pPr>
      <w:r>
        <w:t>Adapter architecture</w:t>
      </w:r>
    </w:p>
    <w:p>
      <w:r>
        <w:t>RAGAdapter is intentionally narrower than a framework abstraction. It receives a query, candidate config, sample, and run context. It returns normalized output. Optional prepare and teardown methods support expensive per-candidate indexes or clients.</w:t>
      </w:r>
    </w:p>
    <w:p>
      <w:r>
        <w:t>Adapters may declare capabilities: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997"/>
            <w:shd w:fill="17324D"/>
            <w:tcMar>
              <w:top w:w="115" w:type="dxa"/>
              <w:start w:w="120" w:type="dxa"/>
              <w:bottom w:w="115" w:type="dxa"/>
              <w:end w:w="120" w:type="dxa"/>
            </w:tcMar>
            <w:vAlign w:val="center"/>
          </w:tcPr>
          <w:p>
            <w:r>
              <w:rPr>
                <w:b/>
                <w:color w:val="FFFFFF"/>
                <w:sz w:val="18"/>
              </w:rPr>
              <w:t>Capability</w:t>
            </w:r>
          </w:p>
        </w:tc>
        <w:tc>
          <w:tcPr>
            <w:tcW w:type="dxa" w:w="4997"/>
            <w:shd w:fill="17324D"/>
            <w:tcMar>
              <w:top w:w="115" w:type="dxa"/>
              <w:start w:w="120" w:type="dxa"/>
              <w:bottom w:w="115" w:type="dxa"/>
              <w:end w:w="120" w:type="dxa"/>
            </w:tcMar>
            <w:vAlign w:val="center"/>
          </w:tcPr>
          <w:p>
            <w:r>
              <w:rPr>
                <w:b/>
                <w:color w:val="FFFFFF"/>
                <w:sz w:val="18"/>
              </w:rPr>
              <w:t>Effect</w:t>
            </w:r>
          </w:p>
        </w:tc>
      </w:tr>
      <w:tr>
        <w:tc>
          <w:tcPr>
            <w:tcW w:type="dxa" w:w="4997"/>
            <w:tcMar>
              <w:top w:w="100" w:type="dxa"/>
              <w:start w:w="120" w:type="dxa"/>
              <w:bottom w:w="100" w:type="dxa"/>
              <w:end w:w="120" w:type="dxa"/>
            </w:tcMar>
            <w:vAlign w:val="center"/>
          </w:tcPr>
          <w:p>
            <w:pPr>
              <w:spacing w:after="0" w:line="240" w:lineRule="auto"/>
            </w:pPr>
            <w:r>
              <w:rPr>
                <w:sz w:val="17"/>
              </w:rPr>
              <w:t>`supports_parallel_samples`</w:t>
            </w:r>
          </w:p>
        </w:tc>
        <w:tc>
          <w:tcPr>
            <w:tcW w:type="dxa" w:w="4997"/>
            <w:tcMar>
              <w:top w:w="100" w:type="dxa"/>
              <w:start w:w="120" w:type="dxa"/>
              <w:bottom w:w="100" w:type="dxa"/>
              <w:end w:w="120" w:type="dxa"/>
            </w:tcMar>
            <w:vAlign w:val="center"/>
          </w:tcPr>
          <w:p>
            <w:pPr>
              <w:spacing w:after="0" w:line="240" w:lineRule="auto"/>
            </w:pPr>
            <w:r>
              <w:rPr>
                <w:sz w:val="17"/>
              </w:rPr>
              <w:t>Runner may execute multiple samples concurrently</w:t>
            </w:r>
          </w:p>
        </w:tc>
      </w:tr>
      <w:tr>
        <w:tc>
          <w:tcPr>
            <w:tcW w:type="dxa" w:w="4997"/>
            <w:tcMar>
              <w:top w:w="100" w:type="dxa"/>
              <w:start w:w="120" w:type="dxa"/>
              <w:bottom w:w="100" w:type="dxa"/>
              <w:end w:w="120" w:type="dxa"/>
            </w:tcMar>
            <w:vAlign w:val="center"/>
            <w:shd w:fill="F5F7F8"/>
          </w:tcPr>
          <w:p>
            <w:pPr>
              <w:spacing w:after="0" w:line="240" w:lineRule="auto"/>
            </w:pPr>
            <w:r>
              <w:rPr>
                <w:sz w:val="17"/>
              </w:rPr>
              <w:t>`supports_shared_preparation`</w:t>
            </w:r>
          </w:p>
        </w:tc>
        <w:tc>
          <w:tcPr>
            <w:tcW w:type="dxa" w:w="4997"/>
            <w:tcMar>
              <w:top w:w="100" w:type="dxa"/>
              <w:start w:w="120" w:type="dxa"/>
              <w:bottom w:w="100" w:type="dxa"/>
              <w:end w:w="120" w:type="dxa"/>
            </w:tcMar>
            <w:vAlign w:val="center"/>
            <w:shd w:fill="F5F7F8"/>
          </w:tcPr>
          <w:p>
            <w:pPr>
              <w:spacing w:after="0" w:line="240" w:lineRule="auto"/>
            </w:pPr>
            <w:r>
              <w:rPr>
                <w:sz w:val="17"/>
              </w:rPr>
              <w:t>Prepared artifact can be reused across equivalent config subsets</w:t>
            </w:r>
          </w:p>
        </w:tc>
      </w:tr>
      <w:tr>
        <w:tc>
          <w:tcPr>
            <w:tcW w:type="dxa" w:w="4997"/>
            <w:tcMar>
              <w:top w:w="100" w:type="dxa"/>
              <w:start w:w="120" w:type="dxa"/>
              <w:bottom w:w="100" w:type="dxa"/>
              <w:end w:w="120" w:type="dxa"/>
            </w:tcMar>
            <w:vAlign w:val="center"/>
          </w:tcPr>
          <w:p>
            <w:pPr>
              <w:spacing w:after="0" w:line="240" w:lineRule="auto"/>
            </w:pPr>
            <w:r>
              <w:rPr>
                <w:sz w:val="17"/>
              </w:rPr>
              <w:t>`reports_exact_usage`</w:t>
            </w:r>
          </w:p>
        </w:tc>
        <w:tc>
          <w:tcPr>
            <w:tcW w:type="dxa" w:w="4997"/>
            <w:tcMar>
              <w:top w:w="100" w:type="dxa"/>
              <w:start w:w="120" w:type="dxa"/>
              <w:bottom w:w="100" w:type="dxa"/>
              <w:end w:w="120" w:type="dxa"/>
            </w:tcMar>
            <w:vAlign w:val="center"/>
          </w:tcPr>
          <w:p>
            <w:pPr>
              <w:spacing w:after="0" w:line="240" w:lineRule="auto"/>
            </w:pPr>
            <w:r>
              <w:rPr>
                <w:sz w:val="17"/>
              </w:rPr>
              <w:t>Usage budgets can rely on provider values</w:t>
            </w:r>
          </w:p>
        </w:tc>
      </w:tr>
      <w:tr>
        <w:tc>
          <w:tcPr>
            <w:tcW w:type="dxa" w:w="4997"/>
            <w:tcMar>
              <w:top w:w="100" w:type="dxa"/>
              <w:start w:w="120" w:type="dxa"/>
              <w:bottom w:w="100" w:type="dxa"/>
              <w:end w:w="120" w:type="dxa"/>
            </w:tcMar>
            <w:vAlign w:val="center"/>
            <w:shd w:fill="F5F7F8"/>
          </w:tcPr>
          <w:p>
            <w:pPr>
              <w:spacing w:after="0" w:line="240" w:lineRule="auto"/>
            </w:pPr>
            <w:r>
              <w:rPr>
                <w:sz w:val="17"/>
              </w:rPr>
              <w:t>`supports_cancellation`</w:t>
            </w:r>
          </w:p>
        </w:tc>
        <w:tc>
          <w:tcPr>
            <w:tcW w:type="dxa" w:w="4997"/>
            <w:tcMar>
              <w:top w:w="100" w:type="dxa"/>
              <w:start w:w="120" w:type="dxa"/>
              <w:bottom w:w="100" w:type="dxa"/>
              <w:end w:w="120" w:type="dxa"/>
            </w:tcMar>
            <w:vAlign w:val="center"/>
            <w:shd w:fill="F5F7F8"/>
          </w:tcPr>
          <w:p>
            <w:pPr>
              <w:spacing w:after="0" w:line="240" w:lineRule="auto"/>
            </w:pPr>
            <w:r>
              <w:rPr>
                <w:sz w:val="17"/>
              </w:rPr>
              <w:t>Runner can expect prompt cancellation</w:t>
            </w:r>
          </w:p>
        </w:tc>
      </w:tr>
      <w:tr>
        <w:tc>
          <w:tcPr>
            <w:tcW w:type="dxa" w:w="4997"/>
            <w:tcMar>
              <w:top w:w="100" w:type="dxa"/>
              <w:start w:w="120" w:type="dxa"/>
              <w:bottom w:w="100" w:type="dxa"/>
              <w:end w:w="120" w:type="dxa"/>
            </w:tcMar>
            <w:vAlign w:val="center"/>
          </w:tcPr>
          <w:p>
            <w:pPr>
              <w:spacing w:after="0" w:line="240" w:lineRule="auto"/>
            </w:pPr>
            <w:r>
              <w:rPr>
                <w:sz w:val="17"/>
              </w:rPr>
              <w:t>`cacheable`</w:t>
            </w:r>
          </w:p>
        </w:tc>
        <w:tc>
          <w:tcPr>
            <w:tcW w:type="dxa" w:w="4997"/>
            <w:tcMar>
              <w:top w:w="100" w:type="dxa"/>
              <w:start w:w="120" w:type="dxa"/>
              <w:bottom w:w="100" w:type="dxa"/>
              <w:end w:w="120" w:type="dxa"/>
            </w:tcMar>
            <w:vAlign w:val="center"/>
          </w:tcPr>
          <w:p>
            <w:pPr>
              <w:spacing w:after="0" w:line="240" w:lineRule="auto"/>
            </w:pPr>
            <w:r>
              <w:rPr>
                <w:sz w:val="17"/>
              </w:rPr>
              <w:t>Run outputs may enter cache under declared fingerprint</w:t>
            </w:r>
          </w:p>
        </w:tc>
      </w:tr>
    </w:tbl>
    <w:p>
      <w:pPr>
        <w:spacing w:after="20"/>
      </w:pPr>
    </w:p>
    <w:p>
      <w:r>
        <w:t>Capability absence selects a safe behavior. The core does not branch on framework names.</w:t>
      </w:r>
    </w:p>
    <w:p>
      <w:pPr>
        <w:pStyle w:val="Heading1"/>
      </w:pPr>
      <w:r>
        <w:t>Search strategy architecture</w:t>
      </w:r>
    </w:p>
    <w:p>
      <w:r>
        <w:t>RandomSearch samples canonical candidates from parameter domains. It derives trial-level random streams from the study seed and reservation sequence. For finite spaces, it avoids repeats and detects exhaustion.</w:t>
      </w:r>
    </w:p>
    <w:p>
      <w:r>
        <w:t>LLMSearch has four subcomponents:</w:t>
      </w:r>
    </w:p>
    <w:p>
      <w:pPr>
        <w:spacing w:after="50" w:line="269" w:lineRule="auto"/>
        <w:ind w:left="115"/>
      </w:pPr>
      <w:r>
        <w:t xml:space="preserve">1. </w:t>
      </w:r>
      <w:r>
        <w:t>History summarizer computes best trials, recent trials, parameter coverage, failure patterns, and weak metrics.</w:t>
      </w:r>
      <w:r>
        <w:br/>
      </w:r>
      <w:r>
        <w:t xml:space="preserve">2. </w:t>
      </w:r>
      <w:r>
        <w:t>Prompt builder combines the summary with search-space schema and objective definition.</w:t>
      </w:r>
      <w:r>
        <w:br/>
      </w:r>
      <w:r>
        <w:t xml:space="preserve">3. </w:t>
      </w:r>
      <w:r>
        <w:t>Provider-neutral structured-output client returns candidate proposals and usage.</w:t>
      </w:r>
      <w:r>
        <w:br/>
      </w:r>
      <w:r>
        <w:t xml:space="preserve">4. </w:t>
      </w:r>
      <w:r>
        <w:t>Validator repairs or rejects output, then invokes deterministic random fallback when necessary.</w:t>
      </w:r>
    </w:p>
    <w:p>
      <w:r>
        <w:t>The LLM never writes configuration files or code. It proposes values inside the declared search space.</w:t>
      </w:r>
    </w:p>
    <w:p>
      <w:pPr>
        <w:pStyle w:val="Heading1"/>
      </w:pPr>
      <w:r>
        <w:t>Evaluation architecture</w:t>
      </w:r>
    </w:p>
    <w:p>
      <w:r>
        <w:t>The evaluation pipeline separates retrieval, generation, operational, and custom metrics. Each evaluator declares required inputs, produced names, batch support, and version fingerprint.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Category</w:t>
            </w:r>
          </w:p>
        </w:tc>
        <w:tc>
          <w:tcPr>
            <w:tcW w:type="dxa" w:w="3331"/>
            <w:shd w:fill="17324D"/>
            <w:tcMar>
              <w:top w:w="115" w:type="dxa"/>
              <w:start w:w="120" w:type="dxa"/>
              <w:bottom w:w="115" w:type="dxa"/>
              <w:end w:w="120" w:type="dxa"/>
            </w:tcMar>
            <w:vAlign w:val="center"/>
          </w:tcPr>
          <w:p>
            <w:r>
              <w:rPr>
                <w:b/>
                <w:color w:val="FFFFFF"/>
                <w:sz w:val="18"/>
              </w:rPr>
              <w:t>Example metrics</w:t>
            </w:r>
          </w:p>
        </w:tc>
        <w:tc>
          <w:tcPr>
            <w:tcW w:type="dxa" w:w="3331"/>
            <w:shd w:fill="17324D"/>
            <w:tcMar>
              <w:top w:w="115" w:type="dxa"/>
              <w:start w:w="120" w:type="dxa"/>
              <w:bottom w:w="115" w:type="dxa"/>
              <w:end w:w="120" w:type="dxa"/>
            </w:tcMar>
            <w:vAlign w:val="center"/>
          </w:tcPr>
          <w:p>
            <w:r>
              <w:rPr>
                <w:b/>
                <w:color w:val="FFFFFF"/>
                <w:sz w:val="18"/>
              </w:rPr>
              <w:t>Typical inputs</w:t>
            </w:r>
          </w:p>
        </w:tc>
      </w:tr>
      <w:tr>
        <w:tc>
          <w:tcPr>
            <w:tcW w:type="dxa" w:w="3331"/>
            <w:tcMar>
              <w:top w:w="100" w:type="dxa"/>
              <w:start w:w="120" w:type="dxa"/>
              <w:bottom w:w="100" w:type="dxa"/>
              <w:end w:w="120" w:type="dxa"/>
            </w:tcMar>
            <w:vAlign w:val="center"/>
          </w:tcPr>
          <w:p>
            <w:pPr>
              <w:spacing w:after="0" w:line="240" w:lineRule="auto"/>
            </w:pPr>
            <w:r>
              <w:rPr>
                <w:sz w:val="17"/>
              </w:rPr>
              <w:t>Retrieval</w:t>
            </w:r>
          </w:p>
        </w:tc>
        <w:tc>
          <w:tcPr>
            <w:tcW w:type="dxa" w:w="3331"/>
            <w:tcMar>
              <w:top w:w="100" w:type="dxa"/>
              <w:start w:w="120" w:type="dxa"/>
              <w:bottom w:w="100" w:type="dxa"/>
              <w:end w:w="120" w:type="dxa"/>
            </w:tcMar>
            <w:vAlign w:val="center"/>
          </w:tcPr>
          <w:p>
            <w:pPr>
              <w:spacing w:after="0" w:line="240" w:lineRule="auto"/>
            </w:pPr>
            <w:r>
              <w:rPr>
                <w:sz w:val="17"/>
              </w:rPr>
              <w:t>hit rate, MRR, NDCG, context precision, context recall</w:t>
            </w:r>
          </w:p>
        </w:tc>
        <w:tc>
          <w:tcPr>
            <w:tcW w:type="dxa" w:w="3331"/>
            <w:tcMar>
              <w:top w:w="100" w:type="dxa"/>
              <w:start w:w="120" w:type="dxa"/>
              <w:bottom w:w="100" w:type="dxa"/>
              <w:end w:w="120" w:type="dxa"/>
            </w:tcMar>
            <w:vAlign w:val="center"/>
          </w:tcPr>
          <w:p>
            <w:pPr>
              <w:spacing w:after="0" w:line="240" w:lineRule="auto"/>
            </w:pPr>
            <w:r>
              <w:rPr>
                <w:sz w:val="17"/>
              </w:rPr>
              <w:t>Retrieved contexts and relevant IDs or contexts</w:t>
            </w:r>
          </w:p>
        </w:tc>
      </w:tr>
      <w:tr>
        <w:tc>
          <w:tcPr>
            <w:tcW w:type="dxa" w:w="3331"/>
            <w:tcMar>
              <w:top w:w="100" w:type="dxa"/>
              <w:start w:w="120" w:type="dxa"/>
              <w:bottom w:w="100" w:type="dxa"/>
              <w:end w:w="120" w:type="dxa"/>
            </w:tcMar>
            <w:vAlign w:val="center"/>
            <w:shd w:fill="F5F7F8"/>
          </w:tcPr>
          <w:p>
            <w:pPr>
              <w:spacing w:after="0" w:line="240" w:lineRule="auto"/>
            </w:pPr>
            <w:r>
              <w:rPr>
                <w:sz w:val="17"/>
              </w:rPr>
              <w:t>Generation</w:t>
            </w:r>
          </w:p>
        </w:tc>
        <w:tc>
          <w:tcPr>
            <w:tcW w:type="dxa" w:w="3331"/>
            <w:tcMar>
              <w:top w:w="100" w:type="dxa"/>
              <w:start w:w="120" w:type="dxa"/>
              <w:bottom w:w="100" w:type="dxa"/>
              <w:end w:w="120" w:type="dxa"/>
            </w:tcMar>
            <w:vAlign w:val="center"/>
            <w:shd w:fill="F5F7F8"/>
          </w:tcPr>
          <w:p>
            <w:pPr>
              <w:spacing w:after="0" w:line="240" w:lineRule="auto"/>
            </w:pPr>
            <w:r>
              <w:rPr>
                <w:sz w:val="17"/>
              </w:rPr>
              <w:t>faithfulness, answer relevancy, correctness</w:t>
            </w:r>
          </w:p>
        </w:tc>
        <w:tc>
          <w:tcPr>
            <w:tcW w:type="dxa" w:w="3331"/>
            <w:tcMar>
              <w:top w:w="100" w:type="dxa"/>
              <w:start w:w="120" w:type="dxa"/>
              <w:bottom w:w="100" w:type="dxa"/>
              <w:end w:w="120" w:type="dxa"/>
            </w:tcMar>
            <w:vAlign w:val="center"/>
            <w:shd w:fill="F5F7F8"/>
          </w:tcPr>
          <w:p>
            <w:pPr>
              <w:spacing w:after="0" w:line="240" w:lineRule="auto"/>
            </w:pPr>
            <w:r>
              <w:rPr>
                <w:sz w:val="17"/>
              </w:rPr>
              <w:t>Answer, contexts, query, reference answer</w:t>
            </w:r>
          </w:p>
        </w:tc>
      </w:tr>
      <w:tr>
        <w:tc>
          <w:tcPr>
            <w:tcW w:type="dxa" w:w="3331"/>
            <w:tcMar>
              <w:top w:w="100" w:type="dxa"/>
              <w:start w:w="120" w:type="dxa"/>
              <w:bottom w:w="100" w:type="dxa"/>
              <w:end w:w="120" w:type="dxa"/>
            </w:tcMar>
            <w:vAlign w:val="center"/>
          </w:tcPr>
          <w:p>
            <w:pPr>
              <w:spacing w:after="0" w:line="240" w:lineRule="auto"/>
            </w:pPr>
            <w:r>
              <w:rPr>
                <w:sz w:val="17"/>
              </w:rPr>
              <w:t>Operational</w:t>
            </w:r>
          </w:p>
        </w:tc>
        <w:tc>
          <w:tcPr>
            <w:tcW w:type="dxa" w:w="3331"/>
            <w:tcMar>
              <w:top w:w="100" w:type="dxa"/>
              <w:start w:w="120" w:type="dxa"/>
              <w:bottom w:w="100" w:type="dxa"/>
              <w:end w:w="120" w:type="dxa"/>
            </w:tcMar>
            <w:vAlign w:val="center"/>
          </w:tcPr>
          <w:p>
            <w:pPr>
              <w:spacing w:after="0" w:line="240" w:lineRule="auto"/>
            </w:pPr>
            <w:r>
              <w:rPr>
                <w:sz w:val="17"/>
              </w:rPr>
              <w:t>latency, tokens, cost, errors</w:t>
            </w:r>
          </w:p>
        </w:tc>
        <w:tc>
          <w:tcPr>
            <w:tcW w:type="dxa" w:w="3331"/>
            <w:tcMar>
              <w:top w:w="100" w:type="dxa"/>
              <w:start w:w="120" w:type="dxa"/>
              <w:bottom w:w="100" w:type="dxa"/>
              <w:end w:w="120" w:type="dxa"/>
            </w:tcMar>
            <w:vAlign w:val="center"/>
          </w:tcPr>
          <w:p>
            <w:pPr>
              <w:spacing w:after="0" w:line="240" w:lineRule="auto"/>
            </w:pPr>
            <w:r>
              <w:rPr>
                <w:sz w:val="17"/>
              </w:rPr>
              <w:t>Usage and runner timers</w:t>
            </w:r>
          </w:p>
        </w:tc>
      </w:tr>
      <w:tr>
        <w:tc>
          <w:tcPr>
            <w:tcW w:type="dxa" w:w="3331"/>
            <w:tcMar>
              <w:top w:w="100" w:type="dxa"/>
              <w:start w:w="120" w:type="dxa"/>
              <w:bottom w:w="100" w:type="dxa"/>
              <w:end w:w="120" w:type="dxa"/>
            </w:tcMar>
            <w:vAlign w:val="center"/>
            <w:shd w:fill="F5F7F8"/>
          </w:tcPr>
          <w:p>
            <w:pPr>
              <w:spacing w:after="0" w:line="240" w:lineRule="auto"/>
            </w:pPr>
            <w:r>
              <w:rPr>
                <w:sz w:val="17"/>
              </w:rPr>
              <w:t>Custom</w:t>
            </w:r>
          </w:p>
        </w:tc>
        <w:tc>
          <w:tcPr>
            <w:tcW w:type="dxa" w:w="3331"/>
            <w:tcMar>
              <w:top w:w="100" w:type="dxa"/>
              <w:start w:w="120" w:type="dxa"/>
              <w:bottom w:w="100" w:type="dxa"/>
              <w:end w:w="120" w:type="dxa"/>
            </w:tcMar>
            <w:vAlign w:val="center"/>
            <w:shd w:fill="F5F7F8"/>
          </w:tcPr>
          <w:p>
            <w:pPr>
              <w:spacing w:after="0" w:line="240" w:lineRule="auto"/>
            </w:pPr>
            <w:r>
              <w:rPr>
                <w:sz w:val="17"/>
              </w:rPr>
              <w:t>policy compliance, citation validity</w:t>
            </w:r>
          </w:p>
        </w:tc>
        <w:tc>
          <w:tcPr>
            <w:tcW w:type="dxa" w:w="3331"/>
            <w:tcMar>
              <w:top w:w="100" w:type="dxa"/>
              <w:start w:w="120" w:type="dxa"/>
              <w:bottom w:w="100" w:type="dxa"/>
              <w:end w:w="120" w:type="dxa"/>
            </w:tcMar>
            <w:vAlign w:val="center"/>
            <w:shd w:fill="F5F7F8"/>
          </w:tcPr>
          <w:p>
            <w:pPr>
              <w:spacing w:after="0" w:line="240" w:lineRule="auto"/>
            </w:pPr>
            <w:r>
              <w:rPr>
                <w:sz w:val="17"/>
              </w:rPr>
              <w:t>User-defined sample and result fields</w:t>
            </w:r>
          </w:p>
        </w:tc>
      </w:tr>
    </w:tbl>
    <w:p>
      <w:pPr>
        <w:spacing w:after="20"/>
      </w:pPr>
    </w:p>
    <w:p>
      <w:r>
        <w:t>RAGAS is an adapter into this pipeline. Its data structures and exceptions do not cross the integration boundary.</w:t>
      </w:r>
    </w:p>
    <w:p>
      <w:pPr>
        <w:pStyle w:val="Heading1"/>
      </w:pPr>
      <w:r>
        <w:t>Objective and selection architecture</w:t>
      </w:r>
    </w:p>
    <w:p>
      <w:r>
        <w:t>Objectives consume aggregate metrics for a declared split. Normalization makes different units comparable. Constraints may mark a trial ineligible without discarding its measurements. Selection uses validation by default. The optimize split guides search, while the test split is withheld until final evaluation.</w:t>
      </w:r>
    </w:p>
    <w:p>
      <w:r>
        <w:t>V0.1 returns a scalar best trial and records all components. The result may include nondominated candidates as informational output, but formal Pareto optimization is later work.</w:t>
      </w:r>
    </w:p>
    <w:p>
      <w:pPr>
        <w:pStyle w:val="Heading1"/>
      </w:pPr>
      <w:r>
        <w:t>Persistence architecture</w:t>
      </w:r>
    </w:p>
    <w:p>
      <w:r>
        <w:t>SQLite stores authoritative state using short transactions. Store operations are coarse domain commands, not generic SQL access. Event rows provide an audit stream, while normalized tables support analysis without replaying every payload.</w:t>
      </w:r>
    </w:p>
    <w:p>
      <w:r>
        <w:t>The resume snapshot includes study fingerprints, stop budgets, candidate hashes, terminal observations, retryable work, and sequence counters. Strategy reconstruction uses terminal observations rather than opaque pickled state. An integration may persist its own safe state as versioned JSON, but replay remains the compatibility fallback.</w:t>
      </w:r>
    </w:p>
    <w:p>
      <w:pPr>
        <w:pStyle w:val="Heading1"/>
      </w:pPr>
      <w:r>
        <w:t>Caching architecture</w:t>
      </w:r>
    </w:p>
    <w:p>
      <w:r>
        <w:t>Cache keys use semantic fingerprints and namespace versions. Cache lookup occurs at extraction, preparation, adapter run, evaluation, and objective layers where correctness permits. Every layer can be independently disabled.</w:t>
      </w:r>
    </w:p>
    <w:p>
      <w:pPr>
        <w:spacing w:before="80" w:after="140" w:line="240" w:lineRule="auto"/>
        <w:ind w:left="360" w:right="216"/>
      </w:pPr>
      <w:r>
        <w:rPr>
          <w:rFonts w:ascii="Cascadia Mono" w:hAnsi="Cascadia Mono"/>
          <w:sz w:val="17"/>
        </w:rPr>
        <w:t>run cache key = hash(</w:t>
        <w:br/>
      </w:r>
      <w:r>
        <w:rPr>
          <w:rFonts w:ascii="Cascadia Mono" w:hAnsi="Cascadia Mono"/>
          <w:sz w:val="17"/>
        </w:rPr>
        <w:t xml:space="preserve">    namespace version,</w:t>
        <w:br/>
      </w:r>
      <w:r>
        <w:rPr>
          <w:rFonts w:ascii="Cascadia Mono" w:hAnsi="Cascadia Mono"/>
          <w:sz w:val="17"/>
        </w:rPr>
        <w:t xml:space="preserve">    dataset sample hash,</w:t>
        <w:br/>
      </w:r>
      <w:r>
        <w:rPr>
          <w:rFonts w:ascii="Cascadia Mono" w:hAnsi="Cascadia Mono"/>
          <w:sz w:val="17"/>
        </w:rPr>
        <w:t xml:space="preserve">    candidate hash,</w:t>
        <w:br/>
      </w:r>
      <w:r>
        <w:rPr>
          <w:rFonts w:ascii="Cascadia Mono" w:hAnsi="Cascadia Mono"/>
          <w:sz w:val="17"/>
        </w:rPr>
        <w:t xml:space="preserve">    adapter fingerprint,</w:t>
        <w:br/>
      </w:r>
      <w:r>
        <w:rPr>
          <w:rFonts w:ascii="Cascadia Mono" w:hAnsi="Cascadia Mono"/>
          <w:sz w:val="17"/>
        </w:rPr>
        <w:t xml:space="preserve">    corpus fingerprint,</w:t>
        <w:br/>
      </w:r>
      <w:r>
        <w:rPr>
          <w:rFonts w:ascii="Cascadia Mono" w:hAnsi="Cascadia Mono"/>
          <w:sz w:val="17"/>
        </w:rPr>
        <w:t xml:space="preserve">    execution options affecting output</w:t>
        <w:br/>
      </w:r>
      <w:r>
        <w:rPr>
          <w:rFonts w:ascii="Cascadia Mono" w:hAnsi="Cascadia Mono"/>
          <w:sz w:val="17"/>
        </w:rPr>
        <w:t>)</w:t>
      </w:r>
    </w:p>
    <w:p>
      <w:r>
        <w:t>Cache hits still create study-local records and usage entries that distinguish avoided execution from provider usage. Reads verify checksums. Failed or partial results are not cached unless a component explicitly defines a safe negative cache.</w:t>
      </w:r>
    </w:p>
    <w:p>
      <w:pPr>
        <w:pStyle w:val="Heading1"/>
      </w:pPr>
      <w:r>
        <w:t>Retry and failure architecture</w:t>
      </w:r>
    </w:p>
    <w:p>
      <w:r>
        <w:t>Errors are classified by stage and retryability. Backoff applies to the narrow failing operation when safe. A whole trial retry is used only when partial results cannot be resumed consistently. Every attempt is recorded.</w:t>
      </w:r>
    </w:p>
    <w:p>
      <w:r>
        <w:t>Trial failures are isolated by default. Systemic failures include inability to write authoritative state, incompatible migrations, repeated database corruption, invalid core invariants, or explicit critical callback failure. A high ratio of identical provider failures may trigger a circuit breaker or stop policy.</w:t>
      </w:r>
    </w:p>
    <w:p>
      <w:pPr>
        <w:pStyle w:val="Heading1"/>
      </w:pPr>
      <w:r>
        <w:t>Observability architecture</w:t>
      </w:r>
    </w:p>
    <w:p>
      <w:r>
        <w:t>The event stream is the stable integration surface. Built-in callbacks can render terminal progress, write structured logs, collect in-process metrics, or mirror to MLflow. Events are emitted after durable transitions. Long-running callbacks use bounded queues so they cannot consume unbounded memory.</w:t>
      </w:r>
    </w:p>
    <w:p>
      <w:r>
        <w:t>Core observability measures include study and trial durations, queue delay, cache hit rate, provider retry counts, sample throughput, metric failure rate, tokens, cost, estimated share, and stop reason.</w:t>
      </w:r>
    </w:p>
    <w:p>
      <w:pPr>
        <w:pStyle w:val="Heading1"/>
      </w:pPr>
      <w:r>
        <w:t>Security and privacy architecture</w:t>
      </w:r>
    </w:p>
    <w:p>
      <w:r>
        <w:t>The trust boundary includes user code and local storage. External providers are separate data processors selected by the user. Secrets stay in injected clients or environment-backed integration settings. Payload persistence, content logging, MLflow export, and synthetic generation each require explicit policy.</w:t>
      </w:r>
    </w:p>
    <w:p>
      <w:r>
        <w:t>The package validates paths, restricts artifact URI schemes, avoids executable deserialization, and treats database and cache files as sensitive local assets.</w:t>
      </w:r>
    </w:p>
    <w:p>
      <w:pPr>
        <w:pStyle w:val="Heading1"/>
      </w:pPr>
      <w:r>
        <w:t>Deployment views</w:t>
      </w:r>
    </w:p>
    <w:p>
      <w:pPr>
        <w:pStyle w:val="Heading2"/>
      </w:pPr>
      <w:r>
        <w:t>Local library</w:t>
      </w:r>
    </w:p>
    <w:p>
      <w:r>
        <w:t>One application process, one SQLite file, local cache directory, and optional provider calls. This is the primary V0.1 deployment.</w:t>
      </w:r>
    </w:p>
    <w:p>
      <w:pPr>
        <w:pStyle w:val="Heading2"/>
      </w:pPr>
      <w:r>
        <w:t>CLI</w:t>
      </w:r>
    </w:p>
    <w:p>
      <w:r>
        <w:t>One CLI process constructs the same public API, displays progress through callbacks, and exits with a stable code. It does not introduce a separate execution engine.</w:t>
      </w:r>
    </w:p>
    <w:p>
      <w:pPr>
        <w:pStyle w:val="Heading2"/>
      </w:pPr>
      <w:r>
        <w:t>Notebook</w:t>
      </w:r>
    </w:p>
    <w:p>
      <w:r>
        <w:t xml:space="preserve">Users await </w:t>
      </w:r>
      <w:r>
        <w:rPr>
          <w:rFonts w:ascii="Cascadia Mono" w:hAnsi="Cascadia Mono"/>
          <w:sz w:val="18"/>
        </w:rPr>
        <w:t>aoptimize</w:t>
      </w:r>
      <w:r>
        <w:t xml:space="preserve"> in the existing loop. The sync wrapper refuses nested-loop workarounds. Progress callbacks use notebook-safe rendering when installed.</w:t>
      </w:r>
    </w:p>
    <w:p>
      <w:pPr>
        <w:pStyle w:val="Heading2"/>
      </w:pPr>
      <w:r>
        <w:t>Later service deployment</w:t>
      </w:r>
    </w:p>
    <w:p>
      <w:r>
        <w:t>A service may add an API, worker queue, Postgres store, artifact service, authentication, and tenancy. These are later layers around the same domain contracts, not requirements imposed on V0.1.</w:t>
      </w:r>
    </w:p>
    <w:p>
      <w:pPr>
        <w:pStyle w:val="Heading1"/>
      </w:pPr>
      <w:r>
        <w:t>Architecture invariants</w:t>
      </w:r>
    </w:p>
    <w:p>
      <w:pPr>
        <w:spacing w:after="50" w:line="269" w:lineRule="auto"/>
        <w:ind w:left="115"/>
      </w:pPr>
      <w:r>
        <w:t xml:space="preserve">1. </w:t>
      </w:r>
      <w:r>
        <w:t>A strategy never observes an uncommitted terminal result.</w:t>
      </w:r>
      <w:r>
        <w:br/>
      </w:r>
      <w:r>
        <w:t xml:space="preserve">2. </w:t>
      </w:r>
      <w:r>
        <w:t>A terminal trial never returns to a running state.</w:t>
      </w:r>
      <w:r>
        <w:br/>
      </w:r>
      <w:r>
        <w:t xml:space="preserve">3. </w:t>
      </w:r>
      <w:r>
        <w:t>The same candidate hash appears at most once in a study.</w:t>
      </w:r>
      <w:r>
        <w:br/>
      </w:r>
      <w:r>
        <w:t xml:space="preserve">4. </w:t>
      </w:r>
      <w:r>
        <w:t>Resume never crosses incompatible semantic fingerprints without an explicit fork.</w:t>
      </w:r>
      <w:r>
        <w:br/>
      </w:r>
      <w:r>
        <w:t xml:space="preserve">5. </w:t>
      </w:r>
      <w:r>
        <w:t>Exact and estimated usage are never merged without retaining the estimate marker.</w:t>
      </w:r>
      <w:r>
        <w:br/>
      </w:r>
      <w:r>
        <w:t xml:space="preserve">6. </w:t>
      </w:r>
      <w:r>
        <w:t>Test-split results do not influence search in the default workflow.</w:t>
      </w:r>
      <w:r>
        <w:br/>
      </w:r>
      <w:r>
        <w:t xml:space="preserve">7. </w:t>
      </w:r>
      <w:r>
        <w:t>Optional integration failure cannot corrupt authoritative SQLite state.</w:t>
      </w:r>
      <w:r>
        <w:br/>
      </w:r>
      <w:r>
        <w:t xml:space="preserve">8. </w:t>
      </w:r>
      <w:r>
        <w:t>User callbacks execute outside database transactions and scheduler locks.</w:t>
      </w:r>
    </w:p>
    <w:p>
      <w:pPr>
        <w:pStyle w:val="Heading1"/>
      </w:pPr>
      <w:r>
        <w:t>Architecture tradeoffs</w:t>
      </w:r>
    </w:p>
    <w:p>
      <w:r>
        <w:t>SQLite limits distributed concurrency but gives a zero-infrastructure durable default. Replayable strategy observations simplify resume but require stable observation schemas. Async-first design fits provider-heavy workloads but requires careful bridges for blocking libraries. A narrow adapter lowers framework coupling but asks users to expose the data needed for evaluation and usage tracking.</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System Architecture Document</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