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pPr>
      <w:r>
        <w:t>autorag-tuner Technology Stack</w:t>
      </w:r>
    </w:p>
    <w:p>
      <w:pPr>
        <w:pStyle w:val="Subtitle"/>
      </w:pPr>
      <w:r>
        <w:rPr>
          <w:rFonts w:ascii="Aptos" w:hAnsi="Aptos"/>
          <w:color w:val="4D4D4D"/>
          <w:sz w:val="30"/>
        </w:rPr>
        <w:t>autorag-tuner Python package</w:t>
      </w:r>
    </w:p>
    <w:p>
      <w:r>
        <w:t>Selected technologies, rationale, constraints, optional integrations, and evaluated alternatives.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088"/>
            <w:tcMar>
              <w:top w:w="100" w:type="dxa"/>
              <w:start w:w="120" w:type="dxa"/>
              <w:bottom w:w="100" w:type="dxa"/>
              <w:end w:w="120" w:type="dxa"/>
            </w:tcMar>
            <w:vAlign w:val="center"/>
            <w:shd w:fill="EAF2F8"/>
          </w:tcPr>
          <w:p>
            <w:r>
              <w:rPr>
                <w:b/>
              </w:rPr>
              <w:t>Status</w:t>
            </w:r>
          </w:p>
        </w:tc>
        <w:tc>
          <w:tcPr>
            <w:tcW w:type="dxa" w:w="8136"/>
            <w:tcMar>
              <w:top w:w="100" w:type="dxa"/>
              <w:start w:w="120" w:type="dxa"/>
              <w:bottom w:w="100" w:type="dxa"/>
              <w:end w:w="120" w:type="dxa"/>
            </w:tcMar>
            <w:vAlign w:val="center"/>
          </w:tcPr>
          <w:p>
            <w:r>
              <w:t>V0.1 design baseline</w:t>
            </w:r>
          </w:p>
        </w:tc>
      </w:tr>
      <w:tr>
        <w:tc>
          <w:tcPr>
            <w:tcW w:type="dxa" w:w="2088"/>
            <w:tcMar>
              <w:top w:w="100" w:type="dxa"/>
              <w:start w:w="120" w:type="dxa"/>
              <w:bottom w:w="100" w:type="dxa"/>
              <w:end w:w="120" w:type="dxa"/>
            </w:tcMar>
            <w:vAlign w:val="center"/>
            <w:shd w:fill="EAF2F8"/>
          </w:tcPr>
          <w:p>
            <w:r>
              <w:rPr>
                <w:b/>
              </w:rPr>
              <w:t>Date</w:t>
            </w:r>
          </w:p>
        </w:tc>
        <w:tc>
          <w:tcPr>
            <w:tcW w:type="dxa" w:w="8136"/>
            <w:tcMar>
              <w:top w:w="100" w:type="dxa"/>
              <w:start w:w="120" w:type="dxa"/>
              <w:bottom w:w="100" w:type="dxa"/>
              <w:end w:w="120" w:type="dxa"/>
            </w:tcMar>
            <w:vAlign w:val="center"/>
          </w:tcPr>
          <w:p>
            <w:r>
              <w:t>September 2026</w:t>
            </w:r>
          </w:p>
        </w:tc>
      </w:tr>
      <w:tr>
        <w:tc>
          <w:tcPr>
            <w:tcW w:type="dxa" w:w="2088"/>
            <w:tcMar>
              <w:top w:w="100" w:type="dxa"/>
              <w:start w:w="120" w:type="dxa"/>
              <w:bottom w:w="100" w:type="dxa"/>
              <w:end w:w="120" w:type="dxa"/>
            </w:tcMar>
            <w:vAlign w:val="center"/>
            <w:shd w:fill="EAF2F8"/>
          </w:tcPr>
          <w:p>
            <w:r>
              <w:rPr>
                <w:b/>
              </w:rPr>
              <w:t>Primary audience</w:t>
            </w:r>
          </w:p>
        </w:tc>
        <w:tc>
          <w:tcPr>
            <w:tcW w:type="dxa" w:w="8136"/>
            <w:tcMar>
              <w:top w:w="100" w:type="dxa"/>
              <w:start w:w="120" w:type="dxa"/>
              <w:bottom w:w="100" w:type="dxa"/>
              <w:end w:w="120" w:type="dxa"/>
            </w:tcMar>
            <w:vAlign w:val="center"/>
          </w:tcPr>
          <w:p>
            <w:r>
              <w:t>Maintainers, contributors, and technical decision makers</w:t>
            </w:r>
          </w:p>
        </w:tc>
      </w:tr>
    </w:tbl>
    <w:p/>
    <w:p>
      <w:r>
        <w:rPr>
          <w:b/>
        </w:rPr>
        <w:t xml:space="preserve">Package boundary </w:t>
      </w:r>
      <w:r>
        <w:t>This document specifies the target autorag-tuner package. The existing Auto-RAG-Research implementation is reference material only and belongs under examples as a reference adapter and demonstration pipeline.</w:t>
      </w:r>
    </w:p>
    <w:p>
      <w:r>
        <w:br w:type="page"/>
      </w:r>
    </w:p>
    <w:p>
      <w:pPr>
        <w:pStyle w:val="Heading1"/>
      </w:pPr>
      <w:r>
        <w:t>Purpose and scope</w:t>
      </w:r>
    </w:p>
    <w:p>
      <w:r>
        <w:t>The stack favors a small, typed Python core with standard-library async primitives, SQLite persistence, and optional integrations. Dependencies are chosen for stable contracts and packaging practicality. Heavy RAG frameworks and evaluation systems remain optional so users can bring existing pipelines without inheriting an unrelated stack.</w:t>
      </w:r>
    </w:p>
    <w:p>
      <w:pPr>
        <w:pStyle w:val="Heading2"/>
      </w:pPr>
      <w:r>
        <w:t>Current decisions</w:t>
      </w:r>
    </w:p>
    <w:p>
      <w:pPr>
        <w:pStyle w:val="ListBullet"/>
      </w:pPr>
      <w:r>
        <w:t>Python-first library with async-first internals and a synchronous convenience wrapper.</w:t>
      </w:r>
    </w:p>
    <w:p>
      <w:pPr>
        <w:pStyle w:val="ListBullet"/>
      </w:pPr>
      <w:r>
        <w:t>Users supply an existing RAG system through the RAGAdapter contract; the package does not own the application pipeline.</w:t>
      </w:r>
    </w:p>
    <w:p>
      <w:pPr>
        <w:pStyle w:val="ListBullet"/>
      </w:pPr>
      <w:r>
        <w:t>Search spaces accept arbitrary typed parameters. RandomSearch and LLMSearch ship in V0.1 behind one SearchStrategy interface.</w:t>
      </w:r>
    </w:p>
    <w:p>
      <w:pPr>
        <w:pStyle w:val="ListBullet"/>
      </w:pPr>
      <w:r>
        <w:t>Evaluation is plugin-based. RAGAS is an optional integration rather than a dependency of the core evaluation model.</w:t>
      </w:r>
    </w:p>
    <w:p>
      <w:pPr>
        <w:pStyle w:val="ListBullet"/>
      </w:pPr>
      <w:r>
        <w:t>Objectives can combine quality, cost, and latency. Usage values identify whether they are exact or estimated.</w:t>
      </w:r>
    </w:p>
    <w:p>
      <w:pPr>
        <w:pStyle w:val="ListBullet"/>
      </w:pPr>
      <w:r>
        <w:t>SQLite is the default experiment store. MLflow is optional and mirrors experiment records rather than replacing package state.</w:t>
      </w:r>
    </w:p>
    <w:p>
      <w:pPr>
        <w:pStyle w:val="ListBullet"/>
      </w:pPr>
      <w:r>
        <w:t>Trials are isolated, retryable, cacheable, resumable, and observable through callbacks and structured events.</w:t>
      </w:r>
    </w:p>
    <w:p>
      <w:pPr>
        <w:pStyle w:val="Heading2"/>
      </w:pPr>
      <w:r>
        <w:t>Related documents</w:t>
      </w:r>
    </w:p>
    <w:p>
      <w:pPr>
        <w:pStyle w:val="ListBullet"/>
      </w:pPr>
      <w:r>
        <w:t>Coding Conventions for tool usage</w:t>
      </w:r>
    </w:p>
    <w:p>
      <w:pPr>
        <w:pStyle w:val="ListBullet"/>
      </w:pPr>
      <w:r>
        <w:t>System Architecture Document for boundaries</w:t>
      </w:r>
    </w:p>
    <w:p>
      <w:pPr>
        <w:pStyle w:val="ListBullet"/>
      </w:pPr>
      <w:r>
        <w:t>File Folder Structure for dependency placement</w:t>
      </w:r>
    </w:p>
    <w:p>
      <w:pPr>
        <w:pStyle w:val="ListBullet"/>
      </w:pPr>
      <w:r>
        <w:t>Product Requirement Document for constraints</w:t>
      </w:r>
    </w:p>
    <w:p>
      <w:pPr>
        <w:pStyle w:val="Heading1"/>
      </w:pPr>
      <w:r>
        <w:t>Selection criteria</w:t>
      </w:r>
    </w:p>
    <w:p>
      <w:r>
        <w:t>Technology choices are evaluated against install size, Python version support, async behavior, type quality, serialization stability, local-first operation, optional dependency isolation, testability, maintenance burden, and ability to preserve user control.</w:t>
      </w:r>
    </w:p>
    <w:p>
      <w:pPr>
        <w:pStyle w:val="Heading1"/>
      </w:pPr>
      <w:r>
        <w:t>Core runtime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Area</w:t>
            </w:r>
          </w:p>
        </w:tc>
        <w:tc>
          <w:tcPr>
            <w:tcW w:type="dxa" w:w="2498"/>
            <w:shd w:fill="17324D"/>
            <w:tcMar>
              <w:top w:w="115" w:type="dxa"/>
              <w:start w:w="120" w:type="dxa"/>
              <w:bottom w:w="115" w:type="dxa"/>
              <w:end w:w="120" w:type="dxa"/>
            </w:tcMar>
            <w:vAlign w:val="center"/>
          </w:tcPr>
          <w:p>
            <w:r>
              <w:rPr>
                <w:b/>
                <w:color w:val="FFFFFF"/>
                <w:sz w:val="18"/>
              </w:rPr>
              <w:t>Selection</w:t>
            </w:r>
          </w:p>
        </w:tc>
        <w:tc>
          <w:tcPr>
            <w:tcW w:type="dxa" w:w="2498"/>
            <w:shd w:fill="17324D"/>
            <w:tcMar>
              <w:top w:w="115" w:type="dxa"/>
              <w:start w:w="120" w:type="dxa"/>
              <w:bottom w:w="115" w:type="dxa"/>
              <w:end w:w="120" w:type="dxa"/>
            </w:tcMar>
            <w:vAlign w:val="center"/>
          </w:tcPr>
          <w:p>
            <w:r>
              <w:rPr>
                <w:b/>
                <w:color w:val="FFFFFF"/>
                <w:sz w:val="18"/>
              </w:rPr>
              <w:t>Rationale</w:t>
            </w:r>
          </w:p>
        </w:tc>
        <w:tc>
          <w:tcPr>
            <w:tcW w:type="dxa" w:w="2498"/>
            <w:shd w:fill="17324D"/>
            <w:tcMar>
              <w:top w:w="115" w:type="dxa"/>
              <w:start w:w="120" w:type="dxa"/>
              <w:bottom w:w="115" w:type="dxa"/>
              <w:end w:w="120" w:type="dxa"/>
            </w:tcMar>
            <w:vAlign w:val="center"/>
          </w:tcPr>
          <w:p>
            <w:r>
              <w:rPr>
                <w:b/>
                <w:color w:val="FFFFFF"/>
                <w:sz w:val="18"/>
              </w:rPr>
              <w:t>Alternative considered</w:t>
            </w:r>
          </w:p>
        </w:tc>
      </w:tr>
      <w:tr>
        <w:tc>
          <w:tcPr>
            <w:tcW w:type="dxa" w:w="2498"/>
            <w:tcMar>
              <w:top w:w="100" w:type="dxa"/>
              <w:start w:w="120" w:type="dxa"/>
              <w:bottom w:w="100" w:type="dxa"/>
              <w:end w:w="120" w:type="dxa"/>
            </w:tcMar>
            <w:vAlign w:val="center"/>
          </w:tcPr>
          <w:p>
            <w:pPr>
              <w:spacing w:after="0" w:line="240" w:lineRule="auto"/>
            </w:pPr>
            <w:r>
              <w:rPr>
                <w:sz w:val="17"/>
              </w:rPr>
              <w:t>Language</w:t>
            </w:r>
          </w:p>
        </w:tc>
        <w:tc>
          <w:tcPr>
            <w:tcW w:type="dxa" w:w="2498"/>
            <w:tcMar>
              <w:top w:w="100" w:type="dxa"/>
              <w:start w:w="120" w:type="dxa"/>
              <w:bottom w:w="100" w:type="dxa"/>
              <w:end w:w="120" w:type="dxa"/>
            </w:tcMar>
            <w:vAlign w:val="center"/>
          </w:tcPr>
          <w:p>
            <w:pPr>
              <w:spacing w:after="0" w:line="240" w:lineRule="auto"/>
            </w:pPr>
            <w:r>
              <w:rPr>
                <w:sz w:val="17"/>
              </w:rPr>
              <w:t>Python 3.10 to 3.13</w:t>
            </w:r>
          </w:p>
        </w:tc>
        <w:tc>
          <w:tcPr>
            <w:tcW w:type="dxa" w:w="2498"/>
            <w:tcMar>
              <w:top w:w="100" w:type="dxa"/>
              <w:start w:w="120" w:type="dxa"/>
              <w:bottom w:w="100" w:type="dxa"/>
              <w:end w:w="120" w:type="dxa"/>
            </w:tcMar>
            <w:vAlign w:val="center"/>
          </w:tcPr>
          <w:p>
            <w:pPr>
              <w:spacing w:after="0" w:line="240" w:lineRule="auto"/>
            </w:pPr>
            <w:r>
              <w:rPr>
                <w:sz w:val="17"/>
              </w:rPr>
              <w:t>Primary ecosystem for RAG and evaluation; broad deployment support</w:t>
            </w:r>
          </w:p>
        </w:tc>
        <w:tc>
          <w:tcPr>
            <w:tcW w:type="dxa" w:w="2498"/>
            <w:tcMar>
              <w:top w:w="100" w:type="dxa"/>
              <w:start w:w="120" w:type="dxa"/>
              <w:bottom w:w="100" w:type="dxa"/>
              <w:end w:w="120" w:type="dxa"/>
            </w:tcMar>
            <w:vAlign w:val="center"/>
          </w:tcPr>
          <w:p>
            <w:pPr>
              <w:spacing w:after="0" w:line="240" w:lineRule="auto"/>
            </w:pPr>
            <w:r>
              <w:rPr>
                <w:sz w:val="17"/>
              </w:rPr>
              <w:t>3.11 plus only would simplify TaskGroup but reduce adoption</w:t>
            </w:r>
          </w:p>
        </w:tc>
      </w:tr>
      <w:tr>
        <w:tc>
          <w:tcPr>
            <w:tcW w:type="dxa" w:w="2498"/>
            <w:tcMar>
              <w:top w:w="100" w:type="dxa"/>
              <w:start w:w="120" w:type="dxa"/>
              <w:bottom w:w="100" w:type="dxa"/>
              <w:end w:w="120" w:type="dxa"/>
            </w:tcMar>
            <w:vAlign w:val="center"/>
            <w:shd w:fill="F5F7F8"/>
          </w:tcPr>
          <w:p>
            <w:pPr>
              <w:spacing w:after="0" w:line="240" w:lineRule="auto"/>
            </w:pPr>
            <w:r>
              <w:rPr>
                <w:sz w:val="17"/>
              </w:rPr>
              <w:t>Concurrency</w:t>
            </w:r>
          </w:p>
        </w:tc>
        <w:tc>
          <w:tcPr>
            <w:tcW w:type="dxa" w:w="2498"/>
            <w:tcMar>
              <w:top w:w="100" w:type="dxa"/>
              <w:start w:w="120" w:type="dxa"/>
              <w:bottom w:w="100" w:type="dxa"/>
              <w:end w:w="120" w:type="dxa"/>
            </w:tcMar>
            <w:vAlign w:val="center"/>
            <w:shd w:fill="F5F7F8"/>
          </w:tcPr>
          <w:p>
            <w:pPr>
              <w:spacing w:after="0" w:line="240" w:lineRule="auto"/>
            </w:pPr>
            <w:r>
              <w:rPr>
                <w:sz w:val="17"/>
              </w:rPr>
              <w:t>`asyncio` with a small compatibility layer</w:t>
            </w:r>
          </w:p>
        </w:tc>
        <w:tc>
          <w:tcPr>
            <w:tcW w:type="dxa" w:w="2498"/>
            <w:tcMar>
              <w:top w:w="100" w:type="dxa"/>
              <w:start w:w="120" w:type="dxa"/>
              <w:bottom w:w="100" w:type="dxa"/>
              <w:end w:w="120" w:type="dxa"/>
            </w:tcMar>
            <w:vAlign w:val="center"/>
            <w:shd w:fill="F5F7F8"/>
          </w:tcPr>
          <w:p>
            <w:pPr>
              <w:spacing w:after="0" w:line="240" w:lineRule="auto"/>
            </w:pPr>
            <w:r>
              <w:rPr>
                <w:sz w:val="17"/>
              </w:rPr>
              <w:t>Standard library, natural for provider I/O</w:t>
            </w:r>
          </w:p>
        </w:tc>
        <w:tc>
          <w:tcPr>
            <w:tcW w:type="dxa" w:w="2498"/>
            <w:tcMar>
              <w:top w:w="100" w:type="dxa"/>
              <w:start w:w="120" w:type="dxa"/>
              <w:bottom w:w="100" w:type="dxa"/>
              <w:end w:w="120" w:type="dxa"/>
            </w:tcMar>
            <w:vAlign w:val="center"/>
            <w:shd w:fill="F5F7F8"/>
          </w:tcPr>
          <w:p>
            <w:pPr>
              <w:spacing w:after="0" w:line="240" w:lineRule="auto"/>
            </w:pPr>
            <w:r>
              <w:rPr>
                <w:sz w:val="17"/>
              </w:rPr>
              <w:t>AnyIO offers strong structured concurrency but adds a core dependency</w:t>
            </w:r>
          </w:p>
        </w:tc>
      </w:tr>
      <w:tr>
        <w:tc>
          <w:tcPr>
            <w:tcW w:type="dxa" w:w="2498"/>
            <w:tcMar>
              <w:top w:w="100" w:type="dxa"/>
              <w:start w:w="120" w:type="dxa"/>
              <w:bottom w:w="100" w:type="dxa"/>
              <w:end w:w="120" w:type="dxa"/>
            </w:tcMar>
            <w:vAlign w:val="center"/>
          </w:tcPr>
          <w:p>
            <w:pPr>
              <w:spacing w:after="0" w:line="240" w:lineRule="auto"/>
            </w:pPr>
            <w:r>
              <w:rPr>
                <w:sz w:val="17"/>
              </w:rPr>
              <w:t>Models</w:t>
            </w:r>
          </w:p>
        </w:tc>
        <w:tc>
          <w:tcPr>
            <w:tcW w:type="dxa" w:w="2498"/>
            <w:tcMar>
              <w:top w:w="100" w:type="dxa"/>
              <w:start w:w="120" w:type="dxa"/>
              <w:bottom w:w="100" w:type="dxa"/>
              <w:end w:w="120" w:type="dxa"/>
            </w:tcMar>
            <w:vAlign w:val="center"/>
          </w:tcPr>
          <w:p>
            <w:pPr>
              <w:spacing w:after="0" w:line="240" w:lineRule="auto"/>
            </w:pPr>
            <w:r>
              <w:rPr>
                <w:sz w:val="17"/>
              </w:rPr>
              <w:t>Frozen dataclasses plus targeted validation models</w:t>
            </w:r>
          </w:p>
        </w:tc>
        <w:tc>
          <w:tcPr>
            <w:tcW w:type="dxa" w:w="2498"/>
            <w:tcMar>
              <w:top w:w="100" w:type="dxa"/>
              <w:start w:w="120" w:type="dxa"/>
              <w:bottom w:w="100" w:type="dxa"/>
              <w:end w:w="120" w:type="dxa"/>
            </w:tcMar>
            <w:vAlign w:val="center"/>
          </w:tcPr>
          <w:p>
            <w:pPr>
              <w:spacing w:after="0" w:line="240" w:lineRule="auto"/>
            </w:pPr>
            <w:r>
              <w:rPr>
                <w:sz w:val="17"/>
              </w:rPr>
              <w:t>Clear domain values and low coupling</w:t>
            </w:r>
          </w:p>
        </w:tc>
        <w:tc>
          <w:tcPr>
            <w:tcW w:type="dxa" w:w="2498"/>
            <w:tcMar>
              <w:top w:w="100" w:type="dxa"/>
              <w:start w:w="120" w:type="dxa"/>
              <w:bottom w:w="100" w:type="dxa"/>
              <w:end w:w="120" w:type="dxa"/>
            </w:tcMar>
            <w:vAlign w:val="center"/>
          </w:tcPr>
          <w:p>
            <w:pPr>
              <w:spacing w:after="0" w:line="240" w:lineRule="auto"/>
            </w:pPr>
            <w:r>
              <w:rPr>
                <w:sz w:val="17"/>
              </w:rPr>
              <w:t>Pydantic everywhere adds convenience but can leak serialization behavior into domain logic</w:t>
            </w:r>
          </w:p>
        </w:tc>
      </w:tr>
      <w:tr>
        <w:tc>
          <w:tcPr>
            <w:tcW w:type="dxa" w:w="2498"/>
            <w:tcMar>
              <w:top w:w="100" w:type="dxa"/>
              <w:start w:w="120" w:type="dxa"/>
              <w:bottom w:w="100" w:type="dxa"/>
              <w:end w:w="120" w:type="dxa"/>
            </w:tcMar>
            <w:vAlign w:val="center"/>
            <w:shd w:fill="F5F7F8"/>
          </w:tcPr>
          <w:p>
            <w:pPr>
              <w:spacing w:after="0" w:line="240" w:lineRule="auto"/>
            </w:pPr>
            <w:r>
              <w:rPr>
                <w:sz w:val="17"/>
              </w:rPr>
              <w:t>Serialization</w:t>
            </w:r>
          </w:p>
        </w:tc>
        <w:tc>
          <w:tcPr>
            <w:tcW w:type="dxa" w:w="2498"/>
            <w:tcMar>
              <w:top w:w="100" w:type="dxa"/>
              <w:start w:w="120" w:type="dxa"/>
              <w:bottom w:w="100" w:type="dxa"/>
              <w:end w:w="120" w:type="dxa"/>
            </w:tcMar>
            <w:vAlign w:val="center"/>
            <w:shd w:fill="F5F7F8"/>
          </w:tcPr>
          <w:p>
            <w:pPr>
              <w:spacing w:after="0" w:line="240" w:lineRule="auto"/>
            </w:pPr>
            <w:r>
              <w:rPr>
                <w:sz w:val="17"/>
              </w:rPr>
              <w:t>Canonical JSON with explicit schema versions</w:t>
            </w:r>
          </w:p>
        </w:tc>
        <w:tc>
          <w:tcPr>
            <w:tcW w:type="dxa" w:w="2498"/>
            <w:tcMar>
              <w:top w:w="100" w:type="dxa"/>
              <w:start w:w="120" w:type="dxa"/>
              <w:bottom w:w="100" w:type="dxa"/>
              <w:end w:w="120" w:type="dxa"/>
            </w:tcMar>
            <w:vAlign w:val="center"/>
            <w:shd w:fill="F5F7F8"/>
          </w:tcPr>
          <w:p>
            <w:pPr>
              <w:spacing w:after="0" w:line="240" w:lineRule="auto"/>
            </w:pPr>
            <w:r>
              <w:rPr>
                <w:sz w:val="17"/>
              </w:rPr>
              <w:t>Portable, inspectable, hashable</w:t>
            </w:r>
          </w:p>
        </w:tc>
        <w:tc>
          <w:tcPr>
            <w:tcW w:type="dxa" w:w="2498"/>
            <w:tcMar>
              <w:top w:w="100" w:type="dxa"/>
              <w:start w:w="120" w:type="dxa"/>
              <w:bottom w:w="100" w:type="dxa"/>
              <w:end w:w="120" w:type="dxa"/>
            </w:tcMar>
            <w:vAlign w:val="center"/>
            <w:shd w:fill="F5F7F8"/>
          </w:tcPr>
          <w:p>
            <w:pPr>
              <w:spacing w:after="0" w:line="240" w:lineRule="auto"/>
            </w:pPr>
            <w:r>
              <w:rPr>
                <w:sz w:val="17"/>
              </w:rPr>
              <w:t>Pickle rejected for security and compatibility</w:t>
            </w:r>
          </w:p>
        </w:tc>
      </w:tr>
      <w:tr>
        <w:tc>
          <w:tcPr>
            <w:tcW w:type="dxa" w:w="2498"/>
            <w:tcMar>
              <w:top w:w="100" w:type="dxa"/>
              <w:start w:w="120" w:type="dxa"/>
              <w:bottom w:w="100" w:type="dxa"/>
              <w:end w:w="120" w:type="dxa"/>
            </w:tcMar>
            <w:vAlign w:val="center"/>
          </w:tcPr>
          <w:p>
            <w:pPr>
              <w:spacing w:after="0" w:line="240" w:lineRule="auto"/>
            </w:pPr>
            <w:r>
              <w:rPr>
                <w:sz w:val="17"/>
              </w:rPr>
              <w:t>IDs</w:t>
            </w:r>
          </w:p>
        </w:tc>
        <w:tc>
          <w:tcPr>
            <w:tcW w:type="dxa" w:w="2498"/>
            <w:tcMar>
              <w:top w:w="100" w:type="dxa"/>
              <w:start w:w="120" w:type="dxa"/>
              <w:bottom w:w="100" w:type="dxa"/>
              <w:end w:w="120" w:type="dxa"/>
            </w:tcMar>
            <w:vAlign w:val="center"/>
          </w:tcPr>
          <w:p>
            <w:pPr>
              <w:spacing w:after="0" w:line="240" w:lineRule="auto"/>
            </w:pPr>
            <w:r>
              <w:rPr>
                <w:sz w:val="17"/>
              </w:rPr>
              <w:t>UUIDv7 or ULID-compatible opaque strings</w:t>
            </w:r>
          </w:p>
        </w:tc>
        <w:tc>
          <w:tcPr>
            <w:tcW w:type="dxa" w:w="2498"/>
            <w:tcMar>
              <w:top w:w="100" w:type="dxa"/>
              <w:start w:w="120" w:type="dxa"/>
              <w:bottom w:w="100" w:type="dxa"/>
              <w:end w:w="120" w:type="dxa"/>
            </w:tcMar>
            <w:vAlign w:val="center"/>
          </w:tcPr>
          <w:p>
            <w:pPr>
              <w:spacing w:after="0" w:line="240" w:lineRule="auto"/>
            </w:pPr>
            <w:r>
              <w:rPr>
                <w:sz w:val="17"/>
              </w:rPr>
              <w:t>Sortable identifiers and easy export</w:t>
            </w:r>
          </w:p>
        </w:tc>
        <w:tc>
          <w:tcPr>
            <w:tcW w:type="dxa" w:w="2498"/>
            <w:tcMar>
              <w:top w:w="100" w:type="dxa"/>
              <w:start w:w="120" w:type="dxa"/>
              <w:bottom w:w="100" w:type="dxa"/>
              <w:end w:w="120" w:type="dxa"/>
            </w:tcMar>
            <w:vAlign w:val="center"/>
          </w:tcPr>
          <w:p>
            <w:pPr>
              <w:spacing w:after="0" w:line="240" w:lineRule="auto"/>
            </w:pPr>
            <w:r>
              <w:rPr>
                <w:sz w:val="17"/>
              </w:rPr>
              <w:t>Integer IDs leak store implementation</w:t>
            </w:r>
          </w:p>
        </w:tc>
      </w:tr>
    </w:tbl>
    <w:p>
      <w:pPr>
        <w:spacing w:after="20"/>
      </w:pPr>
    </w:p>
    <w:p>
      <w:r>
        <w:t>The implementation may select Pydantic v2 for boundary validation if measured value justifies it. Domain protocols must not require callers to use Pydantic models.</w:t>
      </w:r>
    </w:p>
    <w:p>
      <w:pPr>
        <w:pStyle w:val="Heading1"/>
      </w:pPr>
      <w:r>
        <w:t>Persistence</w:t>
      </w:r>
    </w:p>
    <w:p>
      <w:pPr>
        <w:pStyle w:val="Heading2"/>
      </w:pPr>
      <w:r>
        <w:t>SQLite</w:t>
      </w:r>
    </w:p>
    <w:p>
      <w:r>
        <w:t xml:space="preserve">Python's built-in </w:t>
      </w:r>
      <w:r>
        <w:rPr>
          <w:rFonts w:ascii="Cascadia Mono" w:hAnsi="Cascadia Mono"/>
          <w:sz w:val="18"/>
        </w:rPr>
        <w:t>sqlite3</w:t>
      </w:r>
      <w:r>
        <w:t xml:space="preserve"> is the default driver. It avoids a mandatory ORM and keeps transactions explicit. SQL migrations are versioned files. A lightweight mapper converts rows to domain models.</w:t>
      </w:r>
    </w:p>
    <w:p>
      <w:r>
        <w:t>Alternatives:</w:t>
      </w:r>
    </w:p>
    <w:p>
      <w:pPr>
        <w:pStyle w:val="ListBullet"/>
      </w:pPr>
      <w:r>
        <w:t>SQLAlchemy would ease later Postgres support but adds abstraction and dependency weight before a second store exists.</w:t>
      </w:r>
    </w:p>
    <w:p>
      <w:pPr>
        <w:pStyle w:val="ListBullet"/>
      </w:pPr>
      <w:r>
        <w:t>DuckDB is strong for analytics but less suitable as the authoritative transactional state store.</w:t>
      </w:r>
    </w:p>
    <w:p>
      <w:pPr>
        <w:pStyle w:val="ListBullet"/>
      </w:pPr>
      <w:r>
        <w:t>JSONL is readable but weak for atomic lifecycle transitions, uniqueness, resume queries, and migrations.</w:t>
      </w:r>
    </w:p>
    <w:p>
      <w:pPr>
        <w:pStyle w:val="ListBullet"/>
      </w:pPr>
      <w:r>
        <w:t>MLflow is useful for experiment visualization but should not be the only source of resumable control state.</w:t>
      </w:r>
    </w:p>
    <w:p>
      <w:pPr>
        <w:pStyle w:val="Heading2"/>
      </w:pPr>
      <w:r>
        <w:t>Cache payload storage</w:t>
      </w:r>
    </w:p>
    <w:p>
      <w:r>
        <w:t>Small payloads may live in SQLite; larger payloads use local files addressed by digest. This keeps database size manageable and permits integrity checks. Cloud object storage is later work behind an artifact store contract.</w:t>
      </w:r>
    </w:p>
    <w:p>
      <w:pPr>
        <w:pStyle w:val="Heading1"/>
      </w:pPr>
      <w:r>
        <w:t>Command line interface</w:t>
      </w:r>
    </w:p>
    <w:p>
      <w:r>
        <w:t>Typer is the preferred CLI framework because typed command definitions and help generation reduce boilerplate. Rich is optional for progress and tables. The library remains usable without CLI presentation behavior.</w:t>
      </w:r>
    </w:p>
    <w:p>
      <w:r>
        <w:t>Alternatives include argparse, which minimizes dependencies but requires more presentation code, and Click, which is mature but less directly tied to annotations. The final choice should be validated against startup time and Python support.</w:t>
      </w:r>
    </w:p>
    <w:p>
      <w:pPr>
        <w:pStyle w:val="Heading1"/>
      </w:pPr>
      <w:r>
        <w:t>Configuration</w:t>
      </w:r>
    </w:p>
    <w:p>
      <w:r>
        <w:t xml:space="preserve">TOML is the file format because Python 3.11 includes </w:t>
      </w:r>
      <w:r>
        <w:rPr>
          <w:rFonts w:ascii="Cascadia Mono" w:hAnsi="Cascadia Mono"/>
          <w:sz w:val="18"/>
        </w:rPr>
        <w:t>tomllib</w:t>
      </w:r>
      <w:r>
        <w:t>, and a small fallback covers Python 3.10. Environment parsing and source tracking are package code. A settings library may be used only if it preserves explicit precedence and secret redaction.</w:t>
      </w:r>
    </w:p>
    <w:p>
      <w:r>
        <w:t>YAML is not selected because it adds parsing complexity and ambiguous scalar behavior. JSON is accepted for machine interchange but is less comfortable for human study configuration.</w:t>
      </w:r>
    </w:p>
    <w:p>
      <w:pPr>
        <w:pStyle w:val="Heading1"/>
      </w:pPr>
      <w:r>
        <w:t>Search strategies</w:t>
      </w:r>
    </w:p>
    <w:p>
      <w:pPr>
        <w:pStyle w:val="Heading2"/>
      </w:pPr>
      <w:r>
        <w:t>RandomSearch</w:t>
      </w:r>
    </w:p>
    <w:p>
      <w:r>
        <w:t>Uses Python's deterministic pseudorandom generator through package-owned streams. Search space sampling is implemented locally to preserve typed and conditional semantics.</w:t>
      </w:r>
    </w:p>
    <w:p>
      <w:pPr>
        <w:pStyle w:val="Heading2"/>
      </w:pPr>
      <w:r>
        <w:t>LLMSearch</w:t>
      </w:r>
    </w:p>
    <w:p>
      <w:r>
        <w:t>Uses a provider-neutral async structured-output protocol. An OpenAI-compatible adapter is a V0.1 integration. The core does not depend on a specific SDK. Prompt templates are versioned package resources and output validation uses the same search-space schema as every strategy.</w:t>
      </w:r>
    </w:p>
    <w:p>
      <w:r>
        <w:t>Optuna is a strong later integration for Bayesian and pruning strategies. It is not the core strategy abstraction because autorag-tuner needs RAG-specific observations, failure records, usage, and resume semantics.</w:t>
      </w:r>
    </w:p>
    <w:p>
      <w:pPr>
        <w:pStyle w:val="Heading1"/>
      </w:pPr>
      <w:r>
        <w:t>Evaluation</w:t>
      </w:r>
    </w:p>
    <w:p>
      <w:pPr>
        <w:pStyle w:val="Heading2"/>
      </w:pPr>
      <w:r>
        <w:t>Native evaluator protocol</w:t>
      </w:r>
    </w:p>
    <w:p>
      <w:r>
        <w:t>The package owns a small evaluator protocol and metric model. This supports proprietary and simple deterministic metrics without optional dependencies.</w:t>
      </w:r>
    </w:p>
    <w:p>
      <w:pPr>
        <w:pStyle w:val="Heading2"/>
      </w:pPr>
      <w:r>
        <w:t>RAGAS</w:t>
      </w:r>
    </w:p>
    <w:p>
      <w:r>
        <w:t>RAGAS is the first optional evaluation integration because it provides widely recognized RAG metrics. It is installed through an extra and wrapped behind conversion and exception boundaries. Metric names are namespaced, and users choose individual metrics.</w:t>
      </w:r>
    </w:p>
    <w:p>
      <w:r>
        <w:t>DeepEval and other evaluation frameworks are future integrations. Direct compatibility is preferred over copying their models into core.</w:t>
      </w:r>
    </w:p>
    <w:p>
      <w:pPr>
        <w:pStyle w:val="Heading1"/>
      </w:pPr>
      <w:r>
        <w:t>Experiment tracking</w:t>
      </w:r>
    </w:p>
    <w:p>
      <w:r>
        <w:t>SQLite supplies authoritative local state and reports. MLflow is an optional callback-based mirror for organizations already using it. Mirroring occurs after commits and records study and trial IDs for reconciliation.</w:t>
      </w:r>
    </w:p>
    <w:p>
      <w:r>
        <w:t>Weights and Biases is a possible later callback. No tracking vendor is required for base use.</w:t>
      </w:r>
    </w:p>
    <w:p>
      <w:pPr>
        <w:pStyle w:val="Heading1"/>
      </w:pPr>
      <w:r>
        <w:t>Data formats and extraction</w:t>
      </w:r>
    </w:p>
    <w:p>
      <w:r>
        <w:t>JSONL, JSON, CSV, and Python objects cover V0.1 evaluation datasets. Standard library readers handle base formats. PDF extraction is optional and belongs to synthetic-generation helpers or examples because PDF text quality and dependencies vary.</w:t>
      </w:r>
    </w:p>
    <w:p>
      <w:r>
        <w:t>Parquet and Hugging Face Datasets are later optional loaders. Pandas is not a core dependency; it may be accepted as an input adapter when installed.</w:t>
      </w:r>
    </w:p>
    <w:p>
      <w:pPr>
        <w:pStyle w:val="Heading1"/>
      </w:pPr>
      <w:r>
        <w:t>Quality toolchain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Tool</w:t>
            </w:r>
          </w:p>
        </w:tc>
        <w:tc>
          <w:tcPr>
            <w:tcW w:type="dxa" w:w="3331"/>
            <w:shd w:fill="17324D"/>
            <w:tcMar>
              <w:top w:w="115" w:type="dxa"/>
              <w:start w:w="120" w:type="dxa"/>
              <w:bottom w:w="115" w:type="dxa"/>
              <w:end w:w="120" w:type="dxa"/>
            </w:tcMar>
            <w:vAlign w:val="center"/>
          </w:tcPr>
          <w:p>
            <w:r>
              <w:rPr>
                <w:b/>
                <w:color w:val="FFFFFF"/>
                <w:sz w:val="18"/>
              </w:rPr>
              <w:t>Role</w:t>
            </w:r>
          </w:p>
        </w:tc>
        <w:tc>
          <w:tcPr>
            <w:tcW w:type="dxa" w:w="3331"/>
            <w:shd w:fill="17324D"/>
            <w:tcMar>
              <w:top w:w="115" w:type="dxa"/>
              <w:start w:w="120" w:type="dxa"/>
              <w:bottom w:w="115" w:type="dxa"/>
              <w:end w:w="120" w:type="dxa"/>
            </w:tcMar>
            <w:vAlign w:val="center"/>
          </w:tcPr>
          <w:p>
            <w:r>
              <w:rPr>
                <w:b/>
                <w:color w:val="FFFFFF"/>
                <w:sz w:val="18"/>
              </w:rPr>
              <w:t>Required in release CI</w:t>
            </w:r>
          </w:p>
        </w:tc>
      </w:tr>
      <w:tr>
        <w:tc>
          <w:tcPr>
            <w:tcW w:type="dxa" w:w="3331"/>
            <w:tcMar>
              <w:top w:w="100" w:type="dxa"/>
              <w:start w:w="120" w:type="dxa"/>
              <w:bottom w:w="100" w:type="dxa"/>
              <w:end w:w="120" w:type="dxa"/>
            </w:tcMar>
            <w:vAlign w:val="center"/>
          </w:tcPr>
          <w:p>
            <w:pPr>
              <w:spacing w:after="0" w:line="240" w:lineRule="auto"/>
            </w:pPr>
            <w:r>
              <w:rPr>
                <w:sz w:val="17"/>
              </w:rPr>
              <w:t>Ruff</w:t>
            </w:r>
          </w:p>
        </w:tc>
        <w:tc>
          <w:tcPr>
            <w:tcW w:type="dxa" w:w="3331"/>
            <w:tcMar>
              <w:top w:w="100" w:type="dxa"/>
              <w:start w:w="120" w:type="dxa"/>
              <w:bottom w:w="100" w:type="dxa"/>
              <w:end w:w="120" w:type="dxa"/>
            </w:tcMar>
            <w:vAlign w:val="center"/>
          </w:tcPr>
          <w:p>
            <w:pPr>
              <w:spacing w:after="0" w:line="240" w:lineRule="auto"/>
            </w:pPr>
            <w:r>
              <w:rPr>
                <w:sz w:val="17"/>
              </w:rPr>
              <w:t>Formatting, import sorting, linting</w:t>
            </w:r>
          </w:p>
        </w:tc>
        <w:tc>
          <w:tcPr>
            <w:tcW w:type="dxa" w:w="3331"/>
            <w:tcMar>
              <w:top w:w="100" w:type="dxa"/>
              <w:start w:w="120" w:type="dxa"/>
              <w:bottom w:w="100" w:type="dxa"/>
              <w:end w:w="120" w:type="dxa"/>
            </w:tcMar>
            <w:vAlign w:val="center"/>
          </w:tcPr>
          <w:p>
            <w:pPr>
              <w:spacing w:after="0" w:line="240" w:lineRule="auto"/>
            </w:pPr>
            <w:r>
              <w:rPr>
                <w:sz w:val="17"/>
              </w:rPr>
              <w:t>Yes</w:t>
            </w:r>
          </w:p>
        </w:tc>
      </w:tr>
      <w:tr>
        <w:tc>
          <w:tcPr>
            <w:tcW w:type="dxa" w:w="3331"/>
            <w:tcMar>
              <w:top w:w="100" w:type="dxa"/>
              <w:start w:w="120" w:type="dxa"/>
              <w:bottom w:w="100" w:type="dxa"/>
              <w:end w:w="120" w:type="dxa"/>
            </w:tcMar>
            <w:vAlign w:val="center"/>
            <w:shd w:fill="F5F7F8"/>
          </w:tcPr>
          <w:p>
            <w:pPr>
              <w:spacing w:after="0" w:line="240" w:lineRule="auto"/>
            </w:pPr>
            <w:r>
              <w:rPr>
                <w:sz w:val="17"/>
              </w:rPr>
              <w:t>mypy</w:t>
            </w:r>
          </w:p>
        </w:tc>
        <w:tc>
          <w:tcPr>
            <w:tcW w:type="dxa" w:w="3331"/>
            <w:tcMar>
              <w:top w:w="100" w:type="dxa"/>
              <w:start w:w="120" w:type="dxa"/>
              <w:bottom w:w="100" w:type="dxa"/>
              <w:end w:w="120" w:type="dxa"/>
            </w:tcMar>
            <w:vAlign w:val="center"/>
            <w:shd w:fill="F5F7F8"/>
          </w:tcPr>
          <w:p>
            <w:pPr>
              <w:spacing w:after="0" w:line="240" w:lineRule="auto"/>
            </w:pPr>
            <w:r>
              <w:rPr>
                <w:sz w:val="17"/>
              </w:rPr>
              <w:t>Strict type checking</w:t>
            </w:r>
          </w:p>
        </w:tc>
        <w:tc>
          <w:tcPr>
            <w:tcW w:type="dxa" w:w="3331"/>
            <w:tcMar>
              <w:top w:w="100" w:type="dxa"/>
              <w:start w:w="120" w:type="dxa"/>
              <w:bottom w:w="100" w:type="dxa"/>
              <w:end w:w="120" w:type="dxa"/>
            </w:tcMar>
            <w:vAlign w:val="center"/>
            <w:shd w:fill="F5F7F8"/>
          </w:tcPr>
          <w:p>
            <w:pPr>
              <w:spacing w:after="0" w:line="240" w:lineRule="auto"/>
            </w:pPr>
            <w:r>
              <w:rPr>
                <w:sz w:val="17"/>
              </w:rPr>
              <w:t>Yes</w:t>
            </w:r>
          </w:p>
        </w:tc>
      </w:tr>
      <w:tr>
        <w:tc>
          <w:tcPr>
            <w:tcW w:type="dxa" w:w="3331"/>
            <w:tcMar>
              <w:top w:w="100" w:type="dxa"/>
              <w:start w:w="120" w:type="dxa"/>
              <w:bottom w:w="100" w:type="dxa"/>
              <w:end w:w="120" w:type="dxa"/>
            </w:tcMar>
            <w:vAlign w:val="center"/>
          </w:tcPr>
          <w:p>
            <w:pPr>
              <w:spacing w:after="0" w:line="240" w:lineRule="auto"/>
            </w:pPr>
            <w:r>
              <w:rPr>
                <w:sz w:val="17"/>
              </w:rPr>
              <w:t>pytest</w:t>
            </w:r>
          </w:p>
        </w:tc>
        <w:tc>
          <w:tcPr>
            <w:tcW w:type="dxa" w:w="3331"/>
            <w:tcMar>
              <w:top w:w="100" w:type="dxa"/>
              <w:start w:w="120" w:type="dxa"/>
              <w:bottom w:w="100" w:type="dxa"/>
              <w:end w:w="120" w:type="dxa"/>
            </w:tcMar>
            <w:vAlign w:val="center"/>
          </w:tcPr>
          <w:p>
            <w:pPr>
              <w:spacing w:after="0" w:line="240" w:lineRule="auto"/>
            </w:pPr>
            <w:r>
              <w:rPr>
                <w:sz w:val="17"/>
              </w:rPr>
              <w:t>Test runner</w:t>
            </w:r>
          </w:p>
        </w:tc>
        <w:tc>
          <w:tcPr>
            <w:tcW w:type="dxa" w:w="3331"/>
            <w:tcMar>
              <w:top w:w="100" w:type="dxa"/>
              <w:start w:w="120" w:type="dxa"/>
              <w:bottom w:w="100" w:type="dxa"/>
              <w:end w:w="120" w:type="dxa"/>
            </w:tcMar>
            <w:vAlign w:val="center"/>
          </w:tcPr>
          <w:p>
            <w:pPr>
              <w:spacing w:after="0" w:line="240" w:lineRule="auto"/>
            </w:pPr>
            <w:r>
              <w:rPr>
                <w:sz w:val="17"/>
              </w:rPr>
              <w:t>Yes</w:t>
            </w:r>
          </w:p>
        </w:tc>
      </w:tr>
      <w:tr>
        <w:tc>
          <w:tcPr>
            <w:tcW w:type="dxa" w:w="3331"/>
            <w:tcMar>
              <w:top w:w="100" w:type="dxa"/>
              <w:start w:w="120" w:type="dxa"/>
              <w:bottom w:w="100" w:type="dxa"/>
              <w:end w:w="120" w:type="dxa"/>
            </w:tcMar>
            <w:vAlign w:val="center"/>
            <w:shd w:fill="F5F7F8"/>
          </w:tcPr>
          <w:p>
            <w:pPr>
              <w:spacing w:after="0" w:line="240" w:lineRule="auto"/>
            </w:pPr>
            <w:r>
              <w:rPr>
                <w:sz w:val="17"/>
              </w:rPr>
              <w:t>pytest-asyncio</w:t>
            </w:r>
          </w:p>
        </w:tc>
        <w:tc>
          <w:tcPr>
            <w:tcW w:type="dxa" w:w="3331"/>
            <w:tcMar>
              <w:top w:w="100" w:type="dxa"/>
              <w:start w:w="120" w:type="dxa"/>
              <w:bottom w:w="100" w:type="dxa"/>
              <w:end w:w="120" w:type="dxa"/>
            </w:tcMar>
            <w:vAlign w:val="center"/>
            <w:shd w:fill="F5F7F8"/>
          </w:tcPr>
          <w:p>
            <w:pPr>
              <w:spacing w:after="0" w:line="240" w:lineRule="auto"/>
            </w:pPr>
            <w:r>
              <w:rPr>
                <w:sz w:val="17"/>
              </w:rPr>
              <w:t>Async tests</w:t>
            </w:r>
          </w:p>
        </w:tc>
        <w:tc>
          <w:tcPr>
            <w:tcW w:type="dxa" w:w="3331"/>
            <w:tcMar>
              <w:top w:w="100" w:type="dxa"/>
              <w:start w:w="120" w:type="dxa"/>
              <w:bottom w:w="100" w:type="dxa"/>
              <w:end w:w="120" w:type="dxa"/>
            </w:tcMar>
            <w:vAlign w:val="center"/>
            <w:shd w:fill="F5F7F8"/>
          </w:tcPr>
          <w:p>
            <w:pPr>
              <w:spacing w:after="0" w:line="240" w:lineRule="auto"/>
            </w:pPr>
            <w:r>
              <w:rPr>
                <w:sz w:val="17"/>
              </w:rPr>
              <w:t>Yes</w:t>
            </w:r>
          </w:p>
        </w:tc>
      </w:tr>
      <w:tr>
        <w:tc>
          <w:tcPr>
            <w:tcW w:type="dxa" w:w="3331"/>
            <w:tcMar>
              <w:top w:w="100" w:type="dxa"/>
              <w:start w:w="120" w:type="dxa"/>
              <w:bottom w:w="100" w:type="dxa"/>
              <w:end w:w="120" w:type="dxa"/>
            </w:tcMar>
            <w:vAlign w:val="center"/>
          </w:tcPr>
          <w:p>
            <w:pPr>
              <w:spacing w:after="0" w:line="240" w:lineRule="auto"/>
            </w:pPr>
            <w:r>
              <w:rPr>
                <w:sz w:val="17"/>
              </w:rPr>
              <w:t>coverage.py</w:t>
            </w:r>
          </w:p>
        </w:tc>
        <w:tc>
          <w:tcPr>
            <w:tcW w:type="dxa" w:w="3331"/>
            <w:tcMar>
              <w:top w:w="100" w:type="dxa"/>
              <w:start w:w="120" w:type="dxa"/>
              <w:bottom w:w="100" w:type="dxa"/>
              <w:end w:w="120" w:type="dxa"/>
            </w:tcMar>
            <w:vAlign w:val="center"/>
          </w:tcPr>
          <w:p>
            <w:pPr>
              <w:spacing w:after="0" w:line="240" w:lineRule="auto"/>
            </w:pPr>
            <w:r>
              <w:rPr>
                <w:sz w:val="17"/>
              </w:rPr>
              <w:t>Coverage reporting</w:t>
            </w:r>
          </w:p>
        </w:tc>
        <w:tc>
          <w:tcPr>
            <w:tcW w:type="dxa" w:w="3331"/>
            <w:tcMar>
              <w:top w:w="100" w:type="dxa"/>
              <w:start w:w="120" w:type="dxa"/>
              <w:bottom w:w="100" w:type="dxa"/>
              <w:end w:w="120" w:type="dxa"/>
            </w:tcMar>
            <w:vAlign w:val="center"/>
          </w:tcPr>
          <w:p>
            <w:pPr>
              <w:spacing w:after="0" w:line="240" w:lineRule="auto"/>
            </w:pPr>
            <w:r>
              <w:rPr>
                <w:sz w:val="17"/>
              </w:rPr>
              <w:t>Yes, with state-machine emphasis</w:t>
            </w:r>
          </w:p>
        </w:tc>
      </w:tr>
      <w:tr>
        <w:tc>
          <w:tcPr>
            <w:tcW w:type="dxa" w:w="3331"/>
            <w:tcMar>
              <w:top w:w="100" w:type="dxa"/>
              <w:start w:w="120" w:type="dxa"/>
              <w:bottom w:w="100" w:type="dxa"/>
              <w:end w:w="120" w:type="dxa"/>
            </w:tcMar>
            <w:vAlign w:val="center"/>
            <w:shd w:fill="F5F7F8"/>
          </w:tcPr>
          <w:p>
            <w:pPr>
              <w:spacing w:after="0" w:line="240" w:lineRule="auto"/>
            </w:pPr>
            <w:r>
              <w:rPr>
                <w:sz w:val="17"/>
              </w:rPr>
              <w:t>Hypothesis</w:t>
            </w:r>
          </w:p>
        </w:tc>
        <w:tc>
          <w:tcPr>
            <w:tcW w:type="dxa" w:w="3331"/>
            <w:tcMar>
              <w:top w:w="100" w:type="dxa"/>
              <w:start w:w="120" w:type="dxa"/>
              <w:bottom w:w="100" w:type="dxa"/>
              <w:end w:w="120" w:type="dxa"/>
            </w:tcMar>
            <w:vAlign w:val="center"/>
            <w:shd w:fill="F5F7F8"/>
          </w:tcPr>
          <w:p>
            <w:pPr>
              <w:spacing w:after="0" w:line="240" w:lineRule="auto"/>
            </w:pPr>
            <w:r>
              <w:rPr>
                <w:sz w:val="17"/>
              </w:rPr>
              <w:t>Property tests for spaces, hashes, and transitions</w:t>
            </w:r>
          </w:p>
        </w:tc>
        <w:tc>
          <w:tcPr>
            <w:tcW w:type="dxa" w:w="3331"/>
            <w:tcMar>
              <w:top w:w="100" w:type="dxa"/>
              <w:start w:w="120" w:type="dxa"/>
              <w:bottom w:w="100" w:type="dxa"/>
              <w:end w:w="120" w:type="dxa"/>
            </w:tcMar>
            <w:vAlign w:val="center"/>
            <w:shd w:fill="F5F7F8"/>
          </w:tcPr>
          <w:p>
            <w:pPr>
              <w:spacing w:after="0" w:line="240" w:lineRule="auto"/>
            </w:pPr>
            <w:r>
              <w:rPr>
                <w:sz w:val="17"/>
              </w:rPr>
              <w:t>Recommended and likely dev dependency</w:t>
            </w:r>
          </w:p>
        </w:tc>
      </w:tr>
      <w:tr>
        <w:tc>
          <w:tcPr>
            <w:tcW w:type="dxa" w:w="3331"/>
            <w:tcMar>
              <w:top w:w="100" w:type="dxa"/>
              <w:start w:w="120" w:type="dxa"/>
              <w:bottom w:w="100" w:type="dxa"/>
              <w:end w:w="120" w:type="dxa"/>
            </w:tcMar>
            <w:vAlign w:val="center"/>
          </w:tcPr>
          <w:p>
            <w:pPr>
              <w:spacing w:after="0" w:line="240" w:lineRule="auto"/>
            </w:pPr>
            <w:r>
              <w:rPr>
                <w:sz w:val="17"/>
              </w:rPr>
              <w:t>build</w:t>
            </w:r>
          </w:p>
        </w:tc>
        <w:tc>
          <w:tcPr>
            <w:tcW w:type="dxa" w:w="3331"/>
            <w:tcMar>
              <w:top w:w="100" w:type="dxa"/>
              <w:start w:w="120" w:type="dxa"/>
              <w:bottom w:w="100" w:type="dxa"/>
              <w:end w:w="120" w:type="dxa"/>
            </w:tcMar>
            <w:vAlign w:val="center"/>
          </w:tcPr>
          <w:p>
            <w:pPr>
              <w:spacing w:after="0" w:line="240" w:lineRule="auto"/>
            </w:pPr>
            <w:r>
              <w:rPr>
                <w:sz w:val="17"/>
              </w:rPr>
              <w:t>sdist and wheel creation</w:t>
            </w:r>
          </w:p>
        </w:tc>
        <w:tc>
          <w:tcPr>
            <w:tcW w:type="dxa" w:w="3331"/>
            <w:tcMar>
              <w:top w:w="100" w:type="dxa"/>
              <w:start w:w="120" w:type="dxa"/>
              <w:bottom w:w="100" w:type="dxa"/>
              <w:end w:w="120" w:type="dxa"/>
            </w:tcMar>
            <w:vAlign w:val="center"/>
          </w:tcPr>
          <w:p>
            <w:pPr>
              <w:spacing w:after="0" w:line="240" w:lineRule="auto"/>
            </w:pPr>
            <w:r>
              <w:rPr>
                <w:sz w:val="17"/>
              </w:rPr>
              <w:t>Yes</w:t>
            </w:r>
          </w:p>
        </w:tc>
      </w:tr>
      <w:tr>
        <w:tc>
          <w:tcPr>
            <w:tcW w:type="dxa" w:w="3331"/>
            <w:tcMar>
              <w:top w:w="100" w:type="dxa"/>
              <w:start w:w="120" w:type="dxa"/>
              <w:bottom w:w="100" w:type="dxa"/>
              <w:end w:w="120" w:type="dxa"/>
            </w:tcMar>
            <w:vAlign w:val="center"/>
            <w:shd w:fill="F5F7F8"/>
          </w:tcPr>
          <w:p>
            <w:pPr>
              <w:spacing w:after="0" w:line="240" w:lineRule="auto"/>
            </w:pPr>
            <w:r>
              <w:rPr>
                <w:sz w:val="17"/>
              </w:rPr>
              <w:t>twine or trusted publishing checks</w:t>
            </w:r>
          </w:p>
        </w:tc>
        <w:tc>
          <w:tcPr>
            <w:tcW w:type="dxa" w:w="3331"/>
            <w:tcMar>
              <w:top w:w="100" w:type="dxa"/>
              <w:start w:w="120" w:type="dxa"/>
              <w:bottom w:w="100" w:type="dxa"/>
              <w:end w:w="120" w:type="dxa"/>
            </w:tcMar>
            <w:vAlign w:val="center"/>
            <w:shd w:fill="F5F7F8"/>
          </w:tcPr>
          <w:p>
            <w:pPr>
              <w:spacing w:after="0" w:line="240" w:lineRule="auto"/>
            </w:pPr>
            <w:r>
              <w:rPr>
                <w:sz w:val="17"/>
              </w:rPr>
              <w:t>Distribution validation</w:t>
            </w:r>
          </w:p>
        </w:tc>
        <w:tc>
          <w:tcPr>
            <w:tcW w:type="dxa" w:w="3331"/>
            <w:tcMar>
              <w:top w:w="100" w:type="dxa"/>
              <w:start w:w="120" w:type="dxa"/>
              <w:bottom w:w="100" w:type="dxa"/>
              <w:end w:w="120" w:type="dxa"/>
            </w:tcMar>
            <w:vAlign w:val="center"/>
            <w:shd w:fill="F5F7F8"/>
          </w:tcPr>
          <w:p>
            <w:pPr>
              <w:spacing w:after="0" w:line="240" w:lineRule="auto"/>
            </w:pPr>
            <w:r>
              <w:rPr>
                <w:sz w:val="17"/>
              </w:rPr>
              <w:t>Yes</w:t>
            </w:r>
          </w:p>
        </w:tc>
      </w:tr>
    </w:tbl>
    <w:p>
      <w:pPr>
        <w:spacing w:after="20"/>
      </w:pPr>
    </w:p>
    <w:p>
      <w:pPr>
        <w:pStyle w:val="Heading1"/>
      </w:pPr>
      <w:r>
        <w:t>Documentation stack</w:t>
      </w:r>
    </w:p>
    <w:p>
      <w:r>
        <w:t>Repository documentation can use MkDocs Material or Sphinx. MkDocs is preferred for concept and guide authoring, while API reference generation must read public docstrings and type signatures. The choice should not alter package runtime dependencies. Examples are executed in CI.</w:t>
      </w:r>
    </w:p>
    <w:p>
      <w:r>
        <w:t>This DOCX pack remains an editable planning and AI-context artifact. Release documentation should be maintained alongside code and tested.</w:t>
      </w:r>
    </w:p>
    <w:p>
      <w:pPr>
        <w:pStyle w:val="Heading1"/>
      </w:pPr>
      <w:r>
        <w:t>CI and release</w:t>
      </w:r>
    </w:p>
    <w:p>
      <w:r>
        <w:t>GitHub Actions is the assumed public CI platform. The matrix covers supported Python versions, base install, optional extras, Windows and Linux for critical paths, migration fixtures, wheel installation, and documentation examples. macOS receives at least a smoke run before stable release.</w:t>
      </w:r>
    </w:p>
    <w:p>
      <w:r>
        <w:t>PyPI trusted publishing is preferred over long-lived API tokens. Release artifacts include signed provenance when available. Dependency updates use automated pull requests but require compatibility tests for RAGAS and provider SDKs.</w:t>
      </w:r>
    </w:p>
    <w:p>
      <w:pPr>
        <w:pStyle w:val="Heading1"/>
      </w:pPr>
      <w:r>
        <w:t>Observability</w:t>
      </w:r>
    </w:p>
    <w:p>
      <w:r>
        <w:t xml:space="preserve">The standard </w:t>
      </w:r>
      <w:r>
        <w:rPr>
          <w:rFonts w:ascii="Cascadia Mono" w:hAnsi="Cascadia Mono"/>
          <w:sz w:val="18"/>
        </w:rPr>
        <w:t>logging</w:t>
      </w:r>
      <w:r>
        <w:t xml:space="preserve"> package provides library logs. Typed events provide integration observability. OpenTelemetry is a later optional callback or adapter rather than a core dependency. Timing uses </w:t>
      </w:r>
      <w:r>
        <w:rPr>
          <w:rFonts w:ascii="Cascadia Mono" w:hAnsi="Cascadia Mono"/>
          <w:sz w:val="18"/>
        </w:rPr>
        <w:t>time.monotonic</w:t>
      </w:r>
      <w:r>
        <w:t xml:space="preserve"> for durations and UTC wall time for records.</w:t>
      </w:r>
    </w:p>
    <w:p>
      <w:pPr>
        <w:pStyle w:val="Heading1"/>
      </w:pPr>
      <w:r>
        <w:t>Security and privacy</w:t>
      </w:r>
    </w:p>
    <w:p>
      <w:r>
        <w:t xml:space="preserve">The stack avoids executable serialization, hidden </w:t>
      </w:r>
      <w:r>
        <w:rPr>
          <w:rFonts w:ascii="Cascadia Mono" w:hAnsi="Cascadia Mono"/>
          <w:sz w:val="18"/>
        </w:rPr>
        <w:t>.env</w:t>
      </w:r>
      <w:r>
        <w:t xml:space="preserve"> loading, global HTTP clients, and mandatory remote services. Secret types redact representations. Dependency extras reduce supply-chain exposure for users who do not need a feature.</w:t>
      </w:r>
    </w:p>
    <w:p>
      <w:pPr>
        <w:pStyle w:val="Heading1"/>
      </w:pPr>
      <w:r>
        <w:t>Dependency groups</w:t>
      </w:r>
    </w:p>
    <w:p>
      <w:pPr>
        <w:spacing w:before="80" w:after="140" w:line="240" w:lineRule="auto"/>
        <w:ind w:left="360" w:right="216"/>
      </w:pPr>
      <w:r>
        <w:rPr>
          <w:rFonts w:ascii="Cascadia Mono" w:hAnsi="Cascadia Mono"/>
          <w:sz w:val="17"/>
        </w:rPr>
        <w:t>[project]</w:t>
        <w:br/>
      </w:r>
      <w:r>
        <w:rPr>
          <w:rFonts w:ascii="Cascadia Mono" w:hAnsi="Cascadia Mono"/>
          <w:sz w:val="17"/>
        </w:rPr>
        <w:t>dependencies = [</w:t>
        <w:br/>
      </w:r>
      <w:r>
        <w:rPr>
          <w:rFonts w:ascii="Cascadia Mono" w:hAnsi="Cascadia Mono"/>
          <w:sz w:val="17"/>
        </w:rPr>
        <w:t xml:space="preserve">  # intentionally small core dependency set</w:t>
        <w:br/>
      </w:r>
      <w:r>
        <w:rPr>
          <w:rFonts w:ascii="Cascadia Mono" w:hAnsi="Cascadia Mono"/>
          <w:sz w:val="17"/>
        </w:rPr>
        <w:t>]</w:t>
        <w:br/>
      </w:r>
      <w:r>
        <w:rPr>
          <w:rFonts w:ascii="Cascadia Mono" w:hAnsi="Cascadia Mono"/>
          <w:sz w:val="17"/>
        </w:rPr>
        <w:br/>
      </w:r>
      <w:r>
        <w:rPr>
          <w:rFonts w:ascii="Cascadia Mono" w:hAnsi="Cascadia Mono"/>
          <w:sz w:val="17"/>
        </w:rPr>
        <w:t>[project.optional-dependencies]</w:t>
        <w:br/>
      </w:r>
      <w:r>
        <w:rPr>
          <w:rFonts w:ascii="Cascadia Mono" w:hAnsi="Cascadia Mono"/>
          <w:sz w:val="17"/>
        </w:rPr>
        <w:t>ragas = ["ragas&gt;=...,..."]</w:t>
        <w:br/>
      </w:r>
      <w:r>
        <w:rPr>
          <w:rFonts w:ascii="Cascadia Mono" w:hAnsi="Cascadia Mono"/>
          <w:sz w:val="17"/>
        </w:rPr>
        <w:t>mlflow = ["mlflow&gt;=...,..."]</w:t>
        <w:br/>
      </w:r>
      <w:r>
        <w:rPr>
          <w:rFonts w:ascii="Cascadia Mono" w:hAnsi="Cascadia Mono"/>
          <w:sz w:val="17"/>
        </w:rPr>
        <w:t>openai = ["openai&gt;=...,..."]</w:t>
        <w:br/>
      </w:r>
      <w:r>
        <w:rPr>
          <w:rFonts w:ascii="Cascadia Mono" w:hAnsi="Cascadia Mono"/>
          <w:sz w:val="17"/>
        </w:rPr>
        <w:t>cli = ["typer&gt;=...", "rich&gt;=..."]</w:t>
        <w:br/>
      </w:r>
      <w:r>
        <w:rPr>
          <w:rFonts w:ascii="Cascadia Mono" w:hAnsi="Cascadia Mono"/>
          <w:sz w:val="17"/>
        </w:rPr>
        <w:t>dev = ["ruff", "mypy", "pytest", "pytest-asyncio", "hypothesis", "build"]</w:t>
      </w:r>
    </w:p>
    <w:p>
      <w:r>
        <w:t>Exact version ranges are selected during implementation against compatibility tests. This design document does not invent current versions.</w:t>
      </w:r>
    </w:p>
    <w:p>
      <w:pPr>
        <w:pStyle w:val="Heading1"/>
      </w:pPr>
      <w:r>
        <w:t>Rejected choices for V0.1</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shd w:fill="17324D"/>
            <w:tcMar>
              <w:top w:w="115" w:type="dxa"/>
              <w:start w:w="120" w:type="dxa"/>
              <w:bottom w:w="115" w:type="dxa"/>
              <w:end w:w="120" w:type="dxa"/>
            </w:tcMar>
            <w:vAlign w:val="center"/>
          </w:tcPr>
          <w:p>
            <w:r>
              <w:rPr>
                <w:b/>
                <w:color w:val="FFFFFF"/>
                <w:sz w:val="18"/>
              </w:rPr>
              <w:t>Choice</w:t>
            </w:r>
          </w:p>
        </w:tc>
        <w:tc>
          <w:tcPr>
            <w:tcW w:type="dxa" w:w="4997"/>
            <w:shd w:fill="17324D"/>
            <w:tcMar>
              <w:top w:w="115" w:type="dxa"/>
              <w:start w:w="120" w:type="dxa"/>
              <w:bottom w:w="115" w:type="dxa"/>
              <w:end w:w="120" w:type="dxa"/>
            </w:tcMar>
            <w:vAlign w:val="center"/>
          </w:tcPr>
          <w:p>
            <w:r>
              <w:rPr>
                <w:b/>
                <w:color w:val="FFFFFF"/>
                <w:sz w:val="18"/>
              </w:rPr>
              <w:t>Reason not selected now</w:t>
            </w:r>
          </w:p>
        </w:tc>
      </w:tr>
      <w:tr>
        <w:tc>
          <w:tcPr>
            <w:tcW w:type="dxa" w:w="4997"/>
            <w:tcMar>
              <w:top w:w="100" w:type="dxa"/>
              <w:start w:w="120" w:type="dxa"/>
              <w:bottom w:w="100" w:type="dxa"/>
              <w:end w:w="120" w:type="dxa"/>
            </w:tcMar>
            <w:vAlign w:val="center"/>
          </w:tcPr>
          <w:p>
            <w:pPr>
              <w:spacing w:after="0" w:line="240" w:lineRule="auto"/>
            </w:pPr>
            <w:r>
              <w:rPr>
                <w:sz w:val="17"/>
              </w:rPr>
              <w:t>Mandatory LangChain or LlamaIndex</w:t>
            </w:r>
          </w:p>
        </w:tc>
        <w:tc>
          <w:tcPr>
            <w:tcW w:type="dxa" w:w="4997"/>
            <w:tcMar>
              <w:top w:w="100" w:type="dxa"/>
              <w:start w:w="120" w:type="dxa"/>
              <w:bottom w:w="100" w:type="dxa"/>
              <w:end w:w="120" w:type="dxa"/>
            </w:tcMar>
            <w:vAlign w:val="center"/>
          </w:tcPr>
          <w:p>
            <w:pPr>
              <w:spacing w:after="0" w:line="240" w:lineRule="auto"/>
            </w:pPr>
            <w:r>
              <w:rPr>
                <w:sz w:val="17"/>
              </w:rPr>
              <w:t>Excludes custom pipelines and couples core lifecycle to framework changes</w:t>
            </w:r>
          </w:p>
        </w:tc>
      </w:tr>
      <w:tr>
        <w:tc>
          <w:tcPr>
            <w:tcW w:type="dxa" w:w="4997"/>
            <w:tcMar>
              <w:top w:w="100" w:type="dxa"/>
              <w:start w:w="120" w:type="dxa"/>
              <w:bottom w:w="100" w:type="dxa"/>
              <w:end w:w="120" w:type="dxa"/>
            </w:tcMar>
            <w:vAlign w:val="center"/>
            <w:shd w:fill="F5F7F8"/>
          </w:tcPr>
          <w:p>
            <w:pPr>
              <w:spacing w:after="0" w:line="240" w:lineRule="auto"/>
            </w:pPr>
            <w:r>
              <w:rPr>
                <w:sz w:val="17"/>
              </w:rPr>
              <w:t>Celery or a distributed queue</w:t>
            </w:r>
          </w:p>
        </w:tc>
        <w:tc>
          <w:tcPr>
            <w:tcW w:type="dxa" w:w="4997"/>
            <w:tcMar>
              <w:top w:w="100" w:type="dxa"/>
              <w:start w:w="120" w:type="dxa"/>
              <w:bottom w:w="100" w:type="dxa"/>
              <w:end w:w="120" w:type="dxa"/>
            </w:tcMar>
            <w:vAlign w:val="center"/>
            <w:shd w:fill="F5F7F8"/>
          </w:tcPr>
          <w:p>
            <w:pPr>
              <w:spacing w:after="0" w:line="240" w:lineRule="auto"/>
            </w:pPr>
            <w:r>
              <w:rPr>
                <w:sz w:val="17"/>
              </w:rPr>
              <w:t>Adds infrastructure beyond local-first scope</w:t>
            </w:r>
          </w:p>
        </w:tc>
      </w:tr>
      <w:tr>
        <w:tc>
          <w:tcPr>
            <w:tcW w:type="dxa" w:w="4997"/>
            <w:tcMar>
              <w:top w:w="100" w:type="dxa"/>
              <w:start w:w="120" w:type="dxa"/>
              <w:bottom w:w="100" w:type="dxa"/>
              <w:end w:w="120" w:type="dxa"/>
            </w:tcMar>
            <w:vAlign w:val="center"/>
          </w:tcPr>
          <w:p>
            <w:pPr>
              <w:spacing w:after="0" w:line="240" w:lineRule="auto"/>
            </w:pPr>
            <w:r>
              <w:rPr>
                <w:sz w:val="17"/>
              </w:rPr>
              <w:t>Postgres as default</w:t>
            </w:r>
          </w:p>
        </w:tc>
        <w:tc>
          <w:tcPr>
            <w:tcW w:type="dxa" w:w="4997"/>
            <w:tcMar>
              <w:top w:w="100" w:type="dxa"/>
              <w:start w:w="120" w:type="dxa"/>
              <w:bottom w:w="100" w:type="dxa"/>
              <w:end w:w="120" w:type="dxa"/>
            </w:tcMar>
            <w:vAlign w:val="center"/>
          </w:tcPr>
          <w:p>
            <w:pPr>
              <w:spacing w:after="0" w:line="240" w:lineRule="auto"/>
            </w:pPr>
            <w:r>
              <w:rPr>
                <w:sz w:val="17"/>
              </w:rPr>
              <w:t>Requires service setup and credentials</w:t>
            </w:r>
          </w:p>
        </w:tc>
      </w:tr>
      <w:tr>
        <w:tc>
          <w:tcPr>
            <w:tcW w:type="dxa" w:w="4997"/>
            <w:tcMar>
              <w:top w:w="100" w:type="dxa"/>
              <w:start w:w="120" w:type="dxa"/>
              <w:bottom w:w="100" w:type="dxa"/>
              <w:end w:w="120" w:type="dxa"/>
            </w:tcMar>
            <w:vAlign w:val="center"/>
            <w:shd w:fill="F5F7F8"/>
          </w:tcPr>
          <w:p>
            <w:pPr>
              <w:spacing w:after="0" w:line="240" w:lineRule="auto"/>
            </w:pPr>
            <w:r>
              <w:rPr>
                <w:sz w:val="17"/>
              </w:rPr>
              <w:t>MLflow as authoritative store</w:t>
            </w:r>
          </w:p>
        </w:tc>
        <w:tc>
          <w:tcPr>
            <w:tcW w:type="dxa" w:w="4997"/>
            <w:tcMar>
              <w:top w:w="100" w:type="dxa"/>
              <w:start w:w="120" w:type="dxa"/>
              <w:bottom w:w="100" w:type="dxa"/>
              <w:end w:w="120" w:type="dxa"/>
            </w:tcMar>
            <w:vAlign w:val="center"/>
            <w:shd w:fill="F5F7F8"/>
          </w:tcPr>
          <w:p>
            <w:pPr>
              <w:spacing w:after="0" w:line="240" w:lineRule="auto"/>
            </w:pPr>
            <w:r>
              <w:rPr>
                <w:sz w:val="17"/>
              </w:rPr>
              <w:t>Does not naturally model leases, retries, and sample-level resume state</w:t>
            </w:r>
          </w:p>
        </w:tc>
      </w:tr>
      <w:tr>
        <w:tc>
          <w:tcPr>
            <w:tcW w:type="dxa" w:w="4997"/>
            <w:tcMar>
              <w:top w:w="100" w:type="dxa"/>
              <w:start w:w="120" w:type="dxa"/>
              <w:bottom w:w="100" w:type="dxa"/>
              <w:end w:w="120" w:type="dxa"/>
            </w:tcMar>
            <w:vAlign w:val="center"/>
          </w:tcPr>
          <w:p>
            <w:pPr>
              <w:spacing w:after="0" w:line="240" w:lineRule="auto"/>
            </w:pPr>
            <w:r>
              <w:rPr>
                <w:sz w:val="17"/>
              </w:rPr>
              <w:t>Pandas as core dataset model</w:t>
            </w:r>
          </w:p>
        </w:tc>
        <w:tc>
          <w:tcPr>
            <w:tcW w:type="dxa" w:w="4997"/>
            <w:tcMar>
              <w:top w:w="100" w:type="dxa"/>
              <w:start w:w="120" w:type="dxa"/>
              <w:bottom w:w="100" w:type="dxa"/>
              <w:end w:w="120" w:type="dxa"/>
            </w:tcMar>
            <w:vAlign w:val="center"/>
          </w:tcPr>
          <w:p>
            <w:pPr>
              <w:spacing w:after="0" w:line="240" w:lineRule="auto"/>
            </w:pPr>
            <w:r>
              <w:rPr>
                <w:sz w:val="17"/>
              </w:rPr>
              <w:t>Heavy dependency and unnecessary for streaming JSONL</w:t>
            </w:r>
          </w:p>
        </w:tc>
      </w:tr>
      <w:tr>
        <w:tc>
          <w:tcPr>
            <w:tcW w:type="dxa" w:w="4997"/>
            <w:tcMar>
              <w:top w:w="100" w:type="dxa"/>
              <w:start w:w="120" w:type="dxa"/>
              <w:bottom w:w="100" w:type="dxa"/>
              <w:end w:w="120" w:type="dxa"/>
            </w:tcMar>
            <w:vAlign w:val="center"/>
            <w:shd w:fill="F5F7F8"/>
          </w:tcPr>
          <w:p>
            <w:pPr>
              <w:spacing w:after="0" w:line="240" w:lineRule="auto"/>
            </w:pPr>
            <w:r>
              <w:rPr>
                <w:sz w:val="17"/>
              </w:rPr>
              <w:t>Pickled strategy checkpoints</w:t>
            </w:r>
          </w:p>
        </w:tc>
        <w:tc>
          <w:tcPr>
            <w:tcW w:type="dxa" w:w="4997"/>
            <w:tcMar>
              <w:top w:w="100" w:type="dxa"/>
              <w:start w:w="120" w:type="dxa"/>
              <w:bottom w:w="100" w:type="dxa"/>
              <w:end w:w="120" w:type="dxa"/>
            </w:tcMar>
            <w:vAlign w:val="center"/>
            <w:shd w:fill="F5F7F8"/>
          </w:tcPr>
          <w:p>
            <w:pPr>
              <w:spacing w:after="0" w:line="240" w:lineRule="auto"/>
            </w:pPr>
            <w:r>
              <w:rPr>
                <w:sz w:val="17"/>
              </w:rPr>
              <w:t>Unsafe and fragile across versions</w:t>
            </w:r>
          </w:p>
        </w:tc>
      </w:tr>
      <w:tr>
        <w:tc>
          <w:tcPr>
            <w:tcW w:type="dxa" w:w="4997"/>
            <w:tcMar>
              <w:top w:w="100" w:type="dxa"/>
              <w:start w:w="120" w:type="dxa"/>
              <w:bottom w:w="100" w:type="dxa"/>
              <w:end w:w="120" w:type="dxa"/>
            </w:tcMar>
            <w:vAlign w:val="center"/>
          </w:tcPr>
          <w:p>
            <w:pPr>
              <w:spacing w:after="0" w:line="240" w:lineRule="auto"/>
            </w:pPr>
            <w:r>
              <w:rPr>
                <w:sz w:val="17"/>
              </w:rPr>
              <w:t>Jupyter loop patching</w:t>
            </w:r>
          </w:p>
        </w:tc>
        <w:tc>
          <w:tcPr>
            <w:tcW w:type="dxa" w:w="4997"/>
            <w:tcMar>
              <w:top w:w="100" w:type="dxa"/>
              <w:start w:w="120" w:type="dxa"/>
              <w:bottom w:w="100" w:type="dxa"/>
              <w:end w:w="120" w:type="dxa"/>
            </w:tcMar>
            <w:vAlign w:val="center"/>
          </w:tcPr>
          <w:p>
            <w:pPr>
              <w:spacing w:after="0" w:line="240" w:lineRule="auto"/>
            </w:pPr>
            <w:r>
              <w:rPr>
                <w:sz w:val="17"/>
              </w:rPr>
              <w:t>Hides lifecycle errors; async API is the correct notebook interface</w:t>
            </w:r>
          </w:p>
        </w:tc>
      </w:tr>
      <w:tr>
        <w:tc>
          <w:tcPr>
            <w:tcW w:type="dxa" w:w="4997"/>
            <w:tcMar>
              <w:top w:w="100" w:type="dxa"/>
              <w:start w:w="120" w:type="dxa"/>
              <w:bottom w:w="100" w:type="dxa"/>
              <w:end w:w="120" w:type="dxa"/>
            </w:tcMar>
            <w:vAlign w:val="center"/>
            <w:shd w:fill="F5F7F8"/>
          </w:tcPr>
          <w:p>
            <w:pPr>
              <w:spacing w:after="0" w:line="240" w:lineRule="auto"/>
            </w:pPr>
            <w:r>
              <w:rPr>
                <w:sz w:val="17"/>
              </w:rPr>
              <w:t>Automatic model pricing fetched from network</w:t>
            </w:r>
          </w:p>
        </w:tc>
        <w:tc>
          <w:tcPr>
            <w:tcW w:type="dxa" w:w="4997"/>
            <w:tcMar>
              <w:top w:w="100" w:type="dxa"/>
              <w:start w:w="120" w:type="dxa"/>
              <w:bottom w:w="100" w:type="dxa"/>
              <w:end w:w="120" w:type="dxa"/>
            </w:tcMar>
            <w:vAlign w:val="center"/>
            <w:shd w:fill="F5F7F8"/>
          </w:tcPr>
          <w:p>
            <w:pPr>
              <w:spacing w:after="0" w:line="240" w:lineRule="auto"/>
            </w:pPr>
            <w:r>
              <w:rPr>
                <w:sz w:val="17"/>
              </w:rPr>
              <w:t>Nonreproducible and operationally surprising</w:t>
            </w:r>
          </w:p>
        </w:tc>
      </w:tr>
    </w:tbl>
    <w:p>
      <w:pPr>
        <w:spacing w:after="20"/>
      </w:pPr>
    </w:p>
    <w:p>
      <w:pPr>
        <w:pStyle w:val="Heading1"/>
      </w:pPr>
      <w:r>
        <w:t>Decision review triggers</w:t>
      </w:r>
    </w:p>
    <w:p>
      <w:r>
        <w:t>Reconsider SQLite when multi-process write contention becomes a measured limit. Reconsider AnyIO when backend neutrality or structured concurrency substantially reduces compatibility code. Add Optuna when users need Bayesian search and the observation model maps cleanly. Promote framework adapters only after their contracts and maintenance burden are proven in examples.</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000000"/>
        <w:sz w:val="17"/>
      </w:rPr>
      <w:t>autorag-tuner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autorag-tuner Technology Stack</dc:title>
  <dc:subject>autorag-tuner package design documentation</dc:subject>
  <dc:creator>autorag-tuner project</dc:creator>
  <cp:keywords>autorag-tuner, RAG optimization, Python</cp:keywords>
  <dc:description>generated by python-docx</dc:description>
  <cp:lastModifiedBy/>
  <cp:revision>1</cp:revision>
  <dcterms:created xsi:type="dcterms:W3CDTF">2013-12-23T23:15:00Z</dcterms:created>
  <dcterms:modified xsi:type="dcterms:W3CDTF">2013-12-23T23:15:00Z</dcterms:modified>
  <cp:category/>
</cp:coreProperties>
</file>