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rFonts w:ascii="Montserrat" w:cs="Montserrat" w:eastAsia="Montserrat" w:hAnsi="Montserrat"/>
          <w:b w:val="1"/>
          <w:sz w:val="34"/>
          <w:szCs w:val="34"/>
        </w:rPr>
      </w:pPr>
      <w:bookmarkStart w:colFirst="0" w:colLast="0" w:name="_on4f4ls1rgfa" w:id="0"/>
      <w:bookmarkEnd w:id="0"/>
      <w:r w:rsidDel="00000000" w:rsidR="00000000" w:rsidRPr="00000000">
        <w:rPr>
          <w:rFonts w:ascii="Montserrat" w:cs="Montserrat" w:eastAsia="Montserrat" w:hAnsi="Montserrat"/>
          <w:b w:val="1"/>
          <w:sz w:val="34"/>
          <w:szCs w:val="34"/>
          <w:rtl w:val="0"/>
        </w:rPr>
        <w:t xml:space="preserve">1. Brand Overview</w:t>
      </w:r>
    </w:p>
    <w:p w:rsidR="00000000" w:rsidDel="00000000" w:rsidP="00000000" w:rsidRDefault="00000000" w:rsidRPr="00000000" w14:paraId="00000003">
      <w:pPr>
        <w:spacing w:after="240" w:before="240" w:lineRule="auto"/>
        <w:ind w:right="-720"/>
        <w:rPr>
          <w:rFonts w:ascii="Montserrat" w:cs="Montserrat" w:eastAsia="Montserrat" w:hAnsi="Montserrat"/>
        </w:rPr>
      </w:pPr>
      <w:r w:rsidDel="00000000" w:rsidR="00000000" w:rsidRPr="00000000">
        <w:rPr>
          <w:rFonts w:ascii="Montserrat" w:cs="Montserrat" w:eastAsia="Montserrat" w:hAnsi="Montserrat"/>
          <w:b w:val="1"/>
          <w:rtl w:val="0"/>
        </w:rPr>
        <w:t xml:space="preserve">Brand Name:</w:t>
      </w:r>
      <w:r w:rsidDel="00000000" w:rsidR="00000000" w:rsidRPr="00000000">
        <w:rPr>
          <w:rFonts w:ascii="Montserrat" w:cs="Montserrat" w:eastAsia="Montserrat" w:hAnsi="Montserrat"/>
          <w:rtl w:val="0"/>
        </w:rPr>
        <w:t xml:space="preserve"> Lexocrates</w:t>
      </w:r>
    </w:p>
    <w:p w:rsidR="00000000" w:rsidDel="00000000" w:rsidP="00000000" w:rsidRDefault="00000000" w:rsidRPr="00000000" w14:paraId="00000004">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Tagline:</w:t>
      </w:r>
      <w:r w:rsidDel="00000000" w:rsidR="00000000" w:rsidRPr="00000000">
        <w:rPr>
          <w:rFonts w:ascii="Montserrat" w:cs="Montserrat" w:eastAsia="Montserrat" w:hAnsi="Montserrat"/>
          <w:rtl w:val="0"/>
        </w:rPr>
        <w:t xml:space="preserve"> Precision in Law, Rooted in Philosophy</w:t>
      </w:r>
    </w:p>
    <w:p w:rsidR="00000000" w:rsidDel="00000000" w:rsidP="00000000" w:rsidRDefault="00000000" w:rsidRPr="00000000" w14:paraId="00000005">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About Lexocrates:</w:t>
        <w:br w:type="textWrapping"/>
      </w:r>
      <w:r w:rsidDel="00000000" w:rsidR="00000000" w:rsidRPr="00000000">
        <w:rPr>
          <w:rFonts w:ascii="Montserrat" w:cs="Montserrat" w:eastAsia="Montserrat" w:hAnsi="Montserrat"/>
          <w:rtl w:val="0"/>
        </w:rPr>
        <w:t xml:space="preserve">Founded in Jaipur, India, Lexocrates is a Legal Process Outsourcing (LPO) firm serving law firms and corporations across the US, UK, Canada, and Commonwealth nations. </w:t>
        <w:br w:type="textWrapping"/>
        <w:br w:type="textWrapping"/>
        <w:t xml:space="preserve">Our India-based lawyers are trained in international legal systems, offering round-the-clock delivery, strict confidentiality, and deep jurisdictional expertise. The name blends </w:t>
      </w:r>
      <w:r w:rsidDel="00000000" w:rsidR="00000000" w:rsidRPr="00000000">
        <w:rPr>
          <w:rFonts w:ascii="Montserrat" w:cs="Montserrat" w:eastAsia="Montserrat" w:hAnsi="Montserrat"/>
          <w:i w:val="1"/>
          <w:rtl w:val="0"/>
        </w:rPr>
        <w:t xml:space="preserve">Lex</w:t>
      </w:r>
      <w:r w:rsidDel="00000000" w:rsidR="00000000" w:rsidRPr="00000000">
        <w:rPr>
          <w:rFonts w:ascii="Montserrat" w:cs="Montserrat" w:eastAsia="Montserrat" w:hAnsi="Montserrat"/>
          <w:rtl w:val="0"/>
        </w:rPr>
        <w:t xml:space="preserve"> (law) with </w:t>
      </w:r>
      <w:r w:rsidDel="00000000" w:rsidR="00000000" w:rsidRPr="00000000">
        <w:rPr>
          <w:rFonts w:ascii="Montserrat" w:cs="Montserrat" w:eastAsia="Montserrat" w:hAnsi="Montserrat"/>
          <w:i w:val="1"/>
          <w:rtl w:val="0"/>
        </w:rPr>
        <w:t xml:space="preserve">Socrates</w:t>
      </w:r>
      <w:r w:rsidDel="00000000" w:rsidR="00000000" w:rsidRPr="00000000">
        <w:rPr>
          <w:rFonts w:ascii="Montserrat" w:cs="Montserrat" w:eastAsia="Montserrat" w:hAnsi="Montserrat"/>
          <w:rtl w:val="0"/>
        </w:rPr>
        <w:t xml:space="preserve"> (philosophy), symbolizing our commitment to ethics and intellect.</w:t>
      </w:r>
    </w:p>
    <w:p w:rsidR="00000000" w:rsidDel="00000000" w:rsidP="00000000" w:rsidRDefault="00000000" w:rsidRPr="00000000" w14:paraId="00000006">
      <w:pPr>
        <w:pStyle w:val="Heading2"/>
        <w:keepNext w:val="0"/>
        <w:keepLines w:val="0"/>
        <w:spacing w:after="80" w:lineRule="auto"/>
        <w:rPr>
          <w:rFonts w:ascii="Montserrat" w:cs="Montserrat" w:eastAsia="Montserrat" w:hAnsi="Montserrat"/>
          <w:b w:val="1"/>
          <w:sz w:val="34"/>
          <w:szCs w:val="34"/>
        </w:rPr>
      </w:pPr>
      <w:bookmarkStart w:colFirst="0" w:colLast="0" w:name="_8g1mutus4n13" w:id="1"/>
      <w:bookmarkEnd w:id="1"/>
      <w:r w:rsidDel="00000000" w:rsidR="00000000" w:rsidRPr="00000000">
        <w:rPr>
          <w:rFonts w:ascii="Montserrat" w:cs="Montserrat" w:eastAsia="Montserrat" w:hAnsi="Montserrat"/>
          <w:b w:val="1"/>
          <w:sz w:val="34"/>
          <w:szCs w:val="34"/>
          <w:rtl w:val="0"/>
        </w:rPr>
        <w:t xml:space="preserve">2. Brand Purpose, Vision &amp; Mission</w:t>
      </w:r>
    </w:p>
    <w:p w:rsidR="00000000" w:rsidDel="00000000" w:rsidP="00000000" w:rsidRDefault="00000000" w:rsidRPr="00000000" w14:paraId="00000007">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Purpose (Why We Exist):</w:t>
        <w:br w:type="textWrapping"/>
      </w:r>
      <w:r w:rsidDel="00000000" w:rsidR="00000000" w:rsidRPr="00000000">
        <w:rPr>
          <w:rFonts w:ascii="Montserrat" w:cs="Montserrat" w:eastAsia="Montserrat" w:hAnsi="Montserrat"/>
          <w:rtl w:val="0"/>
        </w:rPr>
        <w:t xml:space="preserve"> To make high-quality legal support accessible, affordable, and trustworthy, enabling lawyers and legal departments to focus on their core objectives and client relations.</w:t>
      </w:r>
    </w:p>
    <w:p w:rsidR="00000000" w:rsidDel="00000000" w:rsidP="00000000" w:rsidRDefault="00000000" w:rsidRPr="00000000" w14:paraId="00000008">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Vision (What We Aim to Achieve):</w:t>
        <w:br w:type="textWrapping"/>
      </w:r>
      <w:r w:rsidDel="00000000" w:rsidR="00000000" w:rsidRPr="00000000">
        <w:rPr>
          <w:rFonts w:ascii="Montserrat" w:cs="Montserrat" w:eastAsia="Montserrat" w:hAnsi="Montserrat"/>
          <w:rtl w:val="0"/>
        </w:rPr>
        <w:t xml:space="preserve"> To be recognized as the most trusted global partner in Legal Process Outsourcing—renowned for our integration of law, ethics, intellect, and innovative technology.</w:t>
      </w:r>
    </w:p>
    <w:p w:rsidR="00000000" w:rsidDel="00000000" w:rsidP="00000000" w:rsidRDefault="00000000" w:rsidRPr="00000000" w14:paraId="00000009">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Mission (How We Achieve It):</w:t>
        <w:br w:type="textWrapping"/>
      </w:r>
      <w:r w:rsidDel="00000000" w:rsidR="00000000" w:rsidRPr="00000000">
        <w:rPr>
          <w:rFonts w:ascii="Montserrat" w:cs="Montserrat" w:eastAsia="Montserrat" w:hAnsi="Montserrat"/>
          <w:rtl w:val="0"/>
        </w:rPr>
        <w:t xml:space="preserve"> We deliver intelligent, ethical, and cost-efficient legal services by leveraging a highly trained India-based legal team, advanced legal technology, strict confidentiality protocols, and 24/7 availability, enabling our clients to elevate their legal practice.</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0B">
      <w:pPr>
        <w:pStyle w:val="Heading2"/>
        <w:keepNext w:val="0"/>
        <w:keepLines w:val="0"/>
        <w:spacing w:after="80" w:lineRule="auto"/>
        <w:rPr>
          <w:rFonts w:ascii="Montserrat" w:cs="Montserrat" w:eastAsia="Montserrat" w:hAnsi="Montserrat"/>
          <w:b w:val="1"/>
          <w:sz w:val="34"/>
          <w:szCs w:val="34"/>
        </w:rPr>
      </w:pPr>
      <w:bookmarkStart w:colFirst="0" w:colLast="0" w:name="_7pr3vomvdrsj" w:id="2"/>
      <w:bookmarkEnd w:id="2"/>
      <w:r w:rsidDel="00000000" w:rsidR="00000000" w:rsidRPr="00000000">
        <w:rPr>
          <w:rFonts w:ascii="Montserrat" w:cs="Montserrat" w:eastAsia="Montserrat" w:hAnsi="Montserrat"/>
          <w:b w:val="1"/>
          <w:sz w:val="34"/>
          <w:szCs w:val="34"/>
          <w:rtl w:val="0"/>
        </w:rPr>
        <w:t xml:space="preserve">3. Core Values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Fonts w:ascii="Montserrat" w:cs="Montserrat" w:eastAsia="Montserrat" w:hAnsi="Montserrat"/>
          <w:b w:val="1"/>
          <w:rtl w:val="0"/>
        </w:rPr>
        <w:t xml:space="preserve">Integrity First:</w:t>
      </w:r>
      <w:r w:rsidDel="00000000" w:rsidR="00000000" w:rsidRPr="00000000">
        <w:rPr>
          <w:rFonts w:ascii="Montserrat" w:cs="Montserrat" w:eastAsia="Montserrat" w:hAnsi="Montserrat"/>
          <w:rtl w:val="0"/>
        </w:rPr>
        <w:t xml:space="preserve"> Uncompromising ethics and confidentiality.</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Montserrat" w:cs="Montserrat" w:eastAsia="Montserrat" w:hAnsi="Montserrat"/>
          <w:b w:val="1"/>
          <w:rtl w:val="0"/>
        </w:rPr>
        <w:t xml:space="preserve">Client Centricity:</w:t>
      </w:r>
      <w:r w:rsidDel="00000000" w:rsidR="00000000" w:rsidRPr="00000000">
        <w:rPr>
          <w:rFonts w:ascii="Montserrat" w:cs="Montserrat" w:eastAsia="Montserrat" w:hAnsi="Montserrat"/>
          <w:rtl w:val="0"/>
        </w:rPr>
        <w:t xml:space="preserve"> Personalized, thoughtful solutions tailored to client needs.</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Montserrat" w:cs="Montserrat" w:eastAsia="Montserrat" w:hAnsi="Montserrat"/>
          <w:b w:val="1"/>
          <w:rtl w:val="0"/>
        </w:rPr>
        <w:t xml:space="preserve">Transparency:</w:t>
      </w:r>
      <w:r w:rsidDel="00000000" w:rsidR="00000000" w:rsidRPr="00000000">
        <w:rPr>
          <w:rFonts w:ascii="Montserrat" w:cs="Montserrat" w:eastAsia="Montserrat" w:hAnsi="Montserrat"/>
          <w:rtl w:val="0"/>
        </w:rPr>
        <w:t xml:space="preserve"> Clear communication and straightforward pricing without hidden costs.</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Fonts w:ascii="Montserrat" w:cs="Montserrat" w:eastAsia="Montserrat" w:hAnsi="Montserrat"/>
          <w:b w:val="1"/>
          <w:rtl w:val="0"/>
        </w:rPr>
        <w:t xml:space="preserve">Global Standards, Local Insights:</w:t>
      </w:r>
      <w:r w:rsidDel="00000000" w:rsidR="00000000" w:rsidRPr="00000000">
        <w:rPr>
          <w:rFonts w:ascii="Montserrat" w:cs="Montserrat" w:eastAsia="Montserrat" w:hAnsi="Montserrat"/>
          <w:rtl w:val="0"/>
        </w:rPr>
        <w:t xml:space="preserve"> Combining international expertise with cultural sensitivity and local legal proficiency.</w:t>
        <w:br w:type="textWrapping"/>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Fonts w:ascii="Montserrat" w:cs="Montserrat" w:eastAsia="Montserrat" w:hAnsi="Montserrat"/>
          <w:b w:val="1"/>
          <w:rtl w:val="0"/>
        </w:rPr>
        <w:t xml:space="preserve">Reliability:</w:t>
      </w:r>
      <w:r w:rsidDel="00000000" w:rsidR="00000000" w:rsidRPr="00000000">
        <w:rPr>
          <w:rFonts w:ascii="Montserrat" w:cs="Montserrat" w:eastAsia="Montserrat" w:hAnsi="Montserrat"/>
          <w:rtl w:val="0"/>
        </w:rPr>
        <w:t xml:space="preserve"> Consistent, accurate, and secure services available round-the-clock.</w:t>
        <w:br w:type="textWrapping"/>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rFonts w:ascii="Montserrat" w:cs="Montserrat" w:eastAsia="Montserrat" w:hAnsi="Montserrat"/>
          <w:b w:val="1"/>
          <w:sz w:val="34"/>
          <w:szCs w:val="34"/>
        </w:rPr>
      </w:pPr>
      <w:bookmarkStart w:colFirst="0" w:colLast="0" w:name="_wbbburkl2f0z" w:id="3"/>
      <w:bookmarkEnd w:id="3"/>
      <w:r w:rsidDel="00000000" w:rsidR="00000000" w:rsidRPr="00000000">
        <w:rPr>
          <w:rFonts w:ascii="Montserrat" w:cs="Montserrat" w:eastAsia="Montserrat" w:hAnsi="Montserrat"/>
          <w:b w:val="1"/>
          <w:sz w:val="34"/>
          <w:szCs w:val="34"/>
          <w:rtl w:val="0"/>
        </w:rPr>
        <w:t xml:space="preserve">4. Brand Personality</w:t>
      </w:r>
    </w:p>
    <w:p w:rsidR="00000000" w:rsidDel="00000000" w:rsidP="00000000" w:rsidRDefault="00000000" w:rsidRPr="00000000" w14:paraId="00000013">
      <w:pPr>
        <w:numPr>
          <w:ilvl w:val="0"/>
          <w:numId w:val="7"/>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Professional</w:t>
        <w:br w:type="textWrapping"/>
      </w:r>
    </w:p>
    <w:p w:rsidR="00000000" w:rsidDel="00000000" w:rsidP="00000000" w:rsidRDefault="00000000" w:rsidRPr="00000000" w14:paraId="00000014">
      <w:pPr>
        <w:numPr>
          <w:ilvl w:val="0"/>
          <w:numId w:val="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Ethical</w:t>
        <w:br w:type="textWrapping"/>
      </w:r>
    </w:p>
    <w:p w:rsidR="00000000" w:rsidDel="00000000" w:rsidP="00000000" w:rsidRDefault="00000000" w:rsidRPr="00000000" w14:paraId="00000015">
      <w:pPr>
        <w:numPr>
          <w:ilvl w:val="0"/>
          <w:numId w:val="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Modern</w:t>
        <w:br w:type="textWrapping"/>
      </w:r>
    </w:p>
    <w:p w:rsidR="00000000" w:rsidDel="00000000" w:rsidP="00000000" w:rsidRDefault="00000000" w:rsidRPr="00000000" w14:paraId="00000016">
      <w:pPr>
        <w:numPr>
          <w:ilvl w:val="0"/>
          <w:numId w:val="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Discreet</w:t>
        <w:br w:type="textWrapping"/>
      </w:r>
    </w:p>
    <w:p w:rsidR="00000000" w:rsidDel="00000000" w:rsidP="00000000" w:rsidRDefault="00000000" w:rsidRPr="00000000" w14:paraId="00000017">
      <w:pPr>
        <w:numPr>
          <w:ilvl w:val="0"/>
          <w:numId w:val="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Intellectual</w:t>
        <w:br w:type="textWrapping"/>
      </w:r>
    </w:p>
    <w:p w:rsidR="00000000" w:rsidDel="00000000" w:rsidP="00000000" w:rsidRDefault="00000000" w:rsidRPr="00000000" w14:paraId="00000018">
      <w:pPr>
        <w:numPr>
          <w:ilvl w:val="0"/>
          <w:numId w:val="7"/>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Dependable</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9">
      <w:pPr>
        <w:pStyle w:val="Heading2"/>
        <w:keepNext w:val="0"/>
        <w:keepLines w:val="0"/>
        <w:spacing w:after="80" w:lineRule="auto"/>
        <w:rPr>
          <w:rFonts w:ascii="Montserrat" w:cs="Montserrat" w:eastAsia="Montserrat" w:hAnsi="Montserrat"/>
          <w:b w:val="1"/>
          <w:sz w:val="34"/>
          <w:szCs w:val="34"/>
        </w:rPr>
      </w:pPr>
      <w:bookmarkStart w:colFirst="0" w:colLast="0" w:name="_yc9egy1wfkge" w:id="4"/>
      <w:bookmarkEnd w:id="4"/>
      <w:r w:rsidDel="00000000" w:rsidR="00000000" w:rsidRPr="00000000">
        <w:rPr>
          <w:rFonts w:ascii="Montserrat" w:cs="Montserrat" w:eastAsia="Montserrat" w:hAnsi="Montserrat"/>
          <w:b w:val="1"/>
          <w:sz w:val="34"/>
          <w:szCs w:val="34"/>
          <w:rtl w:val="0"/>
        </w:rPr>
        <w:t xml:space="preserve">5. Target Audience</w:t>
      </w:r>
    </w:p>
    <w:p w:rsidR="00000000" w:rsidDel="00000000" w:rsidP="00000000" w:rsidRDefault="00000000" w:rsidRPr="00000000" w14:paraId="0000001A">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Primary Audience:</w:t>
      </w:r>
    </w:p>
    <w:p w:rsidR="00000000" w:rsidDel="00000000" w:rsidP="00000000" w:rsidRDefault="00000000" w:rsidRPr="00000000" w14:paraId="0000001B">
      <w:pPr>
        <w:numPr>
          <w:ilvl w:val="0"/>
          <w:numId w:val="4"/>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Law firms and solo legal practitioners , primarily in the US, Canada, UK, and Commonwealth countries.</w:t>
        <w:br w:type="textWrapping"/>
      </w:r>
    </w:p>
    <w:p w:rsidR="00000000" w:rsidDel="00000000" w:rsidP="00000000" w:rsidRDefault="00000000" w:rsidRPr="00000000" w14:paraId="0000001C">
      <w:pPr>
        <w:numPr>
          <w:ilvl w:val="0"/>
          <w:numId w:val="4"/>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Seek reliable, jurisdiction-specific, cost-effective legal support.</w:t>
        <w:br w:type="textWrapping"/>
      </w:r>
    </w:p>
    <w:p w:rsidR="00000000" w:rsidDel="00000000" w:rsidP="00000000" w:rsidRDefault="00000000" w:rsidRPr="00000000" w14:paraId="0000001D">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Secondary Audience:</w:t>
      </w:r>
    </w:p>
    <w:p w:rsidR="00000000" w:rsidDel="00000000" w:rsidP="00000000" w:rsidRDefault="00000000" w:rsidRPr="00000000" w14:paraId="0000001E">
      <w:pPr>
        <w:numPr>
          <w:ilvl w:val="0"/>
          <w:numId w:val="2"/>
        </w:numPr>
        <w:spacing w:after="24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Corporate legal departments and legal tech providers requiring rapid, accurate legal processes, emphasizing data security and technological integration.</w:t>
        <w:br w:type="textWrapping"/>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rFonts w:ascii="Montserrat" w:cs="Montserrat" w:eastAsia="Montserrat" w:hAnsi="Montserrat"/>
          <w:b w:val="1"/>
          <w:sz w:val="34"/>
          <w:szCs w:val="34"/>
        </w:rPr>
      </w:pPr>
      <w:bookmarkStart w:colFirst="0" w:colLast="0" w:name="_jvty0m2golmq" w:id="5"/>
      <w:bookmarkEnd w:id="5"/>
      <w:r w:rsidDel="00000000" w:rsidR="00000000" w:rsidRPr="00000000">
        <w:rPr>
          <w:rFonts w:ascii="Montserrat" w:cs="Montserrat" w:eastAsia="Montserrat" w:hAnsi="Montserrat"/>
          <w:b w:val="1"/>
          <w:sz w:val="34"/>
          <w:szCs w:val="34"/>
          <w:rtl w:val="0"/>
        </w:rPr>
        <w:t xml:space="preserve">6. Unique Selling Proposition (USP)</w:t>
      </w:r>
    </w:p>
    <w:p w:rsidR="00000000" w:rsidDel="00000000" w:rsidP="00000000" w:rsidRDefault="00000000" w:rsidRPr="00000000" w14:paraId="0000002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Lexocrates uniquely blends legal precision with philosophical depth. With an ethically-driven approach and a highly trained team versed in global legal systems, Lexocrates offers scalable, secure, and consultative legal outsourcing services accessible 24/7, reinforced by stringent data security.</w:t>
      </w:r>
    </w:p>
    <w:p w:rsidR="00000000" w:rsidDel="00000000" w:rsidP="00000000" w:rsidRDefault="00000000" w:rsidRPr="00000000" w14:paraId="00000022">
      <w:pPr>
        <w:rPr>
          <w:rFonts w:ascii="Montserrat" w:cs="Montserrat" w:eastAsia="Montserrat" w:hAnsi="Montserrat"/>
          <w:b w:val="1"/>
          <w:sz w:val="34"/>
          <w:szCs w:val="34"/>
        </w:rPr>
      </w:pPr>
      <w:r w:rsidDel="00000000" w:rsidR="00000000" w:rsidRPr="00000000">
        <w:rPr>
          <w:rFonts w:ascii="Montserrat" w:cs="Montserrat" w:eastAsia="Montserrat" w:hAnsi="Montserrat"/>
          <w:rtl w:val="0"/>
        </w:rPr>
        <w:br w:type="textWrapping"/>
        <w:br w:type="textWrapping"/>
      </w: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br w:type="textWrapping"/>
        <w:br w:type="textWrapping"/>
        <w:br w:type="textWrapping"/>
        <w:br w:type="textWrapping"/>
        <w:br w:type="textWrapping"/>
        <w:br w:type="textWrapping"/>
      </w:r>
    </w:p>
    <w:p w:rsidR="00000000" w:rsidDel="00000000" w:rsidP="00000000" w:rsidRDefault="00000000" w:rsidRPr="00000000" w14:paraId="00000024">
      <w:pPr>
        <w:pStyle w:val="Heading2"/>
        <w:keepNext w:val="0"/>
        <w:keepLines w:val="0"/>
        <w:spacing w:after="80" w:lineRule="auto"/>
        <w:rPr>
          <w:rFonts w:ascii="Montserrat" w:cs="Montserrat" w:eastAsia="Montserrat" w:hAnsi="Montserrat"/>
          <w:b w:val="1"/>
          <w:sz w:val="34"/>
          <w:szCs w:val="34"/>
        </w:rPr>
      </w:pPr>
      <w:bookmarkStart w:colFirst="0" w:colLast="0" w:name="_7yuen2wj5alt" w:id="6"/>
      <w:bookmarkEnd w:id="6"/>
      <w:r w:rsidDel="00000000" w:rsidR="00000000" w:rsidRPr="00000000">
        <w:rPr>
          <w:rFonts w:ascii="Montserrat" w:cs="Montserrat" w:eastAsia="Montserrat" w:hAnsi="Montserrat"/>
          <w:b w:val="1"/>
          <w:sz w:val="34"/>
          <w:szCs w:val="34"/>
          <w:rtl w:val="0"/>
        </w:rPr>
        <w:t xml:space="preserve">7. Service Offerings</w:t>
      </w:r>
    </w:p>
    <w:p w:rsidR="00000000" w:rsidDel="00000000" w:rsidP="00000000" w:rsidRDefault="00000000" w:rsidRPr="00000000" w14:paraId="00000025">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sz w:val="34"/>
          <w:szCs w:val="34"/>
          <w:rtl w:val="0"/>
        </w:rPr>
        <w:br w:type="textWrapping"/>
      </w:r>
      <w:r w:rsidDel="00000000" w:rsidR="00000000" w:rsidRPr="00000000">
        <w:rPr>
          <w:rFonts w:ascii="Montserrat" w:cs="Montserrat" w:eastAsia="Montserrat" w:hAnsi="Montserrat"/>
          <w:b w:val="1"/>
          <w:rtl w:val="0"/>
        </w:rPr>
        <w:t xml:space="preserve">Primary:</w:t>
      </w:r>
    </w:p>
    <w:p w:rsidR="00000000" w:rsidDel="00000000" w:rsidP="00000000" w:rsidRDefault="00000000" w:rsidRPr="00000000" w14:paraId="00000026">
      <w:pPr>
        <w:numPr>
          <w:ilvl w:val="0"/>
          <w:numId w:val="6"/>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Legal Research &amp; Writing</w:t>
        <w:br w:type="textWrapping"/>
      </w:r>
    </w:p>
    <w:p w:rsidR="00000000" w:rsidDel="00000000" w:rsidP="00000000" w:rsidRDefault="00000000" w:rsidRPr="00000000" w14:paraId="00000027">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Contract Drafting &amp; Review</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Litigation Support</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eDiscovery &amp; Document Review</w:t>
        <w:br w:type="textWrapping"/>
      </w:r>
    </w:p>
    <w:p w:rsidR="00000000" w:rsidDel="00000000" w:rsidP="00000000" w:rsidRDefault="00000000" w:rsidRPr="00000000" w14:paraId="0000002A">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Compliance Assistance</w:t>
        <w:br w:type="textWrapping"/>
      </w:r>
    </w:p>
    <w:p w:rsidR="00000000" w:rsidDel="00000000" w:rsidP="00000000" w:rsidRDefault="00000000" w:rsidRPr="00000000" w14:paraId="0000002B">
      <w:pPr>
        <w:numPr>
          <w:ilvl w:val="0"/>
          <w:numId w:val="6"/>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Virtual Paralegal Support</w:t>
        <w:br w:type="textWrapping"/>
      </w:r>
    </w:p>
    <w:p w:rsidR="00000000" w:rsidDel="00000000" w:rsidP="00000000" w:rsidRDefault="00000000" w:rsidRPr="00000000" w14:paraId="0000002C">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Secondary:</w:t>
      </w:r>
    </w:p>
    <w:p w:rsidR="00000000" w:rsidDel="00000000" w:rsidP="00000000" w:rsidRDefault="00000000" w:rsidRPr="00000000" w14:paraId="0000002D">
      <w:pPr>
        <w:numPr>
          <w:ilvl w:val="0"/>
          <w:numId w:val="1"/>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IP Research</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M&amp;A Due Diligence</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Legal Data Entry &amp; Audit</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Legal Transcription</w:t>
        <w:br w:type="textWrapping"/>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Citation Formatting (Bluebook)</w:t>
        <w:br w:type="textWrapping"/>
      </w:r>
    </w:p>
    <w:p w:rsidR="00000000" w:rsidDel="00000000" w:rsidP="00000000" w:rsidRDefault="00000000" w:rsidRPr="00000000" w14:paraId="00000032">
      <w:pPr>
        <w:numPr>
          <w:ilvl w:val="0"/>
          <w:numId w:val="1"/>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Legal Translation (on demand)</w:t>
        <w:br w:type="textWrapping"/>
      </w:r>
    </w:p>
    <w:p w:rsidR="00000000" w:rsidDel="00000000" w:rsidP="00000000" w:rsidRDefault="00000000" w:rsidRPr="00000000" w14:paraId="00000033">
      <w:pPr>
        <w:rPr>
          <w:rFonts w:ascii="Montserrat" w:cs="Montserrat" w:eastAsia="Montserrat" w:hAnsi="Montserrat"/>
          <w:b w:val="1"/>
          <w:sz w:val="34"/>
          <w:szCs w:val="34"/>
        </w:rPr>
      </w:pPr>
      <w:r w:rsidDel="00000000" w:rsidR="00000000" w:rsidRPr="00000000">
        <w:rPr>
          <w:rFonts w:ascii="Montserrat" w:cs="Montserrat" w:eastAsia="Montserrat" w:hAnsi="Montserrat"/>
          <w:rtl w:val="0"/>
        </w:rPr>
        <w:br w:type="textWrapping"/>
        <w:br w:type="textWrapping"/>
        <w:br w:type="textWrapping"/>
        <w:br w:type="textWrapping"/>
        <w:br w:type="textWrapping"/>
        <w:br w:type="textWrapping"/>
        <w:br w:type="textWrapping"/>
        <w:br w:type="textWrapping"/>
      </w:r>
      <w:r w:rsidDel="00000000" w:rsidR="00000000" w:rsidRPr="00000000">
        <w:rPr>
          <w:rFonts w:ascii="Montserrat" w:cs="Montserrat" w:eastAsia="Montserrat" w:hAnsi="Montserrat"/>
          <w:b w:val="1"/>
          <w:sz w:val="34"/>
          <w:szCs w:val="34"/>
          <w:rtl w:val="0"/>
        </w:rPr>
        <w:t xml:space="preserve">8. Competitive Analysis &amp; Differentiation</w:t>
      </w:r>
    </w:p>
    <w:p w:rsidR="00000000" w:rsidDel="00000000" w:rsidP="00000000" w:rsidRDefault="00000000" w:rsidRPr="00000000" w14:paraId="00000034">
      <w:pPr>
        <w:spacing w:after="240" w:before="240" w:lineRule="auto"/>
        <w:rPr>
          <w:rFonts w:ascii="Montserrat" w:cs="Montserrat" w:eastAsia="Montserrat" w:hAnsi="Montserrat"/>
          <w:b w:val="1"/>
          <w:color w:val="366091"/>
          <w:sz w:val="28"/>
          <w:szCs w:val="28"/>
        </w:rPr>
      </w:pPr>
      <w:r w:rsidDel="00000000" w:rsidR="00000000" w:rsidRPr="00000000">
        <w:rPr>
          <w:rFonts w:ascii="Montserrat" w:cs="Montserrat" w:eastAsia="Montserrat" w:hAnsi="Montserrat"/>
          <w:b w:val="1"/>
          <w:rtl w:val="0"/>
        </w:rPr>
        <w:t xml:space="preserve">Competitors Analyzed:</w:t>
      </w:r>
      <w:r w:rsidDel="00000000" w:rsidR="00000000" w:rsidRPr="00000000">
        <w:rPr>
          <w:rtl w:val="0"/>
        </w:rPr>
      </w:r>
    </w:p>
    <w:tbl>
      <w:tblPr>
        <w:tblStyle w:val="Table1"/>
        <w:tblW w:w="9735.0" w:type="dxa"/>
        <w:jc w:val="left"/>
        <w:tblInd w:w="2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3855"/>
        <w:gridCol w:w="3525"/>
        <w:tblGridChange w:id="0">
          <w:tblGrid>
            <w:gridCol w:w="2355"/>
            <w:gridCol w:w="3855"/>
            <w:gridCol w:w="3525"/>
          </w:tblGrid>
        </w:tblGridChange>
      </w:tblGrid>
      <w:tr>
        <w:trPr>
          <w:cantSplit w:val="0"/>
          <w:trHeight w:val="407.919921875" w:hRule="atLeast"/>
          <w:tblHeader w:val="0"/>
        </w:trPr>
        <w:tc>
          <w:tcPr/>
          <w:p w:rsidR="00000000" w:rsidDel="00000000" w:rsidP="00000000" w:rsidRDefault="00000000" w:rsidRPr="00000000" w14:paraId="00000035">
            <w:pPr>
              <w:rPr>
                <w:rFonts w:ascii="Montserrat" w:cs="Montserrat" w:eastAsia="Montserrat" w:hAnsi="Montserrat"/>
              </w:rPr>
            </w:pPr>
            <w:r w:rsidDel="00000000" w:rsidR="00000000" w:rsidRPr="00000000">
              <w:rPr>
                <w:rFonts w:ascii="Montserrat" w:cs="Montserrat" w:eastAsia="Montserrat" w:hAnsi="Montserrat"/>
                <w:rtl w:val="0"/>
              </w:rPr>
              <w:t xml:space="preserve">Competitor</w:t>
            </w:r>
          </w:p>
        </w:tc>
        <w:tc>
          <w:tcPr/>
          <w:p w:rsidR="00000000" w:rsidDel="00000000" w:rsidP="00000000" w:rsidRDefault="00000000" w:rsidRPr="00000000" w14:paraId="00000036">
            <w:pPr>
              <w:rPr>
                <w:rFonts w:ascii="Montserrat" w:cs="Montserrat" w:eastAsia="Montserrat" w:hAnsi="Montserrat"/>
              </w:rPr>
            </w:pPr>
            <w:r w:rsidDel="00000000" w:rsidR="00000000" w:rsidRPr="00000000">
              <w:rPr>
                <w:rFonts w:ascii="Montserrat" w:cs="Montserrat" w:eastAsia="Montserrat" w:hAnsi="Montserrat"/>
                <w:rtl w:val="0"/>
              </w:rPr>
              <w:t xml:space="preserve">Strengths</w:t>
            </w:r>
          </w:p>
        </w:tc>
        <w:tc>
          <w:tcPr/>
          <w:p w:rsidR="00000000" w:rsidDel="00000000" w:rsidP="00000000" w:rsidRDefault="00000000" w:rsidRPr="00000000" w14:paraId="00000037">
            <w:pPr>
              <w:rPr>
                <w:rFonts w:ascii="Montserrat" w:cs="Montserrat" w:eastAsia="Montserrat" w:hAnsi="Montserrat"/>
              </w:rPr>
            </w:pPr>
            <w:r w:rsidDel="00000000" w:rsidR="00000000" w:rsidRPr="00000000">
              <w:rPr>
                <w:rFonts w:ascii="Montserrat" w:cs="Montserrat" w:eastAsia="Montserrat" w:hAnsi="Montserrat"/>
                <w:rtl w:val="0"/>
              </w:rPr>
              <w:t xml:space="preserve">Weaknesses</w:t>
            </w:r>
          </w:p>
        </w:tc>
      </w:tr>
      <w:tr>
        <w:trPr>
          <w:cantSplit w:val="0"/>
          <w:trHeight w:val="1755" w:hRule="atLeast"/>
          <w:tblHeader w:val="0"/>
        </w:trPr>
        <w:tc>
          <w:tcPr/>
          <w:p w:rsidR="00000000" w:rsidDel="00000000" w:rsidP="00000000" w:rsidRDefault="00000000" w:rsidRPr="00000000" w14:paraId="00000038">
            <w:pPr>
              <w:rPr>
                <w:rFonts w:ascii="Montserrat" w:cs="Montserrat" w:eastAsia="Montserrat" w:hAnsi="Montserrat"/>
                <w:color w:val="3c78d8"/>
                <w:sz w:val="20"/>
                <w:szCs w:val="20"/>
              </w:rPr>
            </w:pPr>
            <w:r w:rsidDel="00000000" w:rsidR="00000000" w:rsidRPr="00000000">
              <w:rPr>
                <w:rFonts w:ascii="Montserrat" w:cs="Montserrat" w:eastAsia="Montserrat" w:hAnsi="Montserrat"/>
                <w:rtl w:val="0"/>
              </w:rPr>
              <w:br w:type="textWrapping"/>
              <w:br w:type="textWrapping"/>
              <w:t xml:space="preserve">Integreon</w:t>
              <w:br w:type="textWrapping"/>
            </w:r>
            <w:r w:rsidDel="00000000" w:rsidR="00000000" w:rsidRPr="00000000">
              <w:rPr>
                <w:rFonts w:ascii="Montserrat" w:cs="Montserrat" w:eastAsia="Montserrat" w:hAnsi="Montserrat"/>
                <w:color w:val="3c78d8"/>
                <w:sz w:val="20"/>
                <w:szCs w:val="20"/>
                <w:rtl w:val="0"/>
              </w:rPr>
              <w:t xml:space="preserve">https://www.integreon.com/</w:t>
            </w:r>
          </w:p>
        </w:tc>
        <w:tc>
          <w:tcPr/>
          <w:p w:rsidR="00000000" w:rsidDel="00000000" w:rsidP="00000000" w:rsidRDefault="00000000" w:rsidRPr="00000000" w14:paraId="00000039">
            <w:pPr>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Scalable expertise, robust security standards, global delivery centers, corporate/formal tone, polished visuals</w:t>
            </w:r>
          </w:p>
        </w:tc>
        <w:tc>
          <w:tcPr/>
          <w:p w:rsidR="00000000" w:rsidDel="00000000" w:rsidP="00000000" w:rsidRDefault="00000000" w:rsidRPr="00000000" w14:paraId="0000003A">
            <w:pPr>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Formality and complexity may limit accessibility for smaller firms</w:t>
            </w:r>
          </w:p>
        </w:tc>
      </w:tr>
      <w:tr>
        <w:trPr>
          <w:cantSplit w:val="0"/>
          <w:trHeight w:val="1346.6796875" w:hRule="atLeast"/>
          <w:tblHeader w:val="0"/>
        </w:trPr>
        <w:tc>
          <w:tcPr/>
          <w:p w:rsidR="00000000" w:rsidDel="00000000" w:rsidP="00000000" w:rsidRDefault="00000000" w:rsidRPr="00000000" w14:paraId="0000003B">
            <w:pPr>
              <w:rPr>
                <w:rFonts w:ascii="Montserrat" w:cs="Montserrat" w:eastAsia="Montserrat" w:hAnsi="Montserrat"/>
                <w:color w:val="3c78d8"/>
                <w:sz w:val="20"/>
                <w:szCs w:val="20"/>
              </w:rPr>
            </w:pPr>
            <w:r w:rsidDel="00000000" w:rsidR="00000000" w:rsidRPr="00000000">
              <w:rPr>
                <w:rFonts w:ascii="Montserrat" w:cs="Montserrat" w:eastAsia="Montserrat" w:hAnsi="Montserrat"/>
                <w:rtl w:val="0"/>
              </w:rPr>
              <w:br w:type="textWrapping"/>
              <w:t xml:space="preserve">UnitedLex</w:t>
              <w:br w:type="textWrapping"/>
            </w:r>
            <w:r w:rsidDel="00000000" w:rsidR="00000000" w:rsidRPr="00000000">
              <w:rPr>
                <w:rFonts w:ascii="Montserrat" w:cs="Montserrat" w:eastAsia="Montserrat" w:hAnsi="Montserrat"/>
                <w:color w:val="3c78d8"/>
                <w:sz w:val="20"/>
                <w:szCs w:val="20"/>
                <w:rtl w:val="0"/>
              </w:rPr>
              <w:t xml:space="preserve">https://unitedlex.com/</w:t>
            </w:r>
          </w:p>
        </w:tc>
        <w:tc>
          <w:tcPr/>
          <w:p w:rsidR="00000000" w:rsidDel="00000000" w:rsidP="00000000" w:rsidRDefault="00000000" w:rsidRPr="00000000" w14:paraId="0000003C">
            <w:pPr>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Digital-first, integrates advanced AI/analytics, targets enterprise clients, emphasizes innovation</w:t>
            </w:r>
          </w:p>
        </w:tc>
        <w:tc>
          <w:tcPr/>
          <w:p w:rsidR="00000000" w:rsidDel="00000000" w:rsidP="00000000" w:rsidRDefault="00000000" w:rsidRPr="00000000" w14:paraId="0000003D">
            <w:pPr>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High-end positioning limits appeal to mid-market and traditional law firms</w:t>
            </w:r>
          </w:p>
        </w:tc>
      </w:tr>
      <w:tr>
        <w:trPr>
          <w:cantSplit w:val="0"/>
          <w:trHeight w:val="1649.599609375" w:hRule="atLeast"/>
          <w:tblHeader w:val="0"/>
        </w:trPr>
        <w:tc>
          <w:tcPr/>
          <w:p w:rsidR="00000000" w:rsidDel="00000000" w:rsidP="00000000" w:rsidRDefault="00000000" w:rsidRPr="00000000" w14:paraId="0000003E">
            <w:pPr>
              <w:rPr>
                <w:rFonts w:ascii="Montserrat" w:cs="Montserrat" w:eastAsia="Montserrat" w:hAnsi="Montserrat"/>
                <w:color w:val="3c78d8"/>
                <w:sz w:val="20"/>
                <w:szCs w:val="20"/>
              </w:rPr>
            </w:pPr>
            <w:r w:rsidDel="00000000" w:rsidR="00000000" w:rsidRPr="00000000">
              <w:rPr>
                <w:rFonts w:ascii="Montserrat" w:cs="Montserrat" w:eastAsia="Montserrat" w:hAnsi="Montserrat"/>
                <w:rtl w:val="0"/>
              </w:rPr>
              <w:br w:type="textWrapping"/>
              <w:br w:type="textWrapping"/>
              <w:t xml:space="preserve">QuisLex</w:t>
              <w:br w:type="textWrapping"/>
            </w:r>
            <w:r w:rsidDel="00000000" w:rsidR="00000000" w:rsidRPr="00000000">
              <w:rPr>
                <w:rFonts w:ascii="Montserrat" w:cs="Montserrat" w:eastAsia="Montserrat" w:hAnsi="Montserrat"/>
                <w:color w:val="3c78d8"/>
                <w:sz w:val="20"/>
                <w:szCs w:val="20"/>
                <w:rtl w:val="0"/>
              </w:rPr>
              <w:t xml:space="preserve">https://quislex.com/</w:t>
            </w:r>
          </w:p>
        </w:tc>
        <w:tc>
          <w:tcPr/>
          <w:p w:rsidR="00000000" w:rsidDel="00000000" w:rsidP="00000000" w:rsidRDefault="00000000" w:rsidRPr="00000000" w14:paraId="0000003F">
            <w:pPr>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Highly compliance-focused, strong in security and precision, conservative branding emphasizing reliability</w:t>
            </w:r>
          </w:p>
        </w:tc>
        <w:tc>
          <w:tcPr/>
          <w:p w:rsidR="00000000" w:rsidDel="00000000" w:rsidP="00000000" w:rsidRDefault="00000000" w:rsidRPr="00000000" w14:paraId="00000040">
            <w:pPr>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Conservative and traditional brand voice may deter younger, tech-savvy legal teams</w:t>
            </w:r>
          </w:p>
        </w:tc>
      </w:tr>
      <w:tr>
        <w:trPr>
          <w:cantSplit w:val="0"/>
          <w:trHeight w:val="1695" w:hRule="atLeast"/>
          <w:tblHeader w:val="0"/>
        </w:trPr>
        <w:tc>
          <w:tcPr/>
          <w:p w:rsidR="00000000" w:rsidDel="00000000" w:rsidP="00000000" w:rsidRDefault="00000000" w:rsidRPr="00000000" w14:paraId="00000041">
            <w:pPr>
              <w:rPr>
                <w:rFonts w:ascii="Montserrat" w:cs="Montserrat" w:eastAsia="Montserrat" w:hAnsi="Montserrat"/>
                <w:color w:val="3c78d8"/>
                <w:sz w:val="20"/>
                <w:szCs w:val="20"/>
              </w:rPr>
            </w:pPr>
            <w:r w:rsidDel="00000000" w:rsidR="00000000" w:rsidRPr="00000000">
              <w:rPr>
                <w:rFonts w:ascii="Montserrat" w:cs="Montserrat" w:eastAsia="Montserrat" w:hAnsi="Montserrat"/>
                <w:rtl w:val="0"/>
              </w:rPr>
              <w:br w:type="textWrapping"/>
              <w:t xml:space="preserve">Elevate Services</w:t>
              <w:br w:type="textWrapping"/>
            </w:r>
            <w:r w:rsidDel="00000000" w:rsidR="00000000" w:rsidRPr="00000000">
              <w:rPr>
                <w:rFonts w:ascii="Montserrat" w:cs="Montserrat" w:eastAsia="Montserrat" w:hAnsi="Montserrat"/>
                <w:color w:val="3c78d8"/>
                <w:sz w:val="20"/>
                <w:szCs w:val="20"/>
                <w:rtl w:val="0"/>
              </w:rPr>
              <w:t xml:space="preserve">https://elevate.law/</w:t>
            </w:r>
          </w:p>
        </w:tc>
        <w:tc>
          <w:tcPr/>
          <w:p w:rsidR="00000000" w:rsidDel="00000000" w:rsidP="00000000" w:rsidRDefault="00000000" w:rsidRPr="00000000" w14:paraId="00000042">
            <w:pPr>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Integrated solutions (consulting, tech, legal), emphasizes thought leadership and technology-driven services</w:t>
            </w:r>
          </w:p>
        </w:tc>
        <w:tc>
          <w:tcPr/>
          <w:p w:rsidR="00000000" w:rsidDel="00000000" w:rsidP="00000000" w:rsidRDefault="00000000" w:rsidRPr="00000000" w14:paraId="00000043">
            <w:pPr>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Broad, holistic messaging may not resonate with clients seeking narrowly defined, traditional legal outsourcing</w:t>
            </w:r>
          </w:p>
        </w:tc>
      </w:tr>
    </w:tbl>
    <w:p w:rsidR="00000000" w:rsidDel="00000000" w:rsidP="00000000" w:rsidRDefault="00000000" w:rsidRPr="00000000" w14:paraId="00000044">
      <w:pPr>
        <w:widowControl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br w:type="textWrapping"/>
        <w:br w:type="textWrapping"/>
        <w:br w:type="textWrapping"/>
        <w:t xml:space="preserve">Lexocrates' Differentiation Strategies:</w:t>
        <w:br w:type="textWrapping"/>
      </w:r>
    </w:p>
    <w:p w:rsidR="00000000" w:rsidDel="00000000" w:rsidP="00000000" w:rsidRDefault="00000000" w:rsidRPr="00000000" w14:paraId="00000046">
      <w:pPr>
        <w:numPr>
          <w:ilvl w:val="0"/>
          <w:numId w:val="5"/>
        </w:numPr>
        <w:spacing w:after="0" w:afterAutospacing="0" w:before="240" w:lineRule="auto"/>
        <w:ind w:left="720" w:hanging="360"/>
      </w:pPr>
      <w:r w:rsidDel="00000000" w:rsidR="00000000" w:rsidRPr="00000000">
        <w:rPr>
          <w:rFonts w:ascii="Montserrat" w:cs="Montserrat" w:eastAsia="Montserrat" w:hAnsi="Montserrat"/>
          <w:b w:val="1"/>
          <w:rtl w:val="0"/>
        </w:rPr>
        <w:t xml:space="preserve">Ethical and Philosophical Brand Identity:</w:t>
      </w:r>
      <w:r w:rsidDel="00000000" w:rsidR="00000000" w:rsidRPr="00000000">
        <w:rPr>
          <w:rFonts w:ascii="Montserrat" w:cs="Montserrat" w:eastAsia="Montserrat" w:hAnsi="Montserrat"/>
          <w:rtl w:val="0"/>
        </w:rPr>
        <w:t xml:space="preserve"> Lexocrates uniquely combines rigorous legal precision with philosophical integrity, providing a distinctive brand narrative that resonates deeply with ethically minded clients seeking intellectual depth alongside professional expertise.</w:t>
        <w:br w:type="textWrapping"/>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Fonts w:ascii="Montserrat" w:cs="Montserrat" w:eastAsia="Montserrat" w:hAnsi="Montserrat"/>
          <w:b w:val="1"/>
          <w:rtl w:val="0"/>
        </w:rPr>
        <w:t xml:space="preserve">Jurisdictional Specialization:</w:t>
      </w:r>
      <w:r w:rsidDel="00000000" w:rsidR="00000000" w:rsidRPr="00000000">
        <w:rPr>
          <w:rFonts w:ascii="Montserrat" w:cs="Montserrat" w:eastAsia="Montserrat" w:hAnsi="Montserrat"/>
          <w:rtl w:val="0"/>
        </w:rPr>
        <w:t xml:space="preserve"> Lexocrates offers precise jurisdiction-specific expertise, particularly for US, UK, Canada, and Commonwealth markets, aligning closely with clients’ specific legal frameworks and ensuring high relevance and accuracy in outsourced services.</w:t>
        <w:br w:type="textWrapping"/>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Fonts w:ascii="Montserrat" w:cs="Montserrat" w:eastAsia="Montserrat" w:hAnsi="Montserrat"/>
          <w:b w:val="1"/>
          <w:rtl w:val="0"/>
        </w:rPr>
        <w:t xml:space="preserve">Approachability and Transparency:</w:t>
      </w:r>
      <w:r w:rsidDel="00000000" w:rsidR="00000000" w:rsidRPr="00000000">
        <w:rPr>
          <w:rFonts w:ascii="Montserrat" w:cs="Montserrat" w:eastAsia="Montserrat" w:hAnsi="Montserrat"/>
          <w:rtl w:val="0"/>
        </w:rPr>
        <w:t xml:space="preserve"> Unlike competitors that often appear overly corporate or complex, Lexocrates emphasizes clear communication, straightforward pricing, and approachable service interactions. This transparency appeals significantly to smaller legal firms, solo practitioners, and startups seeking trustworthy partnerships without bureaucratic hurdles.</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Fonts w:ascii="Montserrat" w:cs="Montserrat" w:eastAsia="Montserrat" w:hAnsi="Montserrat"/>
          <w:b w:val="1"/>
          <w:rtl w:val="0"/>
        </w:rPr>
        <w:t xml:space="preserve">Scalable, Cost-effective Solutions:</w:t>
      </w:r>
      <w:r w:rsidDel="00000000" w:rsidR="00000000" w:rsidRPr="00000000">
        <w:rPr>
          <w:rFonts w:ascii="Montserrat" w:cs="Montserrat" w:eastAsia="Montserrat" w:hAnsi="Montserrat"/>
          <w:rtl w:val="0"/>
        </w:rPr>
        <w:t xml:space="preserve"> Lexocrates' model ensures accessible, high-quality services for smaller law firms and legal departments by providing scalable solutions tailored to budget-conscious clients, contrasting the enterprise-focused pricing strategies of many competitors.</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Fonts w:ascii="Montserrat" w:cs="Montserrat" w:eastAsia="Montserrat" w:hAnsi="Montserrat"/>
          <w:b w:val="1"/>
          <w:rtl w:val="0"/>
        </w:rPr>
        <w:t xml:space="preserve">Global Standards with Local Insights:</w:t>
      </w:r>
      <w:r w:rsidDel="00000000" w:rsidR="00000000" w:rsidRPr="00000000">
        <w:rPr>
          <w:rFonts w:ascii="Montserrat" w:cs="Montserrat" w:eastAsia="Montserrat" w:hAnsi="Montserrat"/>
          <w:rtl w:val="0"/>
        </w:rPr>
        <w:t xml:space="preserve"> Combining deep local legal knowledge with global legal standards positions Lexocrates as uniquely capable of navigating cross-jurisdictional challenges, offering clients a comprehensive yet culturally nuanced legal outsourcing solution.</w:t>
        <w:br w:type="textWrapping"/>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rFonts w:ascii="Montserrat" w:cs="Montserrat" w:eastAsia="Montserrat" w:hAnsi="Montserrat"/>
          <w:b w:val="1"/>
          <w:rtl w:val="0"/>
        </w:rPr>
        <w:t xml:space="preserve">Innovation and Technology Integration:</w:t>
      </w:r>
      <w:r w:rsidDel="00000000" w:rsidR="00000000" w:rsidRPr="00000000">
        <w:rPr>
          <w:rFonts w:ascii="Montserrat" w:cs="Montserrat" w:eastAsia="Montserrat" w:hAnsi="Montserrat"/>
          <w:rtl w:val="0"/>
        </w:rPr>
        <w:t xml:space="preserve"> While competitors like UnitedLex lead with digital transformation narratives, Lexocrates strategically integrates practical technological advancements, such as AI tools and secure digital platforms, enhancing operational efficiency without overwhelming traditional legal workflows.</w:t>
        <w:br w:type="textWrapping"/>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rFonts w:ascii="Montserrat" w:cs="Montserrat" w:eastAsia="Montserrat" w:hAnsi="Montserrat"/>
          <w:b w:val="1"/>
          <w:rtl w:val="0"/>
        </w:rPr>
        <w:t xml:space="preserve">Client-Focused Execution:</w:t>
      </w:r>
      <w:r w:rsidDel="00000000" w:rsidR="00000000" w:rsidRPr="00000000">
        <w:rPr>
          <w:rFonts w:ascii="Montserrat" w:cs="Montserrat" w:eastAsia="Montserrat" w:hAnsi="Montserrat"/>
          <w:rtl w:val="0"/>
        </w:rPr>
        <w:t xml:space="preserve"> With a clear emphasis on personalized service and ongoing engagement, Lexocrates places client relationships at the heart of its business model, fostering loyalty, and ensuring client satisfaction exceeds typical transactional interactions found in larger, more impersonal competitors.</w:t>
        <w:br w:type="textWrapping"/>
      </w:r>
    </w:p>
    <w:p w:rsidR="00000000" w:rsidDel="00000000" w:rsidP="00000000" w:rsidRDefault="00000000" w:rsidRPr="00000000" w14:paraId="0000004D">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By clearly leveraging these differentiation strategies, Lexocrates is well-positioned to compete effectively in the LPO market, providing tailored, ethical, and accessible solutions that resonate strongly with its clearly defined target audience.</w:t>
      </w:r>
    </w:p>
    <w:p w:rsidR="00000000" w:rsidDel="00000000" w:rsidP="00000000" w:rsidRDefault="00000000" w:rsidRPr="00000000" w14:paraId="0000004E">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rFonts w:ascii="Calibri" w:cs="Calibri" w:eastAsia="Calibri" w:hAnsi="Calibri"/>
          <w:b w:val="1"/>
          <w:color w:val="366091"/>
          <w:sz w:val="28"/>
          <w:szCs w:val="28"/>
        </w:rPr>
      </w:pPr>
      <w:bookmarkStart w:colFirst="0" w:colLast="0" w:name="_wfs7x0ux3x0e" w:id="7"/>
      <w:bookmarkEnd w:id="7"/>
      <w:r w:rsidDel="00000000" w:rsidR="00000000" w:rsidRPr="00000000">
        <w:rPr>
          <w:rFonts w:ascii="Montserrat" w:cs="Montserrat" w:eastAsia="Montserrat" w:hAnsi="Montserrat"/>
          <w:b w:val="1"/>
          <w:sz w:val="34"/>
          <w:szCs w:val="34"/>
          <w:rtl w:val="0"/>
        </w:rPr>
        <w:br w:type="textWrapping"/>
        <w:t xml:space="preserve">9. Customer Journey &amp; Touchpoints</w:t>
        <w:br w:type="textWrapping"/>
      </w:r>
      <w:r w:rsidDel="00000000" w:rsidR="00000000" w:rsidRPr="00000000">
        <w:rPr>
          <w:rtl w:val="0"/>
        </w:rPr>
      </w:r>
    </w:p>
    <w:tbl>
      <w:tblPr>
        <w:tblStyle w:val="Table2"/>
        <w:tblW w:w="90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3315"/>
        <w:gridCol w:w="3540"/>
        <w:tblGridChange w:id="0">
          <w:tblGrid>
            <w:gridCol w:w="2235"/>
            <w:gridCol w:w="3315"/>
            <w:gridCol w:w="3540"/>
          </w:tblGrid>
        </w:tblGridChange>
      </w:tblGrid>
      <w:tr>
        <w:trPr>
          <w:cantSplit w:val="0"/>
          <w:trHeight w:val="420" w:hRule="atLeast"/>
          <w:tblHeader w:val="0"/>
        </w:trPr>
        <w:tc>
          <w:tcPr/>
          <w:p w:rsidR="00000000" w:rsidDel="00000000" w:rsidP="00000000" w:rsidRDefault="00000000" w:rsidRPr="00000000" w14:paraId="00000052">
            <w:pPr>
              <w:rPr>
                <w:rFonts w:ascii="Cambria" w:cs="Cambria" w:eastAsia="Cambria" w:hAnsi="Cambria"/>
              </w:rPr>
            </w:pPr>
            <w:r w:rsidDel="00000000" w:rsidR="00000000" w:rsidRPr="00000000">
              <w:rPr>
                <w:rFonts w:ascii="Cambria" w:cs="Cambria" w:eastAsia="Cambria" w:hAnsi="Cambria"/>
                <w:rtl w:val="0"/>
              </w:rPr>
              <w:t xml:space="preserve">Stage</w:t>
            </w:r>
          </w:p>
        </w:tc>
        <w:tc>
          <w:tcPr/>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Description</w:t>
            </w:r>
          </w:p>
        </w:tc>
        <w:tc>
          <w:tcPr/>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Key Touchpoints</w:t>
            </w:r>
          </w:p>
        </w:tc>
      </w:tr>
      <w:tr>
        <w:trPr>
          <w:cantSplit w:val="0"/>
          <w:trHeight w:val="1590" w:hRule="atLeast"/>
          <w:tblHeader w:val="0"/>
        </w:trPr>
        <w:tc>
          <w:tcPr/>
          <w:p w:rsidR="00000000" w:rsidDel="00000000" w:rsidP="00000000" w:rsidRDefault="00000000" w:rsidRPr="00000000" w14:paraId="00000055">
            <w:pPr>
              <w:rPr>
                <w:rFonts w:ascii="Cambria" w:cs="Cambria" w:eastAsia="Cambria" w:hAnsi="Cambria"/>
              </w:rPr>
            </w:pPr>
            <w:r w:rsidDel="00000000" w:rsidR="00000000" w:rsidRPr="00000000">
              <w:rPr>
                <w:rFonts w:ascii="Cambria" w:cs="Cambria" w:eastAsia="Cambria" w:hAnsi="Cambria"/>
                <w:rtl w:val="0"/>
              </w:rPr>
              <w:t xml:space="preserve">Awareness</w:t>
            </w:r>
          </w:p>
        </w:tc>
        <w:tc>
          <w:tcPr/>
          <w:p w:rsidR="00000000" w:rsidDel="00000000" w:rsidP="00000000" w:rsidRDefault="00000000" w:rsidRPr="00000000" w14:paraId="00000056">
            <w:pPr>
              <w:rPr>
                <w:rFonts w:ascii="Cambria" w:cs="Cambria" w:eastAsia="Cambria" w:hAnsi="Cambria"/>
              </w:rPr>
            </w:pPr>
            <w:r w:rsidDel="00000000" w:rsidR="00000000" w:rsidRPr="00000000">
              <w:rPr>
                <w:rFonts w:ascii="Cambria" w:cs="Cambria" w:eastAsia="Cambria" w:hAnsi="Cambria"/>
                <w:rtl w:val="0"/>
              </w:rPr>
              <w:br w:type="textWrapping"/>
              <w:t xml:space="preserve">Prospective clients become aware of Lexocrates through online or industry channels.</w:t>
            </w:r>
          </w:p>
        </w:tc>
        <w:tc>
          <w:tcPr/>
          <w:p w:rsidR="00000000" w:rsidDel="00000000" w:rsidP="00000000" w:rsidRDefault="00000000" w:rsidRPr="00000000" w14:paraId="00000057">
            <w:pPr>
              <w:rPr>
                <w:rFonts w:ascii="Cambria" w:cs="Cambria" w:eastAsia="Cambria" w:hAnsi="Cambria"/>
              </w:rPr>
            </w:pPr>
            <w:r w:rsidDel="00000000" w:rsidR="00000000" w:rsidRPr="00000000">
              <w:rPr>
                <w:rFonts w:ascii="Cambria" w:cs="Cambria" w:eastAsia="Cambria" w:hAnsi="Cambria"/>
                <w:rtl w:val="0"/>
              </w:rPr>
              <w:br w:type="textWrapping"/>
              <w:t xml:space="preserve">SEO-optimized website, LinkedIn outreach, legal webinars, guest posts, industry expos, legal tech partnerships</w:t>
            </w:r>
          </w:p>
        </w:tc>
      </w:tr>
      <w:tr>
        <w:trPr>
          <w:cantSplit w:val="0"/>
          <w:trHeight w:val="1515" w:hRule="atLeast"/>
          <w:tblHeader w:val="0"/>
        </w:trPr>
        <w:tc>
          <w:tcPr/>
          <w:p w:rsidR="00000000" w:rsidDel="00000000" w:rsidP="00000000" w:rsidRDefault="00000000" w:rsidRPr="00000000" w14:paraId="00000058">
            <w:pPr>
              <w:rPr>
                <w:rFonts w:ascii="Cambria" w:cs="Cambria" w:eastAsia="Cambria" w:hAnsi="Cambria"/>
              </w:rPr>
            </w:pPr>
            <w:r w:rsidDel="00000000" w:rsidR="00000000" w:rsidRPr="00000000">
              <w:rPr>
                <w:rFonts w:ascii="Cambria" w:cs="Cambria" w:eastAsia="Cambria" w:hAnsi="Cambria"/>
                <w:rtl w:val="0"/>
              </w:rPr>
              <w:br w:type="textWrapping"/>
              <w:br w:type="textWrapping"/>
              <w:t xml:space="preserve">Consideration</w:t>
            </w:r>
          </w:p>
        </w:tc>
        <w:tc>
          <w:tcPr/>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rtl w:val="0"/>
              </w:rPr>
              <w:br w:type="textWrapping"/>
              <w:t xml:space="preserve">Clients evaluate Lexocrates against other LPOs based on reputation, services, and values.</w:t>
            </w:r>
          </w:p>
        </w:tc>
        <w:tc>
          <w:tcPr/>
          <w:p w:rsidR="00000000" w:rsidDel="00000000" w:rsidP="00000000" w:rsidRDefault="00000000" w:rsidRPr="00000000" w14:paraId="0000005A">
            <w:pPr>
              <w:rPr>
                <w:rFonts w:ascii="Cambria" w:cs="Cambria" w:eastAsia="Cambria" w:hAnsi="Cambria"/>
              </w:rPr>
            </w:pPr>
            <w:r w:rsidDel="00000000" w:rsidR="00000000" w:rsidRPr="00000000">
              <w:rPr>
                <w:rFonts w:ascii="Cambria" w:cs="Cambria" w:eastAsia="Cambria" w:hAnsi="Cambria"/>
                <w:rtl w:val="0"/>
              </w:rPr>
              <w:t xml:space="preserve">Thought leadership content, comparison guides, client testimonials, downloadable brochures, personalized outreach</w:t>
            </w:r>
          </w:p>
        </w:tc>
      </w:tr>
      <w:tr>
        <w:trPr>
          <w:cantSplit w:val="0"/>
          <w:trHeight w:val="1410" w:hRule="atLeast"/>
          <w:tblHeader w:val="0"/>
        </w:trPr>
        <w:tc>
          <w:tcPr/>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br w:type="textWrapping"/>
              <w:br w:type="textWrapping"/>
              <w:t xml:space="preserve">Evaluation</w:t>
            </w:r>
          </w:p>
        </w:tc>
        <w:tc>
          <w:tcPr/>
          <w:p w:rsidR="00000000" w:rsidDel="00000000" w:rsidP="00000000" w:rsidRDefault="00000000" w:rsidRPr="00000000" w14:paraId="0000005C">
            <w:pPr>
              <w:rPr>
                <w:rFonts w:ascii="Cambria" w:cs="Cambria" w:eastAsia="Cambria" w:hAnsi="Cambria"/>
              </w:rPr>
            </w:pPr>
            <w:r w:rsidDel="00000000" w:rsidR="00000000" w:rsidRPr="00000000">
              <w:rPr>
                <w:rFonts w:ascii="Cambria" w:cs="Cambria" w:eastAsia="Cambria" w:hAnsi="Cambria"/>
                <w:rtl w:val="0"/>
              </w:rPr>
              <w:br w:type="textWrapping"/>
              <w:t xml:space="preserve">In-depth review of capabilities and alignment with specific client needs.</w:t>
            </w:r>
          </w:p>
        </w:tc>
        <w:tc>
          <w:tcPr/>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Custom pitch decks, demo calls, capability statements, sample documents, pricing transparency</w:t>
            </w:r>
          </w:p>
        </w:tc>
      </w:tr>
      <w:tr>
        <w:trPr>
          <w:cantSplit w:val="0"/>
          <w:trHeight w:val="1290" w:hRule="atLeast"/>
          <w:tblHeader w:val="0"/>
        </w:trPr>
        <w:tc>
          <w:tcPr/>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br w:type="textWrapping"/>
              <w:br w:type="textWrapping"/>
              <w:t xml:space="preserve">Decision</w:t>
            </w:r>
          </w:p>
        </w:tc>
        <w:tc>
          <w:tcPr/>
          <w:p w:rsidR="00000000" w:rsidDel="00000000" w:rsidP="00000000" w:rsidRDefault="00000000" w:rsidRPr="00000000" w14:paraId="0000005F">
            <w:pPr>
              <w:rPr>
                <w:rFonts w:ascii="Cambria" w:cs="Cambria" w:eastAsia="Cambria" w:hAnsi="Cambria"/>
              </w:rPr>
            </w:pPr>
            <w:r w:rsidDel="00000000" w:rsidR="00000000" w:rsidRPr="00000000">
              <w:rPr>
                <w:rFonts w:ascii="Cambria" w:cs="Cambria" w:eastAsia="Cambria" w:hAnsi="Cambria"/>
                <w:rtl w:val="0"/>
              </w:rPr>
              <w:br w:type="textWrapping"/>
              <w:t xml:space="preserve">Clients finalize their decision to partner with Lexocrates.</w:t>
            </w:r>
          </w:p>
        </w:tc>
        <w:tc>
          <w:tcPr/>
          <w:p w:rsidR="00000000" w:rsidDel="00000000" w:rsidP="00000000" w:rsidRDefault="00000000" w:rsidRPr="00000000" w14:paraId="00000060">
            <w:pPr>
              <w:rPr>
                <w:rFonts w:ascii="Cambria" w:cs="Cambria" w:eastAsia="Cambria" w:hAnsi="Cambria"/>
              </w:rPr>
            </w:pPr>
            <w:r w:rsidDel="00000000" w:rsidR="00000000" w:rsidRPr="00000000">
              <w:rPr>
                <w:rFonts w:ascii="Cambria" w:cs="Cambria" w:eastAsia="Cambria" w:hAnsi="Cambria"/>
                <w:rtl w:val="0"/>
              </w:rPr>
              <w:t xml:space="preserve">Proposal submission, legal agreements, onboarding checklist, initial kickoff call</w:t>
            </w:r>
          </w:p>
        </w:tc>
      </w:tr>
      <w:tr>
        <w:trPr>
          <w:cantSplit w:val="0"/>
          <w:trHeight w:val="1665" w:hRule="atLeast"/>
          <w:tblHeader w:val="0"/>
        </w:trPr>
        <w:tc>
          <w:tcPr/>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br w:type="textWrapping"/>
              <w:br w:type="textWrapping"/>
              <w:t xml:space="preserve">Onboarding</w:t>
            </w:r>
          </w:p>
        </w:tc>
        <w:tc>
          <w:tcPr/>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tl w:val="0"/>
              </w:rPr>
              <w:t xml:space="preserve">Smooth transition into service delivery with a clear roadmap and point-of-contact.</w:t>
            </w:r>
          </w:p>
        </w:tc>
        <w:tc>
          <w:tcPr/>
          <w:p w:rsidR="00000000" w:rsidDel="00000000" w:rsidP="00000000" w:rsidRDefault="00000000" w:rsidRPr="00000000" w14:paraId="00000063">
            <w:pPr>
              <w:rPr>
                <w:rFonts w:ascii="Cambria" w:cs="Cambria" w:eastAsia="Cambria" w:hAnsi="Cambria"/>
              </w:rPr>
            </w:pPr>
            <w:r w:rsidDel="00000000" w:rsidR="00000000" w:rsidRPr="00000000">
              <w:rPr>
                <w:rFonts w:ascii="Cambria" w:cs="Cambria" w:eastAsia="Cambria" w:hAnsi="Cambria"/>
                <w:rtl w:val="0"/>
              </w:rPr>
              <w:t xml:space="preserve">Onboarding guide, welcome kit, dedicated account manager, process documentation</w:t>
            </w:r>
          </w:p>
        </w:tc>
      </w:tr>
      <w:tr>
        <w:trPr>
          <w:cantSplit w:val="0"/>
          <w:trHeight w:val="1545" w:hRule="atLeast"/>
          <w:tblHeader w:val="0"/>
        </w:trPr>
        <w:tc>
          <w:tcPr/>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br w:type="textWrapping"/>
              <w:br w:type="textWrapping"/>
              <w:t xml:space="preserve">Delivery</w:t>
            </w:r>
          </w:p>
        </w:tc>
        <w:tc>
          <w:tcPr/>
          <w:p w:rsidR="00000000" w:rsidDel="00000000" w:rsidP="00000000" w:rsidRDefault="00000000" w:rsidRPr="00000000" w14:paraId="00000065">
            <w:pPr>
              <w:rPr>
                <w:rFonts w:ascii="Cambria" w:cs="Cambria" w:eastAsia="Cambria" w:hAnsi="Cambria"/>
              </w:rPr>
            </w:pPr>
            <w:r w:rsidDel="00000000" w:rsidR="00000000" w:rsidRPr="00000000">
              <w:rPr>
                <w:rFonts w:ascii="Cambria" w:cs="Cambria" w:eastAsia="Cambria" w:hAnsi="Cambria"/>
                <w:rtl w:val="0"/>
              </w:rPr>
              <w:t xml:space="preserve">Execution of services with consistent quality and communication.</w:t>
            </w:r>
          </w:p>
        </w:tc>
        <w:tc>
          <w:tcPr/>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Weekly progress updates, secure document exchanges, quality assurance reports, client check-ins</w:t>
            </w:r>
          </w:p>
        </w:tc>
      </w:tr>
      <w:tr>
        <w:trPr>
          <w:cantSplit w:val="0"/>
          <w:trHeight w:val="1800" w:hRule="atLeast"/>
          <w:tblHeader w:val="0"/>
        </w:trPr>
        <w:tc>
          <w:tcPr/>
          <w:p w:rsidR="00000000" w:rsidDel="00000000" w:rsidP="00000000" w:rsidRDefault="00000000" w:rsidRPr="00000000" w14:paraId="00000067">
            <w:pPr>
              <w:rPr>
                <w:rFonts w:ascii="Cambria" w:cs="Cambria" w:eastAsia="Cambria" w:hAnsi="Cambria"/>
              </w:rPr>
            </w:pPr>
            <w:r w:rsidDel="00000000" w:rsidR="00000000" w:rsidRPr="00000000">
              <w:rPr>
                <w:rFonts w:ascii="Cambria" w:cs="Cambria" w:eastAsia="Cambria" w:hAnsi="Cambria"/>
                <w:rtl w:val="0"/>
              </w:rPr>
              <w:br w:type="textWrapping"/>
              <w:br w:type="textWrapping"/>
              <w:t xml:space="preserve">Retention &amp; Growth</w:t>
            </w:r>
          </w:p>
        </w:tc>
        <w:tc>
          <w:tcPr/>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rtl w:val="0"/>
              </w:rPr>
              <w:t xml:space="preserve">Ongoing service excellence that nurtures client trust and long-term partnerships.</w:t>
            </w:r>
          </w:p>
        </w:tc>
        <w:tc>
          <w:tcPr/>
          <w:p w:rsidR="00000000" w:rsidDel="00000000" w:rsidP="00000000" w:rsidRDefault="00000000" w:rsidRPr="00000000" w14:paraId="00000069">
            <w:pPr>
              <w:rPr>
                <w:rFonts w:ascii="Cambria" w:cs="Cambria" w:eastAsia="Cambria" w:hAnsi="Cambria"/>
              </w:rPr>
            </w:pPr>
            <w:r w:rsidDel="00000000" w:rsidR="00000000" w:rsidRPr="00000000">
              <w:rPr>
                <w:rFonts w:ascii="Cambria" w:cs="Cambria" w:eastAsia="Cambria" w:hAnsi="Cambria"/>
                <w:rtl w:val="0"/>
              </w:rPr>
              <w:t xml:space="preserve">Quarterly reviews, satisfaction surveys, case studies, service upgrades, value-add suggestions</w:t>
            </w:r>
          </w:p>
        </w:tc>
      </w:tr>
    </w:tbl>
    <w:p w:rsidR="00000000" w:rsidDel="00000000" w:rsidP="00000000" w:rsidRDefault="00000000" w:rsidRPr="00000000" w14:paraId="0000006A">
      <w:pPr>
        <w:rPr>
          <w:rFonts w:ascii="Montserrat" w:cs="Montserrat" w:eastAsia="Montserrat" w:hAnsi="Montserrat"/>
        </w:rPr>
      </w:pP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6B">
      <w:pPr>
        <w:rPr>
          <w:rFonts w:ascii="Montserrat" w:cs="Montserrat" w:eastAsia="Montserrat" w:hAnsi="Montserrat"/>
        </w:rPr>
      </w:pPr>
      <w:r w:rsidDel="00000000" w:rsidR="00000000" w:rsidRPr="00000000">
        <w:rPr>
          <w:rFonts w:ascii="Montserrat" w:cs="Montserrat" w:eastAsia="Montserrat" w:hAnsi="Montserrat"/>
          <w:rtl w:val="0"/>
        </w:rPr>
        <w:br w:type="textWrapping"/>
        <w:br w:type="textWrapping"/>
        <w:br w:type="textWrapping"/>
      </w:r>
    </w:p>
    <w:p w:rsidR="00000000" w:rsidDel="00000000" w:rsidP="00000000" w:rsidRDefault="00000000" w:rsidRPr="00000000" w14:paraId="0000006C">
      <w:pPr>
        <w:pStyle w:val="Heading2"/>
        <w:keepNext w:val="0"/>
        <w:keepLines w:val="0"/>
        <w:spacing w:after="80" w:lineRule="auto"/>
        <w:rPr>
          <w:rFonts w:ascii="Montserrat Medium" w:cs="Montserrat Medium" w:eastAsia="Montserrat Medium" w:hAnsi="Montserrat Medium"/>
          <w:i w:val="1"/>
          <w:color w:val="999999"/>
          <w:sz w:val="20"/>
          <w:szCs w:val="20"/>
        </w:rPr>
      </w:pPr>
      <w:bookmarkStart w:colFirst="0" w:colLast="0" w:name="_tthnqml2056a" w:id="8"/>
      <w:bookmarkEnd w:id="8"/>
      <w:r w:rsidDel="00000000" w:rsidR="00000000" w:rsidRPr="00000000">
        <w:rPr>
          <w:rFonts w:ascii="Montserrat" w:cs="Montserrat" w:eastAsia="Montserrat" w:hAnsi="Montserrat"/>
          <w:b w:val="1"/>
          <w:sz w:val="34"/>
          <w:szCs w:val="34"/>
          <w:rtl w:val="0"/>
        </w:rPr>
        <w:t xml:space="preserve">10. Brand statement </w:t>
        <w:br w:type="textWrapping"/>
      </w:r>
      <w:r w:rsidDel="00000000" w:rsidR="00000000" w:rsidRPr="00000000">
        <w:rPr>
          <w:rFonts w:ascii="Montserrat Medium" w:cs="Montserrat Medium" w:eastAsia="Montserrat Medium" w:hAnsi="Montserrat Medium"/>
          <w:i w:val="1"/>
          <w:color w:val="999999"/>
          <w:sz w:val="20"/>
          <w:szCs w:val="20"/>
          <w:rtl w:val="0"/>
        </w:rPr>
        <w:t xml:space="preserve">(The brand statement is a quick, impactful summary meant to grab attention and communicate your core value. The “About Us” section goes deeper — it tells the full story of your business, including your history, mission, services, and how you work.)</w:t>
      </w:r>
    </w:p>
    <w:p w:rsidR="00000000" w:rsidDel="00000000" w:rsidP="00000000" w:rsidRDefault="00000000" w:rsidRPr="00000000" w14:paraId="0000006D">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Lexocrates delivers expert legal solutions underpinned by integrity, intellect, and technological sophistication—enabling clients to achieve strategic clarity and superior legal outcomes.</w:t>
      </w:r>
    </w:p>
    <w:p w:rsidR="00000000" w:rsidDel="00000000" w:rsidP="00000000" w:rsidRDefault="00000000" w:rsidRPr="00000000" w14:paraId="0000006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rFonts w:ascii="Montserrat" w:cs="Montserrat" w:eastAsia="Montserrat" w:hAnsi="Montserrat"/>
          <w:b w:val="1"/>
          <w:sz w:val="34"/>
          <w:szCs w:val="34"/>
        </w:rPr>
      </w:pPr>
      <w:bookmarkStart w:colFirst="0" w:colLast="0" w:name="_8pmaj1wdr2lx" w:id="9"/>
      <w:bookmarkEnd w:id="9"/>
      <w:r w:rsidDel="00000000" w:rsidR="00000000" w:rsidRPr="00000000">
        <w:rPr>
          <w:rFonts w:ascii="Montserrat" w:cs="Montserrat" w:eastAsia="Montserrat" w:hAnsi="Montserrat"/>
          <w:b w:val="1"/>
          <w:sz w:val="34"/>
          <w:szCs w:val="34"/>
          <w:rtl w:val="0"/>
        </w:rPr>
        <w:t xml:space="preserve">11. Strategic Goals (5-Year Vision)</w:t>
      </w:r>
    </w:p>
    <w:p w:rsidR="00000000" w:rsidDel="00000000" w:rsidP="00000000" w:rsidRDefault="00000000" w:rsidRPr="00000000" w14:paraId="00000070">
      <w:pPr>
        <w:numPr>
          <w:ilvl w:val="0"/>
          <w:numId w:val="8"/>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Establish Lexocrates as a recognized global LPO leader.</w:t>
        <w:br w:type="textWrapping"/>
      </w:r>
    </w:p>
    <w:p w:rsidR="00000000" w:rsidDel="00000000" w:rsidP="00000000" w:rsidRDefault="00000000" w:rsidRPr="00000000" w14:paraId="00000071">
      <w:pPr>
        <w:numPr>
          <w:ilvl w:val="0"/>
          <w:numId w:val="8"/>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Develop specialized legal teams for different jurisdictions.</w:t>
        <w:br w:type="textWrapping"/>
      </w:r>
    </w:p>
    <w:p w:rsidR="00000000" w:rsidDel="00000000" w:rsidP="00000000" w:rsidRDefault="00000000" w:rsidRPr="00000000" w14:paraId="00000072">
      <w:pPr>
        <w:numPr>
          <w:ilvl w:val="0"/>
          <w:numId w:val="8"/>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Integrate cutting-edge AI and legal technology tools.</w:t>
        <w:br w:type="textWrapping"/>
      </w:r>
    </w:p>
    <w:p w:rsidR="00000000" w:rsidDel="00000000" w:rsidP="00000000" w:rsidRDefault="00000000" w:rsidRPr="00000000" w14:paraId="00000073">
      <w:pPr>
        <w:numPr>
          <w:ilvl w:val="0"/>
          <w:numId w:val="8"/>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Achieve prominent certifications (ISO 27001, SOC 2).</w:t>
        <w:br w:type="textWrapping"/>
      </w:r>
    </w:p>
    <w:p w:rsidR="00000000" w:rsidDel="00000000" w:rsidP="00000000" w:rsidRDefault="00000000" w:rsidRPr="00000000" w14:paraId="00000074">
      <w:pPr>
        <w:numPr>
          <w:ilvl w:val="0"/>
          <w:numId w:val="8"/>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Expand market presence through strategic partnerships.</w:t>
        <w:br w:type="textWrapping"/>
      </w:r>
    </w:p>
    <w:p w:rsidR="00000000" w:rsidDel="00000000" w:rsidP="00000000" w:rsidRDefault="00000000" w:rsidRPr="00000000" w14:paraId="00000075">
      <w:pPr>
        <w:spacing w:after="240" w:before="24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