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29AD"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3D799908" w14:textId="77777777" w:rsidR="000E22B2" w:rsidRPr="0037002C" w:rsidRDefault="000E22B2" w:rsidP="000E22B2">
      <w:pPr>
        <w:spacing w:after="0"/>
        <w:rPr>
          <w:b/>
          <w:bCs/>
        </w:rPr>
      </w:pPr>
    </w:p>
    <w:p w14:paraId="7CF090CF" w14:textId="77777777" w:rsidR="000E22B2" w:rsidRDefault="000E22B2" w:rsidP="000E22B2">
      <w:pPr>
        <w:autoSpaceDE w:val="0"/>
        <w:autoSpaceDN w:val="0"/>
        <w:adjustRightInd w:val="0"/>
        <w:spacing w:after="0"/>
      </w:pPr>
    </w:p>
    <w:p w14:paraId="33F04B4A"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485138D"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374E5F9"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BCE82"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73E133E"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43DC762"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760F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E40BA7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BF3C7A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16F33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587E2F9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657FE80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3F6D2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664AFAA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3EB47DC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F580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355694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7B9ED50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49B22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7F4455D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19E61DF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5E59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998E71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318BCB3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1796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FF267F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3ED0181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B00F92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F63B2D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369ACB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0387F6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27D290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695E712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B8C394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7D7E17A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4F5EB03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27DF6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7FB1498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7DA0935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9ADE4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164F5C9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62155F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440E25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18391CD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565E423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1069F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5BE08A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57A14AD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1FDCA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660B8E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61C19976" w14:textId="77777777" w:rsidR="000E22B2" w:rsidRDefault="000E22B2" w:rsidP="000E22B2">
      <w:pPr>
        <w:autoSpaceDE w:val="0"/>
        <w:autoSpaceDN w:val="0"/>
        <w:adjustRightInd w:val="0"/>
        <w:spacing w:after="0"/>
      </w:pPr>
    </w:p>
    <w:p w14:paraId="5B291EE7" w14:textId="1E316B3D" w:rsidR="000E22B2" w:rsidRDefault="00450965" w:rsidP="000E22B2">
      <w:pPr>
        <w:autoSpaceDE w:val="0"/>
        <w:autoSpaceDN w:val="0"/>
        <w:adjustRightInd w:val="0"/>
        <w:spacing w:after="0"/>
      </w:pPr>
      <w:r>
        <w:t>Answer:</w:t>
      </w:r>
    </w:p>
    <w:p w14:paraId="35ECDB56" w14:textId="711DF22B" w:rsidR="00450965" w:rsidRDefault="00597BD1" w:rsidP="000E22B2">
      <w:pPr>
        <w:autoSpaceDE w:val="0"/>
        <w:autoSpaceDN w:val="0"/>
        <w:adjustRightInd w:val="0"/>
        <w:spacing w:after="0"/>
      </w:pPr>
      <w:r>
        <w:rPr>
          <w:noProof/>
        </w:rPr>
        <mc:AlternateContent>
          <mc:Choice Requires="cx1">
            <w:drawing>
              <wp:inline distT="0" distB="0" distL="0" distR="0" wp14:anchorId="1E42F1BA" wp14:editId="1ED1C922">
                <wp:extent cx="4572000" cy="2743200"/>
                <wp:effectExtent l="0" t="0" r="0" b="0"/>
                <wp:docPr id="1" name="Chart 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1E42F1BA" wp14:editId="1ED1C922">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5393785B" w14:textId="77777777" w:rsidR="000E22B2" w:rsidRDefault="000E22B2" w:rsidP="000E22B2">
      <w:pPr>
        <w:pStyle w:val="ListParagraph"/>
        <w:autoSpaceDE w:val="0"/>
        <w:autoSpaceDN w:val="0"/>
        <w:adjustRightInd w:val="0"/>
        <w:spacing w:after="0"/>
      </w:pPr>
    </w:p>
    <w:tbl>
      <w:tblPr>
        <w:tblW w:w="1920" w:type="dxa"/>
        <w:tblInd w:w="108" w:type="dxa"/>
        <w:tblLook w:val="04A0" w:firstRow="1" w:lastRow="0" w:firstColumn="1" w:lastColumn="0" w:noHBand="0" w:noVBand="1"/>
      </w:tblPr>
      <w:tblGrid>
        <w:gridCol w:w="991"/>
        <w:gridCol w:w="1053"/>
      </w:tblGrid>
      <w:tr w:rsidR="00450965" w:rsidRPr="00450965" w14:paraId="1612CDEB" w14:textId="77777777" w:rsidTr="00450965">
        <w:trPr>
          <w:trHeight w:val="288"/>
        </w:trPr>
        <w:tc>
          <w:tcPr>
            <w:tcW w:w="960" w:type="dxa"/>
            <w:tcBorders>
              <w:top w:val="nil"/>
              <w:left w:val="nil"/>
              <w:bottom w:val="nil"/>
              <w:right w:val="nil"/>
            </w:tcBorders>
            <w:shd w:val="clear" w:color="auto" w:fill="auto"/>
            <w:noWrap/>
            <w:vAlign w:val="bottom"/>
            <w:hideMark/>
          </w:tcPr>
          <w:p w14:paraId="68ABDCB3" w14:textId="77777777" w:rsidR="00450965" w:rsidRPr="00450965" w:rsidRDefault="00450965" w:rsidP="00450965">
            <w:pPr>
              <w:spacing w:after="0" w:line="240" w:lineRule="auto"/>
              <w:rPr>
                <w:rFonts w:ascii="Calibri" w:eastAsia="Times New Roman" w:hAnsi="Calibri" w:cs="Calibri"/>
                <w:b/>
                <w:bCs/>
                <w:color w:val="000000"/>
                <w:lang w:val="en-GB" w:eastAsia="en-GB"/>
              </w:rPr>
            </w:pPr>
            <w:r w:rsidRPr="00450965">
              <w:rPr>
                <w:rFonts w:ascii="Calibri" w:eastAsia="Times New Roman" w:hAnsi="Calibri" w:cs="Calibri"/>
                <w:b/>
                <w:bCs/>
                <w:color w:val="000000"/>
                <w:lang w:val="en-GB" w:eastAsia="en-GB"/>
              </w:rPr>
              <w:t>mean</w:t>
            </w:r>
          </w:p>
        </w:tc>
        <w:tc>
          <w:tcPr>
            <w:tcW w:w="960" w:type="dxa"/>
            <w:tcBorders>
              <w:top w:val="nil"/>
              <w:left w:val="nil"/>
              <w:bottom w:val="nil"/>
              <w:right w:val="nil"/>
            </w:tcBorders>
            <w:shd w:val="clear" w:color="auto" w:fill="auto"/>
            <w:noWrap/>
            <w:vAlign w:val="bottom"/>
            <w:hideMark/>
          </w:tcPr>
          <w:p w14:paraId="243EBE2F" w14:textId="77777777" w:rsidR="00450965" w:rsidRPr="00450965" w:rsidRDefault="00450965" w:rsidP="00450965">
            <w:pPr>
              <w:spacing w:after="0" w:line="240" w:lineRule="auto"/>
              <w:jc w:val="right"/>
              <w:rPr>
                <w:rFonts w:ascii="Calibri" w:eastAsia="Times New Roman" w:hAnsi="Calibri" w:cs="Calibri"/>
                <w:color w:val="000000"/>
                <w:lang w:val="en-GB" w:eastAsia="en-GB"/>
              </w:rPr>
            </w:pPr>
            <w:r w:rsidRPr="00450965">
              <w:rPr>
                <w:rFonts w:ascii="Calibri" w:eastAsia="Times New Roman" w:hAnsi="Calibri" w:cs="Calibri"/>
                <w:color w:val="000000"/>
                <w:lang w:val="en-GB" w:eastAsia="en-GB"/>
              </w:rPr>
              <w:t>33.27%</w:t>
            </w:r>
          </w:p>
        </w:tc>
      </w:tr>
      <w:tr w:rsidR="00450965" w:rsidRPr="00450965" w14:paraId="269363B4" w14:textId="77777777" w:rsidTr="00450965">
        <w:trPr>
          <w:trHeight w:val="288"/>
        </w:trPr>
        <w:tc>
          <w:tcPr>
            <w:tcW w:w="960" w:type="dxa"/>
            <w:tcBorders>
              <w:top w:val="nil"/>
              <w:left w:val="nil"/>
              <w:bottom w:val="nil"/>
              <w:right w:val="nil"/>
            </w:tcBorders>
            <w:shd w:val="clear" w:color="auto" w:fill="auto"/>
            <w:noWrap/>
            <w:vAlign w:val="bottom"/>
            <w:hideMark/>
          </w:tcPr>
          <w:p w14:paraId="6A7276BA" w14:textId="77777777" w:rsidR="00450965" w:rsidRPr="00450965" w:rsidRDefault="00450965" w:rsidP="00450965">
            <w:pPr>
              <w:spacing w:after="0" w:line="240" w:lineRule="auto"/>
              <w:rPr>
                <w:rFonts w:ascii="Calibri" w:eastAsia="Times New Roman" w:hAnsi="Calibri" w:cs="Calibri"/>
                <w:b/>
                <w:bCs/>
                <w:color w:val="000000"/>
                <w:lang w:val="en-GB" w:eastAsia="en-GB"/>
              </w:rPr>
            </w:pPr>
            <w:r w:rsidRPr="00450965">
              <w:rPr>
                <w:rFonts w:ascii="Calibri" w:eastAsia="Times New Roman" w:hAnsi="Calibri" w:cs="Calibri"/>
                <w:b/>
                <w:bCs/>
                <w:color w:val="000000"/>
                <w:lang w:val="en-GB" w:eastAsia="en-GB"/>
              </w:rPr>
              <w:t>std dev</w:t>
            </w:r>
          </w:p>
        </w:tc>
        <w:tc>
          <w:tcPr>
            <w:tcW w:w="960" w:type="dxa"/>
            <w:tcBorders>
              <w:top w:val="nil"/>
              <w:left w:val="nil"/>
              <w:bottom w:val="nil"/>
              <w:right w:val="nil"/>
            </w:tcBorders>
            <w:shd w:val="clear" w:color="auto" w:fill="auto"/>
            <w:noWrap/>
            <w:vAlign w:val="bottom"/>
            <w:hideMark/>
          </w:tcPr>
          <w:p w14:paraId="4441ACEA" w14:textId="77777777" w:rsidR="00450965" w:rsidRPr="00450965" w:rsidRDefault="00450965" w:rsidP="00450965">
            <w:pPr>
              <w:spacing w:after="0" w:line="240" w:lineRule="auto"/>
              <w:jc w:val="right"/>
              <w:rPr>
                <w:rFonts w:ascii="Calibri" w:eastAsia="Times New Roman" w:hAnsi="Calibri" w:cs="Calibri"/>
                <w:color w:val="000000"/>
                <w:lang w:val="en-GB" w:eastAsia="en-GB"/>
              </w:rPr>
            </w:pPr>
            <w:r w:rsidRPr="00450965">
              <w:rPr>
                <w:rFonts w:ascii="Calibri" w:eastAsia="Times New Roman" w:hAnsi="Calibri" w:cs="Calibri"/>
                <w:color w:val="000000"/>
                <w:lang w:val="en-GB" w:eastAsia="en-GB"/>
              </w:rPr>
              <w:t>0.163708</w:t>
            </w:r>
          </w:p>
        </w:tc>
      </w:tr>
      <w:tr w:rsidR="00450965" w:rsidRPr="00450965" w14:paraId="25BD9D66" w14:textId="77777777" w:rsidTr="00450965">
        <w:trPr>
          <w:trHeight w:val="288"/>
        </w:trPr>
        <w:tc>
          <w:tcPr>
            <w:tcW w:w="960" w:type="dxa"/>
            <w:tcBorders>
              <w:top w:val="nil"/>
              <w:left w:val="nil"/>
              <w:bottom w:val="nil"/>
              <w:right w:val="nil"/>
            </w:tcBorders>
            <w:shd w:val="clear" w:color="auto" w:fill="auto"/>
            <w:noWrap/>
            <w:vAlign w:val="bottom"/>
            <w:hideMark/>
          </w:tcPr>
          <w:p w14:paraId="7F64A9EF" w14:textId="77777777" w:rsidR="00450965" w:rsidRPr="00450965" w:rsidRDefault="00450965" w:rsidP="00450965">
            <w:pPr>
              <w:spacing w:after="0" w:line="240" w:lineRule="auto"/>
              <w:rPr>
                <w:rFonts w:ascii="Calibri" w:eastAsia="Times New Roman" w:hAnsi="Calibri" w:cs="Calibri"/>
                <w:b/>
                <w:bCs/>
                <w:color w:val="000000"/>
                <w:lang w:val="en-GB" w:eastAsia="en-GB"/>
              </w:rPr>
            </w:pPr>
            <w:r w:rsidRPr="00450965">
              <w:rPr>
                <w:rFonts w:ascii="Calibri" w:eastAsia="Times New Roman" w:hAnsi="Calibri" w:cs="Calibri"/>
                <w:b/>
                <w:bCs/>
                <w:color w:val="000000"/>
                <w:lang w:val="en-GB" w:eastAsia="en-GB"/>
              </w:rPr>
              <w:t>variance</w:t>
            </w:r>
          </w:p>
        </w:tc>
        <w:tc>
          <w:tcPr>
            <w:tcW w:w="960" w:type="dxa"/>
            <w:tcBorders>
              <w:top w:val="nil"/>
              <w:left w:val="nil"/>
              <w:bottom w:val="nil"/>
              <w:right w:val="nil"/>
            </w:tcBorders>
            <w:shd w:val="clear" w:color="auto" w:fill="auto"/>
            <w:noWrap/>
            <w:vAlign w:val="bottom"/>
            <w:hideMark/>
          </w:tcPr>
          <w:p w14:paraId="53D822D8" w14:textId="77777777" w:rsidR="00450965" w:rsidRPr="00450965" w:rsidRDefault="00450965" w:rsidP="00450965">
            <w:pPr>
              <w:spacing w:after="0" w:line="240" w:lineRule="auto"/>
              <w:jc w:val="right"/>
              <w:rPr>
                <w:rFonts w:ascii="Calibri" w:eastAsia="Times New Roman" w:hAnsi="Calibri" w:cs="Calibri"/>
                <w:color w:val="000000"/>
                <w:lang w:val="en-GB" w:eastAsia="en-GB"/>
              </w:rPr>
            </w:pPr>
            <w:r w:rsidRPr="00450965">
              <w:rPr>
                <w:rFonts w:ascii="Calibri" w:eastAsia="Times New Roman" w:hAnsi="Calibri" w:cs="Calibri"/>
                <w:color w:val="000000"/>
                <w:lang w:val="en-GB" w:eastAsia="en-GB"/>
              </w:rPr>
              <w:t>0.0268</w:t>
            </w:r>
          </w:p>
        </w:tc>
      </w:tr>
    </w:tbl>
    <w:p w14:paraId="5B7D1F3D" w14:textId="3208212E" w:rsidR="000E22B2" w:rsidRDefault="000E22B2" w:rsidP="000E22B2">
      <w:pPr>
        <w:pStyle w:val="ListParagraph"/>
        <w:autoSpaceDE w:val="0"/>
        <w:autoSpaceDN w:val="0"/>
        <w:adjustRightInd w:val="0"/>
        <w:spacing w:after="0"/>
      </w:pPr>
    </w:p>
    <w:p w14:paraId="4671EB35" w14:textId="77777777" w:rsidR="00450965" w:rsidRDefault="00450965" w:rsidP="000E22B2">
      <w:pPr>
        <w:pStyle w:val="ListParagraph"/>
        <w:autoSpaceDE w:val="0"/>
        <w:autoSpaceDN w:val="0"/>
        <w:adjustRightInd w:val="0"/>
        <w:spacing w:after="0"/>
      </w:pPr>
    </w:p>
    <w:p w14:paraId="6A243B61" w14:textId="74435FE5" w:rsidR="000E22B2" w:rsidRDefault="00450965" w:rsidP="000E22B2">
      <w:pPr>
        <w:pStyle w:val="ListParagraph"/>
        <w:autoSpaceDE w:val="0"/>
        <w:autoSpaceDN w:val="0"/>
        <w:adjustRightInd w:val="0"/>
        <w:spacing w:after="0"/>
      </w:pPr>
      <w:r>
        <w:t>Outlier- morgan stanley  91.36%</w:t>
      </w:r>
    </w:p>
    <w:p w14:paraId="74661CC0" w14:textId="77777777" w:rsidR="000E22B2" w:rsidRDefault="000E22B2" w:rsidP="000E22B2">
      <w:pPr>
        <w:pStyle w:val="ListParagraph"/>
        <w:autoSpaceDE w:val="0"/>
        <w:autoSpaceDN w:val="0"/>
        <w:adjustRightInd w:val="0"/>
        <w:spacing w:after="0"/>
      </w:pPr>
    </w:p>
    <w:p w14:paraId="0C69DB41" w14:textId="77777777" w:rsidR="000E22B2" w:rsidRPr="0037002C" w:rsidRDefault="000E22B2" w:rsidP="000E22B2">
      <w:pPr>
        <w:pStyle w:val="ListParagraph"/>
        <w:autoSpaceDE w:val="0"/>
        <w:autoSpaceDN w:val="0"/>
        <w:adjustRightInd w:val="0"/>
        <w:spacing w:after="0"/>
      </w:pPr>
    </w:p>
    <w:p w14:paraId="540CF67F" w14:textId="77777777" w:rsidR="000E22B2" w:rsidRPr="0037002C" w:rsidRDefault="000E22B2" w:rsidP="000E22B2">
      <w:pPr>
        <w:pStyle w:val="ListParagraph"/>
        <w:numPr>
          <w:ilvl w:val="0"/>
          <w:numId w:val="4"/>
        </w:numPr>
        <w:autoSpaceDE w:val="0"/>
        <w:autoSpaceDN w:val="0"/>
        <w:adjustRightInd w:val="0"/>
        <w:spacing w:after="0"/>
      </w:pPr>
    </w:p>
    <w:p w14:paraId="10595496"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255B1DBA" wp14:editId="339034D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E0EA7ED"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2CE8CE1" w14:textId="77777777" w:rsidR="00DE7503"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r w:rsidR="00DE7503">
        <w:t xml:space="preserve"> </w:t>
      </w:r>
    </w:p>
    <w:p w14:paraId="234D1A19" w14:textId="48FF3F45" w:rsidR="000E22B2" w:rsidRDefault="00DE7503" w:rsidP="00DE7503">
      <w:pPr>
        <w:pStyle w:val="ListParagraph"/>
        <w:autoSpaceDE w:val="0"/>
        <w:autoSpaceDN w:val="0"/>
        <w:adjustRightInd w:val="0"/>
        <w:spacing w:after="0"/>
        <w:ind w:left="1440"/>
      </w:pPr>
      <w:r>
        <w:t>7 (approx.)</w:t>
      </w:r>
    </w:p>
    <w:p w14:paraId="1EFADA7C" w14:textId="77777777" w:rsidR="00DE7503" w:rsidRDefault="00DE7503" w:rsidP="00DE7503">
      <w:pPr>
        <w:pStyle w:val="ListParagraph"/>
        <w:autoSpaceDE w:val="0"/>
        <w:autoSpaceDN w:val="0"/>
        <w:adjustRightInd w:val="0"/>
        <w:spacing w:after="0"/>
        <w:ind w:left="1440"/>
      </w:pPr>
    </w:p>
    <w:p w14:paraId="5FEEF33E"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45FE3963" w14:textId="56CFC25E" w:rsidR="00DE7503" w:rsidRDefault="00DE7503" w:rsidP="00DE7503">
      <w:r>
        <w:t xml:space="preserve">                             </w:t>
      </w:r>
      <w:r w:rsidRPr="00DE7503">
        <w:t>not symmetric, right skewed distribution</w:t>
      </w:r>
    </w:p>
    <w:p w14:paraId="6CF67A45"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709E6D4" w14:textId="77777777" w:rsidR="00DE7503" w:rsidRPr="00DE7503" w:rsidRDefault="00DE7503" w:rsidP="00DE7503">
      <w:pPr>
        <w:rPr>
          <w:lang w:val="en-GB" w:eastAsia="en-GB"/>
        </w:rPr>
      </w:pPr>
      <w:r w:rsidRPr="00DE7503">
        <w:rPr>
          <w:lang w:val="en-GB" w:eastAsia="en-GB"/>
        </w:rPr>
        <w:t>If the data point with the value 25 is corrected to 2.5, the new box plot would be affected significantly. The scale of the y-axis would be compressed, potentially making the spread of the dataset appear smaller and the distribution less skewed.</w:t>
      </w:r>
    </w:p>
    <w:p w14:paraId="01E93B2C" w14:textId="77777777" w:rsidR="00DE7503" w:rsidRPr="00DE7503" w:rsidRDefault="00DE7503" w:rsidP="00DE7503">
      <w:pPr>
        <w:pStyle w:val="ListParagraph"/>
        <w:numPr>
          <w:ilvl w:val="0"/>
          <w:numId w:val="2"/>
        </w:numPr>
        <w:pBdr>
          <w:bottom w:val="single" w:sz="6" w:space="1" w:color="auto"/>
        </w:pBdr>
        <w:spacing w:after="0" w:line="240" w:lineRule="auto"/>
        <w:jc w:val="center"/>
        <w:rPr>
          <w:rFonts w:ascii="Arial" w:eastAsia="Times New Roman" w:hAnsi="Arial" w:cs="Arial"/>
          <w:vanish/>
          <w:sz w:val="16"/>
          <w:szCs w:val="16"/>
          <w:lang w:val="en-GB" w:eastAsia="en-GB"/>
        </w:rPr>
      </w:pPr>
      <w:r w:rsidRPr="00DE7503">
        <w:rPr>
          <w:rFonts w:ascii="Arial" w:eastAsia="Times New Roman" w:hAnsi="Arial" w:cs="Arial"/>
          <w:vanish/>
          <w:sz w:val="16"/>
          <w:szCs w:val="16"/>
          <w:lang w:val="en-GB" w:eastAsia="en-GB"/>
        </w:rPr>
        <w:t>Top of Form</w:t>
      </w:r>
    </w:p>
    <w:p w14:paraId="624DF2A3" w14:textId="77777777" w:rsidR="00DE7503" w:rsidRDefault="00DE7503" w:rsidP="000E22B2">
      <w:pPr>
        <w:autoSpaceDE w:val="0"/>
        <w:autoSpaceDN w:val="0"/>
        <w:adjustRightInd w:val="0"/>
        <w:spacing w:after="0"/>
      </w:pPr>
    </w:p>
    <w:p w14:paraId="74B1D235"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64DA34A3"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3E483F3A" wp14:editId="59A8A787">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0533" cy="4123426"/>
                    </a:xfrm>
                    <a:prstGeom prst="rect">
                      <a:avLst/>
                    </a:prstGeom>
                    <a:noFill/>
                    <a:ln w="9525">
                      <a:noFill/>
                      <a:miter lim="800000"/>
                      <a:headEnd/>
                      <a:tailEnd/>
                    </a:ln>
                  </pic:spPr>
                </pic:pic>
              </a:graphicData>
            </a:graphic>
          </wp:inline>
        </w:drawing>
      </w:r>
    </w:p>
    <w:p w14:paraId="222234F2" w14:textId="77777777" w:rsidR="000E22B2" w:rsidRPr="0037002C" w:rsidRDefault="000E22B2" w:rsidP="000E22B2">
      <w:pPr>
        <w:pStyle w:val="ListParagraph"/>
        <w:autoSpaceDE w:val="0"/>
        <w:autoSpaceDN w:val="0"/>
        <w:adjustRightInd w:val="0"/>
        <w:spacing w:after="0"/>
      </w:pPr>
    </w:p>
    <w:p w14:paraId="1555F8B1" w14:textId="77777777" w:rsidR="000E22B2" w:rsidRDefault="000E22B2" w:rsidP="000E22B2">
      <w:pPr>
        <w:pStyle w:val="ListParagraph"/>
        <w:autoSpaceDE w:val="0"/>
        <w:autoSpaceDN w:val="0"/>
        <w:adjustRightInd w:val="0"/>
        <w:spacing w:after="0"/>
      </w:pPr>
      <w:r>
        <w:t>Answer the following three questions based on the histogram above.</w:t>
      </w:r>
    </w:p>
    <w:p w14:paraId="11F92FE1" w14:textId="77777777" w:rsidR="000F2A27"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r w:rsidR="000F2A27">
        <w:t xml:space="preserve"> </w:t>
      </w:r>
    </w:p>
    <w:p w14:paraId="1E324A70" w14:textId="148373AB" w:rsidR="000E22B2" w:rsidRDefault="000F2A27" w:rsidP="000F2A27">
      <w:pPr>
        <w:pStyle w:val="ListParagraph"/>
        <w:autoSpaceDE w:val="0"/>
        <w:autoSpaceDN w:val="0"/>
        <w:adjustRightInd w:val="0"/>
        <w:spacing w:after="0"/>
        <w:ind w:left="1440"/>
      </w:pPr>
      <w:r>
        <w:t>In range between 5-10</w:t>
      </w:r>
    </w:p>
    <w:p w14:paraId="0651DCF4" w14:textId="77777777" w:rsidR="000F2A27"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rsidR="000F2A27">
        <w:t xml:space="preserve">   </w:t>
      </w:r>
    </w:p>
    <w:p w14:paraId="0A5E5DA4" w14:textId="22CC1CD8" w:rsidR="000E22B2" w:rsidRDefault="005C6192" w:rsidP="000F2A27">
      <w:pPr>
        <w:pStyle w:val="ListParagraph"/>
        <w:autoSpaceDE w:val="0"/>
        <w:autoSpaceDN w:val="0"/>
        <w:adjustRightInd w:val="0"/>
        <w:spacing w:after="0"/>
        <w:ind w:left="1440"/>
      </w:pPr>
      <w:r>
        <w:t>Asymmetric</w:t>
      </w:r>
      <w:r w:rsidR="000F2A27">
        <w:t xml:space="preserve"> and skewed to the left meaning most val</w:t>
      </w:r>
      <w:r>
        <w:t>ue</w:t>
      </w:r>
      <w:r w:rsidR="000F2A27">
        <w:t xml:space="preserve"> lie in the left of the graph</w:t>
      </w:r>
      <w:r w:rsidR="000E22B2">
        <w:tab/>
      </w:r>
    </w:p>
    <w:p w14:paraId="613B23D5"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411DB100" w14:textId="14DB5277" w:rsidR="000E22B2" w:rsidRPr="0037002C" w:rsidRDefault="005C6192" w:rsidP="005C6192">
      <w:pPr>
        <w:pStyle w:val="ListParagraph"/>
        <w:autoSpaceDE w:val="0"/>
        <w:autoSpaceDN w:val="0"/>
        <w:adjustRightInd w:val="0"/>
        <w:spacing w:after="0"/>
        <w:ind w:left="1440"/>
      </w:pPr>
      <w:r>
        <w:t>Asymmetric graphs and plot, both have median lying between range 5 to 10. An outlier around point 25 on x axis. Data range is variable and spread across the plot and graph. And it is left skewed.</w:t>
      </w:r>
    </w:p>
    <w:p w14:paraId="2B1C3168"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3A0258A" w14:textId="77777777" w:rsidR="000E22B2" w:rsidRDefault="000E22B2" w:rsidP="000E22B2">
      <w:pPr>
        <w:pStyle w:val="ListParagraph"/>
        <w:autoSpaceDE w:val="0"/>
        <w:autoSpaceDN w:val="0"/>
        <w:adjustRightInd w:val="0"/>
        <w:spacing w:after="0"/>
        <w:rPr>
          <w:rFonts w:cs="BaskervilleBE-Regular"/>
        </w:rPr>
      </w:pPr>
    </w:p>
    <w:p w14:paraId="61CD1944" w14:textId="5B464E02" w:rsidR="000E22B2" w:rsidRPr="00C95725" w:rsidRDefault="00C95725" w:rsidP="00C95725">
      <w:r w:rsidRPr="00C95725">
        <w:t>Let p be the probability of a call being correctly directed, which is 199/200.</w:t>
      </w:r>
    </w:p>
    <w:p w14:paraId="27FA4578" w14:textId="77777777" w:rsidR="00C95725" w:rsidRPr="00C95725" w:rsidRDefault="00C95725" w:rsidP="00C95725"/>
    <w:p w14:paraId="2860B00A" w14:textId="2C77AB9A" w:rsidR="00C95725" w:rsidRPr="00C95725" w:rsidRDefault="00C95725" w:rsidP="00C95725">
      <w:r w:rsidRPr="00C95725">
        <w:lastRenderedPageBreak/>
        <w:t>For 5 corrected call prob = (199/200)^5</w:t>
      </w:r>
    </w:p>
    <w:p w14:paraId="242A31BD" w14:textId="1DF35BAC" w:rsidR="00C95725" w:rsidRPr="00C95725" w:rsidRDefault="00C95725" w:rsidP="00C95725">
      <w:r w:rsidRPr="00C95725">
        <w:t>Wrong call prob = 1- (199/200)^5 ≈0.97525</w:t>
      </w:r>
    </w:p>
    <w:p w14:paraId="144F228B"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3DAF96E" w14:textId="77777777" w:rsidTr="00BB3C58">
        <w:trPr>
          <w:trHeight w:val="276"/>
          <w:jc w:val="center"/>
        </w:trPr>
        <w:tc>
          <w:tcPr>
            <w:tcW w:w="2078" w:type="dxa"/>
          </w:tcPr>
          <w:p w14:paraId="3AECE3FF" w14:textId="77777777" w:rsidR="000E22B2" w:rsidRDefault="000E22B2" w:rsidP="00BB3C58">
            <w:pPr>
              <w:pStyle w:val="ListParagraph"/>
              <w:autoSpaceDE w:val="0"/>
              <w:autoSpaceDN w:val="0"/>
              <w:adjustRightInd w:val="0"/>
              <w:ind w:left="0"/>
              <w:jc w:val="center"/>
            </w:pPr>
            <w:r>
              <w:t>x</w:t>
            </w:r>
          </w:p>
        </w:tc>
        <w:tc>
          <w:tcPr>
            <w:tcW w:w="2072" w:type="dxa"/>
          </w:tcPr>
          <w:p w14:paraId="2CF37BA3" w14:textId="77777777" w:rsidR="000E22B2" w:rsidRDefault="000E22B2" w:rsidP="00BB3C58">
            <w:pPr>
              <w:pStyle w:val="ListParagraph"/>
              <w:autoSpaceDE w:val="0"/>
              <w:autoSpaceDN w:val="0"/>
              <w:adjustRightInd w:val="0"/>
              <w:ind w:left="0"/>
              <w:jc w:val="center"/>
            </w:pPr>
            <w:r>
              <w:t>P(x)</w:t>
            </w:r>
          </w:p>
        </w:tc>
      </w:tr>
      <w:tr w:rsidR="000E22B2" w14:paraId="53A312FF" w14:textId="77777777" w:rsidTr="00BB3C58">
        <w:trPr>
          <w:trHeight w:val="276"/>
          <w:jc w:val="center"/>
        </w:trPr>
        <w:tc>
          <w:tcPr>
            <w:tcW w:w="2078" w:type="dxa"/>
          </w:tcPr>
          <w:p w14:paraId="529FA2F0" w14:textId="77777777" w:rsidR="000E22B2" w:rsidRDefault="000E22B2" w:rsidP="00BB3C58">
            <w:pPr>
              <w:pStyle w:val="ListParagraph"/>
              <w:autoSpaceDE w:val="0"/>
              <w:autoSpaceDN w:val="0"/>
              <w:adjustRightInd w:val="0"/>
              <w:ind w:left="0"/>
              <w:jc w:val="center"/>
            </w:pPr>
            <w:r>
              <w:t>-2,000</w:t>
            </w:r>
          </w:p>
        </w:tc>
        <w:tc>
          <w:tcPr>
            <w:tcW w:w="2072" w:type="dxa"/>
          </w:tcPr>
          <w:p w14:paraId="513AB0F2" w14:textId="77777777" w:rsidR="000E22B2" w:rsidRDefault="000E22B2" w:rsidP="00BB3C58">
            <w:pPr>
              <w:pStyle w:val="ListParagraph"/>
              <w:autoSpaceDE w:val="0"/>
              <w:autoSpaceDN w:val="0"/>
              <w:adjustRightInd w:val="0"/>
              <w:ind w:left="0"/>
              <w:jc w:val="center"/>
            </w:pPr>
            <w:r>
              <w:t>0.1</w:t>
            </w:r>
          </w:p>
        </w:tc>
      </w:tr>
      <w:tr w:rsidR="000E22B2" w14:paraId="240C3691" w14:textId="77777777" w:rsidTr="00BB3C58">
        <w:trPr>
          <w:trHeight w:val="276"/>
          <w:jc w:val="center"/>
        </w:trPr>
        <w:tc>
          <w:tcPr>
            <w:tcW w:w="2078" w:type="dxa"/>
          </w:tcPr>
          <w:p w14:paraId="321CADBC" w14:textId="77777777" w:rsidR="000E22B2" w:rsidRDefault="000E22B2" w:rsidP="00BB3C58">
            <w:pPr>
              <w:pStyle w:val="ListParagraph"/>
              <w:autoSpaceDE w:val="0"/>
              <w:autoSpaceDN w:val="0"/>
              <w:adjustRightInd w:val="0"/>
              <w:ind w:left="0"/>
              <w:jc w:val="center"/>
            </w:pPr>
            <w:r>
              <w:t>-1,000</w:t>
            </w:r>
          </w:p>
        </w:tc>
        <w:tc>
          <w:tcPr>
            <w:tcW w:w="2072" w:type="dxa"/>
          </w:tcPr>
          <w:p w14:paraId="1141CAC2" w14:textId="77777777" w:rsidR="000E22B2" w:rsidRDefault="000E22B2" w:rsidP="00BB3C58">
            <w:pPr>
              <w:pStyle w:val="ListParagraph"/>
              <w:autoSpaceDE w:val="0"/>
              <w:autoSpaceDN w:val="0"/>
              <w:adjustRightInd w:val="0"/>
              <w:ind w:left="0"/>
              <w:jc w:val="center"/>
            </w:pPr>
            <w:r>
              <w:t>0.1</w:t>
            </w:r>
          </w:p>
        </w:tc>
      </w:tr>
      <w:tr w:rsidR="000E22B2" w14:paraId="6ADDBAE7" w14:textId="77777777" w:rsidTr="00BB3C58">
        <w:trPr>
          <w:trHeight w:val="276"/>
          <w:jc w:val="center"/>
        </w:trPr>
        <w:tc>
          <w:tcPr>
            <w:tcW w:w="2078" w:type="dxa"/>
          </w:tcPr>
          <w:p w14:paraId="03961419" w14:textId="77777777" w:rsidR="000E22B2" w:rsidRDefault="000E22B2" w:rsidP="00BB3C58">
            <w:pPr>
              <w:pStyle w:val="ListParagraph"/>
              <w:autoSpaceDE w:val="0"/>
              <w:autoSpaceDN w:val="0"/>
              <w:adjustRightInd w:val="0"/>
              <w:ind w:left="0"/>
              <w:jc w:val="center"/>
            </w:pPr>
            <w:r>
              <w:t>0</w:t>
            </w:r>
          </w:p>
        </w:tc>
        <w:tc>
          <w:tcPr>
            <w:tcW w:w="2072" w:type="dxa"/>
          </w:tcPr>
          <w:p w14:paraId="2F8DB822" w14:textId="77777777" w:rsidR="000E22B2" w:rsidRDefault="000E22B2" w:rsidP="00BB3C58">
            <w:pPr>
              <w:pStyle w:val="ListParagraph"/>
              <w:autoSpaceDE w:val="0"/>
              <w:autoSpaceDN w:val="0"/>
              <w:adjustRightInd w:val="0"/>
              <w:ind w:left="0"/>
              <w:jc w:val="center"/>
            </w:pPr>
            <w:r>
              <w:t>0.2</w:t>
            </w:r>
          </w:p>
        </w:tc>
      </w:tr>
      <w:tr w:rsidR="000E22B2" w14:paraId="04114CF0" w14:textId="77777777" w:rsidTr="00BB3C58">
        <w:trPr>
          <w:trHeight w:val="276"/>
          <w:jc w:val="center"/>
        </w:trPr>
        <w:tc>
          <w:tcPr>
            <w:tcW w:w="2078" w:type="dxa"/>
          </w:tcPr>
          <w:p w14:paraId="575825DB" w14:textId="77777777" w:rsidR="000E22B2" w:rsidRDefault="000E22B2" w:rsidP="00BB3C58">
            <w:pPr>
              <w:pStyle w:val="ListParagraph"/>
              <w:autoSpaceDE w:val="0"/>
              <w:autoSpaceDN w:val="0"/>
              <w:adjustRightInd w:val="0"/>
              <w:ind w:left="0"/>
              <w:jc w:val="center"/>
            </w:pPr>
            <w:r>
              <w:t>1000</w:t>
            </w:r>
          </w:p>
        </w:tc>
        <w:tc>
          <w:tcPr>
            <w:tcW w:w="2072" w:type="dxa"/>
          </w:tcPr>
          <w:p w14:paraId="6BB118CC" w14:textId="77777777" w:rsidR="000E22B2" w:rsidRDefault="000E22B2" w:rsidP="00BB3C58">
            <w:pPr>
              <w:pStyle w:val="ListParagraph"/>
              <w:autoSpaceDE w:val="0"/>
              <w:autoSpaceDN w:val="0"/>
              <w:adjustRightInd w:val="0"/>
              <w:ind w:left="0"/>
              <w:jc w:val="center"/>
            </w:pPr>
            <w:r>
              <w:t>0.2</w:t>
            </w:r>
          </w:p>
        </w:tc>
      </w:tr>
      <w:tr w:rsidR="000E22B2" w14:paraId="3C7DFA0B" w14:textId="77777777" w:rsidTr="00BB3C58">
        <w:trPr>
          <w:trHeight w:val="276"/>
          <w:jc w:val="center"/>
        </w:trPr>
        <w:tc>
          <w:tcPr>
            <w:tcW w:w="2078" w:type="dxa"/>
          </w:tcPr>
          <w:p w14:paraId="26C14C5C" w14:textId="77777777" w:rsidR="000E22B2" w:rsidRDefault="000E22B2" w:rsidP="00BB3C58">
            <w:pPr>
              <w:pStyle w:val="ListParagraph"/>
              <w:autoSpaceDE w:val="0"/>
              <w:autoSpaceDN w:val="0"/>
              <w:adjustRightInd w:val="0"/>
              <w:ind w:left="0"/>
              <w:jc w:val="center"/>
            </w:pPr>
            <w:r>
              <w:t>2000</w:t>
            </w:r>
          </w:p>
        </w:tc>
        <w:tc>
          <w:tcPr>
            <w:tcW w:w="2072" w:type="dxa"/>
          </w:tcPr>
          <w:p w14:paraId="609B2F99" w14:textId="77777777" w:rsidR="000E22B2" w:rsidRDefault="000E22B2" w:rsidP="00BB3C58">
            <w:pPr>
              <w:pStyle w:val="ListParagraph"/>
              <w:autoSpaceDE w:val="0"/>
              <w:autoSpaceDN w:val="0"/>
              <w:adjustRightInd w:val="0"/>
              <w:ind w:left="0"/>
              <w:jc w:val="center"/>
            </w:pPr>
            <w:r>
              <w:t>0.3</w:t>
            </w:r>
          </w:p>
        </w:tc>
      </w:tr>
      <w:tr w:rsidR="000E22B2" w14:paraId="5E171547" w14:textId="77777777" w:rsidTr="00BB3C58">
        <w:trPr>
          <w:trHeight w:val="276"/>
          <w:jc w:val="center"/>
        </w:trPr>
        <w:tc>
          <w:tcPr>
            <w:tcW w:w="2078" w:type="dxa"/>
          </w:tcPr>
          <w:p w14:paraId="47EE3C55" w14:textId="77777777" w:rsidR="000E22B2" w:rsidRDefault="000E22B2" w:rsidP="00BB3C58">
            <w:pPr>
              <w:pStyle w:val="ListParagraph"/>
              <w:autoSpaceDE w:val="0"/>
              <w:autoSpaceDN w:val="0"/>
              <w:adjustRightInd w:val="0"/>
              <w:ind w:left="0"/>
              <w:jc w:val="center"/>
            </w:pPr>
            <w:r>
              <w:t>3000</w:t>
            </w:r>
          </w:p>
        </w:tc>
        <w:tc>
          <w:tcPr>
            <w:tcW w:w="2072" w:type="dxa"/>
          </w:tcPr>
          <w:p w14:paraId="198D5589" w14:textId="77777777" w:rsidR="000E22B2" w:rsidRDefault="000E22B2" w:rsidP="00BB3C58">
            <w:pPr>
              <w:pStyle w:val="ListParagraph"/>
              <w:autoSpaceDE w:val="0"/>
              <w:autoSpaceDN w:val="0"/>
              <w:adjustRightInd w:val="0"/>
              <w:ind w:left="0"/>
              <w:jc w:val="center"/>
            </w:pPr>
            <w:r>
              <w:t>0.1</w:t>
            </w:r>
          </w:p>
        </w:tc>
      </w:tr>
    </w:tbl>
    <w:p w14:paraId="36981A96" w14:textId="77777777" w:rsidR="000E22B2" w:rsidRDefault="000E22B2" w:rsidP="000E22B2">
      <w:pPr>
        <w:pStyle w:val="ListParagraph"/>
        <w:autoSpaceDE w:val="0"/>
        <w:autoSpaceDN w:val="0"/>
        <w:adjustRightInd w:val="0"/>
        <w:spacing w:after="0"/>
      </w:pPr>
    </w:p>
    <w:p w14:paraId="0440C583" w14:textId="1F2B08C3"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r w:rsidR="00C95725">
        <w:t xml:space="preserve"> </w:t>
      </w:r>
    </w:p>
    <w:p w14:paraId="7237E44B" w14:textId="532A772E" w:rsidR="00C95725" w:rsidRDefault="000E22B2" w:rsidP="00C95725">
      <w:pPr>
        <w:pStyle w:val="ListParagraph"/>
        <w:numPr>
          <w:ilvl w:val="0"/>
          <w:numId w:val="1"/>
        </w:numPr>
        <w:autoSpaceDE w:val="0"/>
        <w:autoSpaceDN w:val="0"/>
        <w:adjustRightInd w:val="0"/>
        <w:spacing w:after="0"/>
      </w:pPr>
      <w:r>
        <w:t>Is the venture likely to be successful? Explain</w:t>
      </w:r>
      <w:r w:rsidR="00C95725">
        <w:t xml:space="preserve">   </w:t>
      </w:r>
    </w:p>
    <w:p w14:paraId="648179D0" w14:textId="50FBEDA4" w:rsidR="000E22B2" w:rsidRPr="00B36452" w:rsidRDefault="00C95725" w:rsidP="00B36452">
      <w:pPr>
        <w:rPr>
          <w:rFonts w:ascii="Calibri" w:eastAsia="Times New Roman" w:hAnsi="Calibri" w:cs="Calibri"/>
          <w:b/>
          <w:bCs/>
          <w:color w:val="000000"/>
          <w:lang w:val="en-GB" w:eastAsia="en-GB"/>
        </w:rPr>
      </w:pPr>
      <w:r>
        <w:t xml:space="preserve">              (iii)</w:t>
      </w:r>
      <w:r w:rsidR="000E22B2">
        <w:t>What is the long-term average earning of business ventures of this kind? Explain</w:t>
      </w:r>
      <w:r>
        <w:t xml:space="preserve">. </w:t>
      </w:r>
    </w:p>
    <w:p w14:paraId="562B1107" w14:textId="3CB1AFB6" w:rsidR="000E22B2" w:rsidRDefault="000E22B2" w:rsidP="00B36452">
      <w:pPr>
        <w:pStyle w:val="ListParagraph"/>
        <w:numPr>
          <w:ilvl w:val="0"/>
          <w:numId w:val="3"/>
        </w:numPr>
        <w:autoSpaceDE w:val="0"/>
        <w:autoSpaceDN w:val="0"/>
        <w:adjustRightInd w:val="0"/>
        <w:spacing w:after="0"/>
      </w:pPr>
      <w:r>
        <w:t>What is the good measure of the risk involved in a venture of this kind? Compute this measure</w:t>
      </w:r>
      <w:r w:rsidR="00C95725">
        <w:t>.</w:t>
      </w:r>
    </w:p>
    <w:p w14:paraId="01AFFFB4" w14:textId="77777777" w:rsidR="00B36452" w:rsidRDefault="00B36452" w:rsidP="00B36452">
      <w:pPr>
        <w:autoSpaceDE w:val="0"/>
        <w:autoSpaceDN w:val="0"/>
        <w:adjustRightInd w:val="0"/>
        <w:spacing w:after="0"/>
      </w:pPr>
      <w:r>
        <w:t>(i) The most likely monetary outcome (profit) of the business venture can be determined by identifying the outcome with the highest probability. From the given probability distribution, the outcome with the highest probability is $2000, with a probability of 0.3.</w:t>
      </w:r>
    </w:p>
    <w:p w14:paraId="57F14F31" w14:textId="77777777" w:rsidR="00B36452" w:rsidRDefault="00B36452" w:rsidP="00B36452">
      <w:pPr>
        <w:autoSpaceDE w:val="0"/>
        <w:autoSpaceDN w:val="0"/>
        <w:adjustRightInd w:val="0"/>
        <w:spacing w:after="0"/>
      </w:pPr>
    </w:p>
    <w:p w14:paraId="5F77EA7C" w14:textId="77777777" w:rsidR="00B36452" w:rsidRDefault="00B36452" w:rsidP="00B36452">
      <w:pPr>
        <w:autoSpaceDE w:val="0"/>
        <w:autoSpaceDN w:val="0"/>
        <w:adjustRightInd w:val="0"/>
        <w:spacing w:after="0"/>
      </w:pPr>
      <w:r>
        <w:t>(ii) Yes, the venture is likely to be successful. This conclusion is based on the fact that the probabilities associated with profitable outcomes (positive returns) are higher compared to the probabilities associated with non-profitable outcomes (negative returns). Specifically, the probabilities of profitable outcomes (0, 1000, 2000, and 3000) sum up to 0.8, indicating an 80% chance of making a profit.</w:t>
      </w:r>
    </w:p>
    <w:p w14:paraId="166B862B" w14:textId="77777777" w:rsidR="00B36452" w:rsidRDefault="00B36452" w:rsidP="00B36452">
      <w:pPr>
        <w:autoSpaceDE w:val="0"/>
        <w:autoSpaceDN w:val="0"/>
        <w:adjustRightInd w:val="0"/>
        <w:spacing w:after="0"/>
      </w:pPr>
    </w:p>
    <w:p w14:paraId="3606E169" w14:textId="77777777" w:rsidR="00B36452" w:rsidRDefault="00B36452" w:rsidP="00B36452">
      <w:pPr>
        <w:autoSpaceDE w:val="0"/>
        <w:autoSpaceDN w:val="0"/>
        <w:adjustRightInd w:val="0"/>
        <w:spacing w:after="0"/>
      </w:pPr>
      <w:r>
        <w:t xml:space="preserve">(iii) The long-term average earnings of business ventures of this kind can be calculated by multiplying each monetary outcome by its respective probability and summing up the products. </w:t>
      </w:r>
    </w:p>
    <w:p w14:paraId="41023F0E" w14:textId="77777777" w:rsidR="00B36452" w:rsidRDefault="00B36452" w:rsidP="00B36452">
      <w:pPr>
        <w:autoSpaceDE w:val="0"/>
        <w:autoSpaceDN w:val="0"/>
        <w:adjustRightInd w:val="0"/>
        <w:spacing w:after="0"/>
      </w:pPr>
    </w:p>
    <w:p w14:paraId="0E39C19F" w14:textId="61542263" w:rsidR="00B36452" w:rsidRDefault="00B36452" w:rsidP="00B36452">
      <w:pPr>
        <w:autoSpaceDE w:val="0"/>
        <w:autoSpaceDN w:val="0"/>
        <w:adjustRightInd w:val="0"/>
        <w:spacing w:after="0"/>
      </w:pPr>
      <w:r>
        <w:t xml:space="preserve">Long-term average earnings= (-2000)(0.1) + (-1000)(0.1) + (0)(0.2) + (1000)(0.2) + (2000)(0.3) + (3000)(0.1) </w:t>
      </w:r>
    </w:p>
    <w:p w14:paraId="58C5B9D1" w14:textId="77777777" w:rsidR="00B36452" w:rsidRDefault="00B36452" w:rsidP="00B36452">
      <w:pPr>
        <w:autoSpaceDE w:val="0"/>
        <w:autoSpaceDN w:val="0"/>
        <w:adjustRightInd w:val="0"/>
        <w:spacing w:after="0"/>
      </w:pPr>
    </w:p>
    <w:p w14:paraId="34766496" w14:textId="15E1A028" w:rsidR="00B36452" w:rsidRDefault="00B36452" w:rsidP="00B36452">
      <w:pPr>
        <w:autoSpaceDE w:val="0"/>
        <w:autoSpaceDN w:val="0"/>
        <w:adjustRightInd w:val="0"/>
        <w:spacing w:after="0"/>
      </w:pPr>
      <w:r>
        <w:t xml:space="preserve">Long-term average earnings = -200 - 100 + 0 + 200 + 600 + 300 = 800 </w:t>
      </w:r>
    </w:p>
    <w:p w14:paraId="3CFDAA48" w14:textId="77777777" w:rsidR="00B36452" w:rsidRDefault="00B36452" w:rsidP="00B36452">
      <w:pPr>
        <w:autoSpaceDE w:val="0"/>
        <w:autoSpaceDN w:val="0"/>
        <w:adjustRightInd w:val="0"/>
        <w:spacing w:after="0"/>
      </w:pPr>
    </w:p>
    <w:p w14:paraId="6A7A5330" w14:textId="77777777" w:rsidR="00B36452" w:rsidRDefault="00B36452" w:rsidP="00B36452">
      <w:pPr>
        <w:autoSpaceDE w:val="0"/>
        <w:autoSpaceDN w:val="0"/>
        <w:adjustRightInd w:val="0"/>
        <w:spacing w:after="0"/>
      </w:pPr>
      <w:r>
        <w:t>The long-term average earning is $800. This value represents the average profit (or loss) that can be expected over the long run in similar ventures of this kind. It is obtained by considering the weighted average of all possible outcomes based on their probabilities.</w:t>
      </w:r>
    </w:p>
    <w:p w14:paraId="71D639C4" w14:textId="77777777" w:rsidR="00B36452" w:rsidRDefault="00B36452" w:rsidP="00B36452">
      <w:pPr>
        <w:autoSpaceDE w:val="0"/>
        <w:autoSpaceDN w:val="0"/>
        <w:adjustRightInd w:val="0"/>
        <w:spacing w:after="0"/>
      </w:pPr>
    </w:p>
    <w:p w14:paraId="74FDC300" w14:textId="0BC9E232" w:rsidR="00B36452" w:rsidRDefault="00B36452" w:rsidP="00B36452">
      <w:pPr>
        <w:autoSpaceDE w:val="0"/>
        <w:autoSpaceDN w:val="0"/>
        <w:adjustRightInd w:val="0"/>
        <w:spacing w:after="0"/>
      </w:pPr>
      <w:r>
        <w:t xml:space="preserve">(iv) A good measure of the risk involved in a venture of this kind is the standard deviation of the probability distribution. The standard deviation provides a measure of the dispersion or variability of the outcomes around the mean. </w:t>
      </w:r>
    </w:p>
    <w:p w14:paraId="462EE058" w14:textId="77777777" w:rsidR="00B36452" w:rsidRDefault="00B36452" w:rsidP="00B36452">
      <w:pPr>
        <w:autoSpaceDE w:val="0"/>
        <w:autoSpaceDN w:val="0"/>
        <w:adjustRightInd w:val="0"/>
        <w:spacing w:after="0"/>
      </w:pPr>
    </w:p>
    <w:p w14:paraId="3D781A1A" w14:textId="79938434" w:rsidR="00B36452" w:rsidRDefault="00B36452" w:rsidP="00B36452">
      <w:pPr>
        <w:autoSpaceDE w:val="0"/>
        <w:autoSpaceDN w:val="0"/>
        <w:adjustRightInd w:val="0"/>
        <w:spacing w:after="0"/>
      </w:pPr>
      <w:r>
        <w:rPr>
          <w:rStyle w:val="mord"/>
          <w:color w:val="0D0D0D"/>
          <w:sz w:val="29"/>
          <w:szCs w:val="29"/>
          <w:shd w:val="clear" w:color="auto" w:fill="FFFFFF"/>
        </w:rPr>
        <w:t>Standard deviation</w:t>
      </w:r>
      <w:r>
        <w:rPr>
          <w:rStyle w:val="mrel"/>
          <w:color w:val="0D0D0D"/>
          <w:sz w:val="29"/>
          <w:szCs w:val="29"/>
          <w:shd w:val="clear" w:color="auto" w:fill="FFFFFF"/>
        </w:rPr>
        <w:t>= under root(</w:t>
      </w:r>
      <w:r>
        <w:rPr>
          <w:rStyle w:val="mord"/>
          <w:color w:val="0D0D0D"/>
          <w:sz w:val="29"/>
          <w:szCs w:val="29"/>
          <w:shd w:val="clear" w:color="auto" w:fill="FFFFFF"/>
        </w:rPr>
        <w:t xml:space="preserve">Variance) </w:t>
      </w:r>
      <w:r>
        <w:rPr>
          <w:rStyle w:val="vlist-s"/>
          <w:color w:val="0D0D0D"/>
          <w:sz w:val="2"/>
          <w:szCs w:val="2"/>
          <w:shd w:val="clear" w:color="auto" w:fill="FFFFFF"/>
        </w:rPr>
        <w:t>​</w:t>
      </w:r>
      <w:r>
        <w:rPr>
          <w:rStyle w:val="mrel"/>
          <w:color w:val="0D0D0D"/>
          <w:sz w:val="29"/>
          <w:szCs w:val="29"/>
          <w:shd w:val="clear" w:color="auto" w:fill="FFFFFF"/>
        </w:rPr>
        <w:t>=(</w:t>
      </w:r>
      <w:r>
        <w:rPr>
          <w:rStyle w:val="mord"/>
          <w:color w:val="0D0D0D"/>
          <w:sz w:val="29"/>
          <w:szCs w:val="29"/>
          <w:shd w:val="clear" w:color="auto" w:fill="FFFFFF"/>
        </w:rPr>
        <w:t>1752000)/(1/2)</w:t>
      </w:r>
      <w:r>
        <w:rPr>
          <w:rStyle w:val="vlist-s"/>
          <w:color w:val="0D0D0D"/>
          <w:sz w:val="2"/>
          <w:szCs w:val="2"/>
          <w:shd w:val="clear" w:color="auto" w:fill="FFFFFF"/>
        </w:rPr>
        <w:t>​</w:t>
      </w:r>
      <w:r>
        <w:rPr>
          <w:rStyle w:val="mrel"/>
          <w:color w:val="0D0D0D"/>
          <w:sz w:val="29"/>
          <w:szCs w:val="29"/>
          <w:shd w:val="clear" w:color="auto" w:fill="FFFFFF"/>
        </w:rPr>
        <w:t xml:space="preserve">≈   </w:t>
      </w:r>
      <w:r>
        <w:rPr>
          <w:rStyle w:val="mord"/>
          <w:color w:val="0D0D0D"/>
          <w:sz w:val="29"/>
          <w:szCs w:val="29"/>
          <w:shd w:val="clear" w:color="auto" w:fill="FFFFFF"/>
        </w:rPr>
        <w:t>1324.6</w:t>
      </w:r>
    </w:p>
    <w:p w14:paraId="12DFB6A0" w14:textId="5AF74C76" w:rsidR="00B36452" w:rsidRDefault="00B36452" w:rsidP="00B36452">
      <w:pPr>
        <w:autoSpaceDE w:val="0"/>
        <w:autoSpaceDN w:val="0"/>
        <w:adjustRightInd w:val="0"/>
        <w:spacing w:after="0"/>
      </w:pPr>
    </w:p>
    <w:p w14:paraId="34C87AA7" w14:textId="6404145E" w:rsidR="00C95725" w:rsidRPr="0037002C" w:rsidRDefault="00C95725" w:rsidP="00C95725">
      <w:pPr>
        <w:pStyle w:val="ListParagraph"/>
        <w:autoSpaceDE w:val="0"/>
        <w:autoSpaceDN w:val="0"/>
        <w:adjustRightInd w:val="0"/>
        <w:spacing w:after="0"/>
        <w:ind w:left="1440"/>
      </w:pPr>
      <w:r>
        <w:rPr>
          <w:noProof/>
        </w:rPr>
        <w:drawing>
          <wp:inline distT="0" distB="0" distL="0" distR="0" wp14:anchorId="0B8E3737" wp14:editId="1F400909">
            <wp:extent cx="3545378" cy="1824643"/>
            <wp:effectExtent l="0" t="0" r="0" b="0"/>
            <wp:docPr id="1995698405" name="Chart 1">
              <a:extLst xmlns:a="http://schemas.openxmlformats.org/drawingml/2006/main">
                <a:ext uri="{FF2B5EF4-FFF2-40B4-BE49-F238E27FC236}">
                  <a16:creationId xmlns:a16="http://schemas.microsoft.com/office/drawing/2014/main" id="{CE5F4DE7-4496-DFD3-5025-64453DF2B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392C08" w14:textId="77777777" w:rsidR="002E6C5E" w:rsidRDefault="002E6C5E"/>
    <w:sectPr w:rsidR="002E6C5E" w:rsidSect="00DC3C4E">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FB89" w14:textId="77777777" w:rsidR="00DC3C4E" w:rsidRDefault="00DC3C4E">
      <w:pPr>
        <w:spacing w:after="0" w:line="240" w:lineRule="auto"/>
      </w:pPr>
      <w:r>
        <w:separator/>
      </w:r>
    </w:p>
  </w:endnote>
  <w:endnote w:type="continuationSeparator" w:id="0">
    <w:p w14:paraId="163623F9" w14:textId="77777777" w:rsidR="00DC3C4E" w:rsidRDefault="00DC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6F3AA" w14:textId="77777777" w:rsidR="002E6C5E"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4F8E7B5A" w14:textId="77777777" w:rsidR="002E6C5E" w:rsidRDefault="002E6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3CE91" w14:textId="77777777" w:rsidR="00DC3C4E" w:rsidRDefault="00DC3C4E">
      <w:pPr>
        <w:spacing w:after="0" w:line="240" w:lineRule="auto"/>
      </w:pPr>
      <w:r>
        <w:separator/>
      </w:r>
    </w:p>
  </w:footnote>
  <w:footnote w:type="continuationSeparator" w:id="0">
    <w:p w14:paraId="654C1461" w14:textId="77777777" w:rsidR="00DC3C4E" w:rsidRDefault="00DC3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96631714">
    <w:abstractNumId w:val="1"/>
  </w:num>
  <w:num w:numId="2" w16cid:durableId="1181970776">
    <w:abstractNumId w:val="2"/>
  </w:num>
  <w:num w:numId="3" w16cid:durableId="1718316771">
    <w:abstractNumId w:val="3"/>
  </w:num>
  <w:num w:numId="4" w16cid:durableId="1202355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0F2A27"/>
    <w:rsid w:val="002E6C5E"/>
    <w:rsid w:val="00310065"/>
    <w:rsid w:val="00450965"/>
    <w:rsid w:val="00597BD1"/>
    <w:rsid w:val="005C6192"/>
    <w:rsid w:val="00614CA4"/>
    <w:rsid w:val="008B5FFA"/>
    <w:rsid w:val="00A345D3"/>
    <w:rsid w:val="00AF65C6"/>
    <w:rsid w:val="00B36452"/>
    <w:rsid w:val="00C95725"/>
    <w:rsid w:val="00DC3C4E"/>
    <w:rsid w:val="00DE750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F9543BD"/>
  <w15:docId w15:val="{F6BEEE91-ED3C-4E8A-9BBE-E80A0971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NormalWeb">
    <w:name w:val="Normal (Web)"/>
    <w:basedOn w:val="Normal"/>
    <w:uiPriority w:val="99"/>
    <w:semiHidden/>
    <w:unhideWhenUsed/>
    <w:rsid w:val="00DE75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z-TopofForm">
    <w:name w:val="HTML Top of Form"/>
    <w:basedOn w:val="Normal"/>
    <w:next w:val="Normal"/>
    <w:link w:val="z-TopofFormChar"/>
    <w:hidden/>
    <w:uiPriority w:val="99"/>
    <w:semiHidden/>
    <w:unhideWhenUsed/>
    <w:rsid w:val="00DE750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DE7503"/>
    <w:rPr>
      <w:rFonts w:ascii="Arial" w:eastAsia="Times New Roman" w:hAnsi="Arial" w:cs="Arial"/>
      <w:vanish/>
      <w:sz w:val="16"/>
      <w:szCs w:val="16"/>
      <w:lang w:val="en-GB" w:eastAsia="en-GB"/>
    </w:rPr>
  </w:style>
  <w:style w:type="character" w:customStyle="1" w:styleId="katex-mathml">
    <w:name w:val="katex-mathml"/>
    <w:basedOn w:val="DefaultParagraphFont"/>
    <w:rsid w:val="00C95725"/>
  </w:style>
  <w:style w:type="character" w:customStyle="1" w:styleId="mord">
    <w:name w:val="mord"/>
    <w:basedOn w:val="DefaultParagraphFont"/>
    <w:rsid w:val="00C95725"/>
  </w:style>
  <w:style w:type="character" w:customStyle="1" w:styleId="mbin">
    <w:name w:val="mbin"/>
    <w:basedOn w:val="DefaultParagraphFont"/>
    <w:rsid w:val="00C95725"/>
  </w:style>
  <w:style w:type="character" w:customStyle="1" w:styleId="vlist-s">
    <w:name w:val="vlist-s"/>
    <w:basedOn w:val="DefaultParagraphFont"/>
    <w:rsid w:val="00C95725"/>
  </w:style>
  <w:style w:type="character" w:customStyle="1" w:styleId="mrel">
    <w:name w:val="mrel"/>
    <w:basedOn w:val="DefaultParagraphFont"/>
    <w:rsid w:val="00C9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279">
      <w:bodyDiv w:val="1"/>
      <w:marLeft w:val="0"/>
      <w:marRight w:val="0"/>
      <w:marTop w:val="0"/>
      <w:marBottom w:val="0"/>
      <w:divBdr>
        <w:top w:val="none" w:sz="0" w:space="0" w:color="auto"/>
        <w:left w:val="none" w:sz="0" w:space="0" w:color="auto"/>
        <w:bottom w:val="none" w:sz="0" w:space="0" w:color="auto"/>
        <w:right w:val="none" w:sz="0" w:space="0" w:color="auto"/>
      </w:divBdr>
    </w:div>
    <w:div w:id="1141191954">
      <w:bodyDiv w:val="1"/>
      <w:marLeft w:val="0"/>
      <w:marRight w:val="0"/>
      <w:marTop w:val="0"/>
      <w:marBottom w:val="0"/>
      <w:divBdr>
        <w:top w:val="none" w:sz="0" w:space="0" w:color="auto"/>
        <w:left w:val="none" w:sz="0" w:space="0" w:color="auto"/>
        <w:bottom w:val="none" w:sz="0" w:space="0" w:color="auto"/>
        <w:right w:val="none" w:sz="0" w:space="0" w:color="auto"/>
      </w:divBdr>
      <w:divsChild>
        <w:div w:id="780104078">
          <w:marLeft w:val="0"/>
          <w:marRight w:val="0"/>
          <w:marTop w:val="0"/>
          <w:marBottom w:val="0"/>
          <w:divBdr>
            <w:top w:val="single" w:sz="2" w:space="0" w:color="E3E3E3"/>
            <w:left w:val="single" w:sz="2" w:space="0" w:color="E3E3E3"/>
            <w:bottom w:val="single" w:sz="2" w:space="0" w:color="E3E3E3"/>
            <w:right w:val="single" w:sz="2" w:space="0" w:color="E3E3E3"/>
          </w:divBdr>
          <w:divsChild>
            <w:div w:id="1537617294">
              <w:marLeft w:val="0"/>
              <w:marRight w:val="0"/>
              <w:marTop w:val="0"/>
              <w:marBottom w:val="0"/>
              <w:divBdr>
                <w:top w:val="single" w:sz="2" w:space="0" w:color="E3E3E3"/>
                <w:left w:val="single" w:sz="2" w:space="0" w:color="E3E3E3"/>
                <w:bottom w:val="single" w:sz="2" w:space="0" w:color="E3E3E3"/>
                <w:right w:val="single" w:sz="2" w:space="0" w:color="E3E3E3"/>
              </w:divBdr>
              <w:divsChild>
                <w:div w:id="707727664">
                  <w:marLeft w:val="0"/>
                  <w:marRight w:val="0"/>
                  <w:marTop w:val="0"/>
                  <w:marBottom w:val="0"/>
                  <w:divBdr>
                    <w:top w:val="single" w:sz="2" w:space="0" w:color="E3E3E3"/>
                    <w:left w:val="single" w:sz="2" w:space="0" w:color="E3E3E3"/>
                    <w:bottom w:val="single" w:sz="2" w:space="0" w:color="E3E3E3"/>
                    <w:right w:val="single" w:sz="2" w:space="0" w:color="E3E3E3"/>
                  </w:divBdr>
                  <w:divsChild>
                    <w:div w:id="1353535284">
                      <w:marLeft w:val="0"/>
                      <w:marRight w:val="0"/>
                      <w:marTop w:val="0"/>
                      <w:marBottom w:val="0"/>
                      <w:divBdr>
                        <w:top w:val="single" w:sz="2" w:space="0" w:color="E3E3E3"/>
                        <w:left w:val="single" w:sz="2" w:space="0" w:color="E3E3E3"/>
                        <w:bottom w:val="single" w:sz="2" w:space="0" w:color="E3E3E3"/>
                        <w:right w:val="single" w:sz="2" w:space="0" w:color="E3E3E3"/>
                      </w:divBdr>
                      <w:divsChild>
                        <w:div w:id="1825777459">
                          <w:marLeft w:val="0"/>
                          <w:marRight w:val="0"/>
                          <w:marTop w:val="0"/>
                          <w:marBottom w:val="0"/>
                          <w:divBdr>
                            <w:top w:val="single" w:sz="2" w:space="0" w:color="E3E3E3"/>
                            <w:left w:val="single" w:sz="2" w:space="0" w:color="E3E3E3"/>
                            <w:bottom w:val="single" w:sz="2" w:space="0" w:color="E3E3E3"/>
                            <w:right w:val="single" w:sz="2" w:space="0" w:color="E3E3E3"/>
                          </w:divBdr>
                          <w:divsChild>
                            <w:div w:id="1655258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91251">
                                  <w:marLeft w:val="0"/>
                                  <w:marRight w:val="0"/>
                                  <w:marTop w:val="0"/>
                                  <w:marBottom w:val="0"/>
                                  <w:divBdr>
                                    <w:top w:val="single" w:sz="2" w:space="0" w:color="E3E3E3"/>
                                    <w:left w:val="single" w:sz="2" w:space="0" w:color="E3E3E3"/>
                                    <w:bottom w:val="single" w:sz="2" w:space="0" w:color="E3E3E3"/>
                                    <w:right w:val="single" w:sz="2" w:space="0" w:color="E3E3E3"/>
                                  </w:divBdr>
                                  <w:divsChild>
                                    <w:div w:id="716468319">
                                      <w:marLeft w:val="0"/>
                                      <w:marRight w:val="0"/>
                                      <w:marTop w:val="0"/>
                                      <w:marBottom w:val="0"/>
                                      <w:divBdr>
                                        <w:top w:val="single" w:sz="2" w:space="0" w:color="E3E3E3"/>
                                        <w:left w:val="single" w:sz="2" w:space="0" w:color="E3E3E3"/>
                                        <w:bottom w:val="single" w:sz="2" w:space="0" w:color="E3E3E3"/>
                                        <w:right w:val="single" w:sz="2" w:space="0" w:color="E3E3E3"/>
                                      </w:divBdr>
                                      <w:divsChild>
                                        <w:div w:id="1781561073">
                                          <w:marLeft w:val="0"/>
                                          <w:marRight w:val="0"/>
                                          <w:marTop w:val="0"/>
                                          <w:marBottom w:val="0"/>
                                          <w:divBdr>
                                            <w:top w:val="single" w:sz="2" w:space="0" w:color="E3E3E3"/>
                                            <w:left w:val="single" w:sz="2" w:space="0" w:color="E3E3E3"/>
                                            <w:bottom w:val="single" w:sz="2" w:space="0" w:color="E3E3E3"/>
                                            <w:right w:val="single" w:sz="2" w:space="0" w:color="E3E3E3"/>
                                          </w:divBdr>
                                          <w:divsChild>
                                            <w:div w:id="1261179584">
                                              <w:marLeft w:val="0"/>
                                              <w:marRight w:val="0"/>
                                              <w:marTop w:val="0"/>
                                              <w:marBottom w:val="0"/>
                                              <w:divBdr>
                                                <w:top w:val="single" w:sz="2" w:space="0" w:color="E3E3E3"/>
                                                <w:left w:val="single" w:sz="2" w:space="0" w:color="E3E3E3"/>
                                                <w:bottom w:val="single" w:sz="2" w:space="0" w:color="E3E3E3"/>
                                                <w:right w:val="single" w:sz="2" w:space="0" w:color="E3E3E3"/>
                                              </w:divBdr>
                                              <w:divsChild>
                                                <w:div w:id="1901398502">
                                                  <w:marLeft w:val="0"/>
                                                  <w:marRight w:val="0"/>
                                                  <w:marTop w:val="0"/>
                                                  <w:marBottom w:val="0"/>
                                                  <w:divBdr>
                                                    <w:top w:val="single" w:sz="2" w:space="0" w:color="E3E3E3"/>
                                                    <w:left w:val="single" w:sz="2" w:space="0" w:color="E3E3E3"/>
                                                    <w:bottom w:val="single" w:sz="2" w:space="0" w:color="E3E3E3"/>
                                                    <w:right w:val="single" w:sz="2" w:space="0" w:color="E3E3E3"/>
                                                  </w:divBdr>
                                                  <w:divsChild>
                                                    <w:div w:id="26098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7035906">
          <w:marLeft w:val="0"/>
          <w:marRight w:val="0"/>
          <w:marTop w:val="0"/>
          <w:marBottom w:val="0"/>
          <w:divBdr>
            <w:top w:val="none" w:sz="0" w:space="0" w:color="auto"/>
            <w:left w:val="none" w:sz="0" w:space="0" w:color="auto"/>
            <w:bottom w:val="none" w:sz="0" w:space="0" w:color="auto"/>
            <w:right w:val="none" w:sz="0" w:space="0" w:color="auto"/>
          </w:divBdr>
        </w:div>
      </w:divsChild>
    </w:div>
    <w:div w:id="20830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Sheet1!$B$22</c:f>
              <c:strCache>
                <c:ptCount val="1"/>
                <c:pt idx="0">
                  <c:v>P(x)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Sheet1!$A$23:$A$28</c:f>
              <c:numCache>
                <c:formatCode>#,##0</c:formatCode>
                <c:ptCount val="6"/>
                <c:pt idx="0">
                  <c:v>-2000</c:v>
                </c:pt>
                <c:pt idx="1">
                  <c:v>-1000</c:v>
                </c:pt>
                <c:pt idx="2" formatCode="General">
                  <c:v>0</c:v>
                </c:pt>
                <c:pt idx="3" formatCode="General">
                  <c:v>1000</c:v>
                </c:pt>
                <c:pt idx="4" formatCode="General">
                  <c:v>2000</c:v>
                </c:pt>
                <c:pt idx="5" formatCode="General">
                  <c:v>3000</c:v>
                </c:pt>
              </c:numCache>
            </c:numRef>
          </c:xVal>
          <c:yVal>
            <c:numRef>
              <c:f>Sheet1!$B$23:$B$28</c:f>
              <c:numCache>
                <c:formatCode>General</c:formatCode>
                <c:ptCount val="6"/>
                <c:pt idx="0">
                  <c:v>0.1</c:v>
                </c:pt>
                <c:pt idx="1">
                  <c:v>0.1</c:v>
                </c:pt>
                <c:pt idx="2">
                  <c:v>0.2</c:v>
                </c:pt>
                <c:pt idx="3">
                  <c:v>0.2</c:v>
                </c:pt>
                <c:pt idx="4">
                  <c:v>0.3</c:v>
                </c:pt>
                <c:pt idx="5">
                  <c:v>0.1</c:v>
                </c:pt>
              </c:numCache>
            </c:numRef>
          </c:yVal>
          <c:smooth val="0"/>
          <c:extLst>
            <c:ext xmlns:c16="http://schemas.microsoft.com/office/drawing/2014/chart" uri="{C3380CC4-5D6E-409C-BE32-E72D297353CC}">
              <c16:uniqueId val="{00000000-DF56-43B5-9AB6-D6EBF330C500}"/>
            </c:ext>
          </c:extLst>
        </c:ser>
        <c:dLbls>
          <c:showLegendKey val="0"/>
          <c:showVal val="0"/>
          <c:showCatName val="0"/>
          <c:showSerName val="0"/>
          <c:showPercent val="0"/>
          <c:showBubbleSize val="0"/>
        </c:dLbls>
        <c:axId val="526511848"/>
        <c:axId val="526510048"/>
      </c:scatterChart>
      <c:valAx>
        <c:axId val="5265118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10048"/>
        <c:crosses val="autoZero"/>
        <c:crossBetween val="midCat"/>
      </c:valAx>
      <c:valAx>
        <c:axId val="52651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11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[Book1]Sheet1!$G$1:$G$15</cx:f>
        <cx:lvl ptCount="15" formatCode="0.00%">
          <cx:pt idx="0">0.24229999999999999</cx:pt>
          <cx:pt idx="1">0.25530000000000003</cx:pt>
          <cx:pt idx="2">0.25409999999999999</cx:pt>
          <cx:pt idx="3">0.2414</cx:pt>
          <cx:pt idx="4">0.29620000000000002</cx:pt>
          <cx:pt idx="5">0.28249999999999997</cx:pt>
          <cx:pt idx="6">0.2581</cx:pt>
          <cx:pt idx="7">0.24390000000000001</cx:pt>
          <cx:pt idx="8">0.40260000000000001</cx:pt>
          <cx:pt idx="9">0.32950000000000002</cx:pt>
          <cx:pt idx="10">0.91359999999999997</cx:pt>
          <cx:pt idx="11">0.25990000000000002</cx:pt>
          <cx:pt idx="12">0.39419999999999999</cx:pt>
          <cx:pt idx="13">0.2671</cx:pt>
          <cx:pt idx="14">0.34999999999999998</cx:pt>
        </cx:lvl>
      </cx:numDim>
    </cx:data>
  </cx:chartData>
  <cx:chart>
    <cx:title pos="t" align="ctr" overlay="0"/>
    <cx:plotArea>
      <cx:plotAreaRegion>
        <cx:series layoutId="boxWhisker" uniqueId="{91B40151-7B4C-4E3E-87A1-48388D435E1D}">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Shivangi Sharma</cp:lastModifiedBy>
  <cp:revision>2</cp:revision>
  <dcterms:created xsi:type="dcterms:W3CDTF">2024-04-13T16:01:00Z</dcterms:created>
  <dcterms:modified xsi:type="dcterms:W3CDTF">2024-04-13T16:01:00Z</dcterms:modified>
</cp:coreProperties>
</file>