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Supply Brain</w:t>
      </w:r>
    </w:p>
    <w:p>
      <w:pPr>
        <w:spacing w:after="40" w:before="160"/>
        <w:jc w:val="center"/>
      </w:pPr>
      <w:r>
        <w:rPr>
          <w:b/>
          <w:bCs/>
          <w:color w:val="2E74B5"/>
          <w:sz w:val="30"/>
          <w:szCs w:val="30"/>
        </w:rPr>
        <w:t xml:space="preserve">SKU Segmentation — Business Rationale &amp; Feature Engineering</w:t>
      </w:r>
    </w:p>
    <w:p>
      <w:pPr>
        <w:spacing w:after="800" w:before="40"/>
        <w:jc w:val="center"/>
      </w:pPr>
      <w:r>
        <w:rPr>
          <w:i/>
          <w:iCs/>
          <w:color w:val="666666"/>
          <w:sz w:val="22"/>
          <w:szCs w:val="22"/>
        </w:rPr>
        <w:t xml:space="preserve">Annual, whole-history clustering  ·  500 SKUs  ·  k = 3 (silhouette-selected)</w:t>
      </w:r>
    </w:p>
    <w:p>
      <w:pPr>
        <w:spacing w:before="2400"/>
        <w:jc w:val="center"/>
      </w:pPr>
      <w:r>
        <w:rPr>
          <w:color w:val="888888"/>
          <w:sz w:val="20"/>
          <w:szCs w:val="20"/>
        </w:rPr>
        <w:t xml:space="preserve">Prepared as supporting documentation for the Capstone segmentation module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60" w:line="276"/>
      </w:pPr>
      <w:r>
        <w:rPr>
          <w:sz w:val="21"/>
          <w:szCs w:val="21"/>
        </w:rPr>
        <w:t xml:space="preserve">The segmentation groups the 500-SKU catalog into three statistically distinct, business-interpretable segments using ten engineered features spanning demand behavior, supply reliability, network lead time, pricing, and financial performance. The clustering is not a cosmetic label — four of the ten features are statistically significant drivers of the split (ANOVA p &lt; 0.001), and the resulting segments map cleanly onto three different supply-chain postures a planner would actually manage differently.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50"/>
        <w:gridCol w:w="1200"/>
        <w:gridCol w:w="1250"/>
        <w:gridCol w:w="1250"/>
        <w:gridCol w:w="1300"/>
        <w:gridCol w:w="135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Cluster</w:t>
            </w:r>
          </w:p>
        </w:tc>
        <w:tc>
          <w:tcPr>
            <w:tcW w:type="dxa" w:w="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SKUs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of Catalog</w:t>
            </w:r>
          </w:p>
        </w:tc>
        <w:tc>
          <w:tcPr>
            <w:tcW w:type="dxa" w:w="1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of Revenue</w:t>
            </w:r>
          </w:p>
        </w:tc>
        <w:tc>
          <w:tcPr>
            <w:tcW w:type="dxa" w:w="1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of Margin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 Stockout Rate</w:t>
            </w:r>
          </w:p>
        </w:tc>
        <w:tc>
          <w:tcPr>
            <w:tcW w:type="dxa" w:w="1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 Lead Time (days)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High-Revenue / Low-Margin / Stable-Demand</w:t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25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5.0%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50.6%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52.1%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1.4%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4.3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High-Margin / Volatile / Slow-Replenish</w:t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119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23.8%</w:t>
            </w:r>
          </w:p>
        </w:tc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13.7%</w:t>
            </w:r>
          </w:p>
        </w:tc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13.7%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3.8%</w:t>
            </w:r>
          </w:p>
        </w:tc>
        <w:tc>
          <w:tcPr>
            <w:tcW w:type="dxa" w:w="1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6.2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Stockout-Risk</w:t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356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71.2%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35.6%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34.3%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4.3%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4.1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/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Headline finding: </w:t>
      </w:r>
      <w:r>
        <w:rPr>
          <w:sz w:val="21"/>
          <w:szCs w:val="21"/>
        </w:rPr>
        <w:t xml:space="preserve">just 5% of the catalog (25 SKUs) generates just over half of all revenue and margin. This is a textbook Pareto concentration, and it is the single most important fact in the segmentation for prioritizing planning effort.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Methodology Overview</w:t>
      </w:r>
    </w:p>
    <w:p>
      <w:pPr>
        <w:spacing w:after="160" w:line="276"/>
      </w:pPr>
      <w:r>
        <w:rPr>
          <w:sz w:val="21"/>
          <w:szCs w:val="21"/>
        </w:rPr>
        <w:t xml:space="preserve">The pipeline runs in three stages, all on whole-history (annual, non-seasonal) data so that each SKU is described once by its full-year behavior: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Feature engineering — </w:t>
      </w:r>
      <w:r>
        <w:rPr>
          <w:sz w:val="21"/>
          <w:szCs w:val="21"/>
        </w:rPr>
        <w:t xml:space="preserve">six independent tables are built directly from the raw operational data (demand forecasts, orders, production, inventory, and the physical distribution network), each computing one family of SKU-level metrics.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Standardization &amp; clustering — </w:t>
      </w:r>
      <w:r>
        <w:rPr>
          <w:sz w:val="21"/>
          <w:szCs w:val="21"/>
        </w:rPr>
        <w:t xml:space="preserve">the ten features used for clustering are combined into one matrix, missing values are filled with the column median (affects 1 of 500 SKUs, for lead time only — see §5), scaled with a z-score (StandardScaler), and clustered with k-means. k is chosen automatically by the highest silhouette score across k = 2–8, with a rule that k = 2 is only accepted if it wins by a wide margin — otherwise the model prefers at least 3 segments, since 2 is too coarse a foundation for differentiated inventory policy. Here k = 3 won on both counts: it had the single highest silhouette score (0.198) and did not need the floor rule.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Validation &amp; naming — </w:t>
      </w:r>
      <w:r>
        <w:rPr>
          <w:sz w:val="21"/>
          <w:szCs w:val="21"/>
        </w:rPr>
        <w:t xml:space="preserve">cluster separation is checked with a one-way ANOVA per feature (is this feature actually different across clusters, or is the split arbitrary?), and each cluster is given a business name automatically from rules applied to its feature averages, not typed in by hand — for example, a cluster only earns the “High-Revenue” tag if its share of total revenue is at least double its share of the catalog.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Feature Engineering: What Each Feature Measures, and Its Statistical Role</w:t>
      </w:r>
    </w:p>
    <w:p>
      <w:pPr>
        <w:spacing w:after="160" w:line="276"/>
      </w:pPr>
      <w:r>
        <w:rPr>
          <w:sz w:val="21"/>
          <w:szCs w:val="21"/>
        </w:rPr>
        <w:t xml:space="preserve">Ten features were computed and fed into the clustering. The table below ranks them by ANOVA F-statistic — how strongly each one actually separates the three clusters — from the raw feature matrix output.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800"/>
        <w:gridCol w:w="22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F-stat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p-value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Significant?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lead_time_std_days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1,539.7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&lt; 0.001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list_price_usd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352.2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&lt; 0.001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lead_time_mean_days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236.6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&lt; 0.001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revenue_total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128.4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&lt; 0.001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stockout_rate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2.81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0.061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(borderline)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demand_cv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2.68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0.069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(borderline)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supply_adherence_std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2.44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0.088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forecast_mape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0.33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0.719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shelf_life_days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0.15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0.864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margin_pct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0.07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0.936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/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Reading this table: </w:t>
      </w:r>
      <w:r>
        <w:rPr>
          <w:sz w:val="21"/>
          <w:szCs w:val="21"/>
        </w:rPr>
        <w:t xml:space="preserve">the clustering is really being driven by two things — how volatile and slow a SKU's replenishment path is (the two lead-time features plus, indirectly, the adherence/stockout features that ride along with it), and how commercially important the SKU is (price and revenue). The bottom six features are statistically flat across clusters — they still describe each SKU individually and are useful for profiling and downstream policy, but they are not what separates the three groups. This is a healthy result: it means the segmentation is anchored to two clear, independent business axes rather than to noise.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3.1 Demand &amp; Forecast Features</w:t>
      </w:r>
    </w:p>
    <w:p>
      <w:pPr>
        <w:spacing w:after="80" w:before="200"/>
      </w:pPr>
      <w:r>
        <w:rPr>
          <w:b/>
          <w:bCs/>
          <w:color w:val="333333"/>
          <w:sz w:val="22"/>
          <w:szCs w:val="22"/>
        </w:rPr>
        <w:t xml:space="preserve">demand_mean, demand_std, demand_cv</w:t>
      </w:r>
    </w:p>
    <w:p>
      <w:pPr>
        <w:spacing w:after="160" w:line="276"/>
      </w:pPr>
      <w:r>
        <w:rPr>
          <w:sz w:val="21"/>
          <w:szCs w:val="21"/>
        </w:rPr>
        <w:t xml:space="preserve">Source: demand_forecast.csv, filtered to horizon = “in_sample” (i.e., weeks where an actual outcome exists, not the forward-looking forecast rows). Computed per SKU across all in-sample weeks: demand_mean and demand_std are the mean and standard deviation of actual_qty; demand_cv (coefficient of variation) is demand_std ÷ demand_mean.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Business role: </w:t>
      </w:r>
      <w:r>
        <w:rPr>
          <w:sz w:val="21"/>
          <w:szCs w:val="21"/>
        </w:rPr>
        <w:t xml:space="preserve">demand_cv is the standard “how lumpy is this SKU’s demand” metric — a CV near 0 means steady, forecastable demand; a high CV means spiky, promotion- or seasonality-driven demand that needs bigger safety buffers. It was not a significant separator here (p = 0.069) because demand volatility turned out to be fairly uniform across the catalog (0.81–0.92 average CV in every cluster) — the segments differ far more on how hard the SKU is to replenish than on how erratic its demand is.</w:t>
      </w:r>
    </w:p>
    <w:p>
      <w:pPr>
        <w:spacing w:after="80" w:before="200"/>
      </w:pPr>
      <w:r>
        <w:rPr>
          <w:b/>
          <w:bCs/>
          <w:color w:val="333333"/>
          <w:sz w:val="22"/>
          <w:szCs w:val="22"/>
        </w:rPr>
        <w:t xml:space="preserve">forecast_mape</w:t>
      </w:r>
    </w:p>
    <w:p>
      <w:pPr>
        <w:spacing w:after="160" w:line="276"/>
      </w:pPr>
      <w:r>
        <w:rPr>
          <w:sz w:val="21"/>
          <w:szCs w:val="21"/>
        </w:rPr>
        <w:t xml:space="preserve">Source: same demand_forecast.csv in-sample rows; mean of the absolute value of forecast_error_pct per SKU. This is the classic Mean Absolute Percentage Error — on average, how far off was the forecast from the actual, as a percentage.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Business role: </w:t>
      </w:r>
      <w:r>
        <w:rPr>
          <w:sz w:val="21"/>
          <w:szCs w:val="21"/>
        </w:rPr>
        <w:t xml:space="preserve">flags SKUs the current forecasting process struggles with, independent of how volatile the underlying demand is. Not a cluster driver (p = 0.72), so forecast accuracy is roughly consistent across segments — worth tracking per-SKU regardless, but it is not what makes these three groups different.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3.2 Inventory Health</w:t>
      </w:r>
    </w:p>
    <w:p>
      <w:pPr>
        <w:spacing w:after="80" w:before="200"/>
      </w:pPr>
      <w:r>
        <w:rPr>
          <w:b/>
          <w:bCs/>
          <w:color w:val="333333"/>
          <w:sz w:val="22"/>
          <w:szCs w:val="22"/>
        </w:rPr>
        <w:t xml:space="preserve">stockout_rate</w:t>
      </w:r>
    </w:p>
    <w:p>
      <w:pPr>
        <w:spacing w:after="160" w:line="276"/>
      </w:pPr>
      <w:r>
        <w:rPr>
          <w:sz w:val="21"/>
          <w:szCs w:val="21"/>
        </w:rPr>
        <w:t xml:space="preserve">Source: inventory.csv. stockout_weeks counts every (SKU, DC, week) row where closing_stock = 0; total_weeks counts every (SKU, DC, week) row that exists for that SKU. stockout_rate = stockout_weeks ÷ total_weeks. Note this is a row-level rate across all DC/week combinations a SKU is stocked in — not a rate over 52 calendar weeks — so it reflects how often, across its whole distribution footprint, a SKU is sitting at zero.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Business role: </w:t>
      </w:r>
      <w:r>
        <w:rPr>
          <w:sz w:val="21"/>
          <w:szCs w:val="21"/>
        </w:rPr>
        <w:t xml:space="preserve">directly measures service-level pain. It sits just under the significance line (p = 0.061) as a cluster driver, but the Stockout-Risk segment still carries the highest average rate (4.3% of stocked location-weeks) and, combined with its enormous size (356 SKUs), the largest total dollar exposure — see stockout_exposure_usd below.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3.3 Supply Reliability</w:t>
      </w:r>
    </w:p>
    <w:p>
      <w:pPr>
        <w:spacing w:after="80" w:before="200"/>
      </w:pPr>
      <w:r>
        <w:rPr>
          <w:b/>
          <w:bCs/>
          <w:color w:val="333333"/>
          <w:sz w:val="22"/>
          <w:szCs w:val="22"/>
        </w:rPr>
        <w:t xml:space="preserve">supply_adherence_std</w:t>
      </w:r>
    </w:p>
    <w:p>
      <w:pPr>
        <w:spacing w:after="160" w:line="276"/>
      </w:pPr>
      <w:r>
        <w:rPr>
          <w:sz w:val="21"/>
          <w:szCs w:val="21"/>
        </w:rPr>
        <w:t xml:space="preserve">Source: production.csv; the standard deviation of adherence_pct per SKU across all production runs. adherence_pct presumably measures how closely actual production matched the planned quantity/schedule for that run — the standard deviation captures consistency, not average performance.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Business role: </w:t>
      </w:r>
      <w:r>
        <w:rPr>
          <w:sz w:val="21"/>
          <w:szCs w:val="21"/>
        </w:rPr>
        <w:t xml:space="preserve">a high value means a SKU’s production reliability swings a lot run to run — a signal for tighter production planning or supplier oversight. Not a significant cluster driver on its own (p = 0.088), but it correlates with the same operational-complexity story as lead-time variability.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3.4 Network Lead Time — the two strongest features in the model</w:t>
      </w:r>
    </w:p>
    <w:p>
      <w:pPr>
        <w:spacing w:after="80" w:before="200"/>
      </w:pPr>
      <w:r>
        <w:rPr>
          <w:b/>
          <w:bCs/>
          <w:color w:val="333333"/>
          <w:sz w:val="22"/>
          <w:szCs w:val="22"/>
        </w:rPr>
        <w:t xml:space="preserve">lead_time_mean_days, lead_time_std_days</w:t>
      </w:r>
    </w:p>
    <w:p>
      <w:pPr>
        <w:spacing w:after="160" w:line="276"/>
      </w:pPr>
      <w:r>
        <w:rPr>
          <w:sz w:val="21"/>
          <w:szCs w:val="21"/>
        </w:rPr>
        <w:t xml:space="preserve">Source: reconstructed from the physical distribution network in network_lanes.csv, not a single lookup table. For each SKU: (1) find its producing plant from production.csv; (2) trace every possible delivery path from that plant through its Plant Distribution Center (PDC), and where applicable onward through a Regional DC (RDC) to a Customer DC (CDC), summing each leg’s lead_time_mean_days and combining leg-level lead_time_std_days as an independent-variance sum (√Σstd²); (3) weight each destination DC’s path by that DC’s actual share of the SKU’s order volume (from orders.csv), so a SKU shipped mostly through a fast, nearby DC gets a lower lead time than one shipped mostly through a slow, distant one, even if both serve the same set of DCs on paper.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Business role: </w:t>
      </w:r>
      <w:r>
        <w:rPr>
          <w:sz w:val="21"/>
          <w:szCs w:val="21"/>
        </w:rPr>
        <w:t xml:space="preserve">this pair is by a wide margin the strongest signal in the whole model — lead_time_std_days alone has an F-statistic of 1,539.7, more than four times the next-strongest feature. In practice this means: </w:t>
      </w:r>
      <w:r>
        <w:rPr>
          <w:b/>
          <w:bCs/>
          <w:sz w:val="21"/>
          <w:szCs w:val="21"/>
        </w:rPr>
        <w:t xml:space="preserve">how far and how unpredictably a SKU has to travel through the network, weighted by where it actually ships, is the single biggest structural difference between SKU groups in this catalog</w:t>
      </w:r>
      <w:r>
        <w:rPr>
          <w:sz w:val="21"/>
          <w:szCs w:val="21"/>
        </w:rPr>
        <w:t xml:space="preserve"> — more so than price, category, or demand pattern. This is the feature that most directly informs safety-stock and buffer-sizing policy downstream in the Supply Brain system.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3.5 Revenue &amp; Margin</w:t>
      </w:r>
    </w:p>
    <w:p>
      <w:pPr>
        <w:spacing w:after="80" w:before="200"/>
      </w:pPr>
      <w:r>
        <w:rPr>
          <w:b/>
          <w:bCs/>
          <w:color w:val="333333"/>
          <w:sz w:val="22"/>
          <w:szCs w:val="22"/>
        </w:rPr>
        <w:t xml:space="preserve">revenue_total, total_margin_usd_realized, margin_pct</w:t>
      </w:r>
    </w:p>
    <w:p>
      <w:pPr>
        <w:spacing w:after="160" w:line="276"/>
      </w:pPr>
      <w:r>
        <w:rPr>
          <w:sz w:val="21"/>
          <w:szCs w:val="21"/>
        </w:rPr>
        <w:t xml:space="preserve">Source: orders.csv, restricted to actuals (order_date before 2026-01-01, i.e. excluding any forward/simulated rows), joined to sku_master.csv for unit_cost_usd and category. revenue_total is the sum of revenue_usd per SKU across the year. Per-transaction margin is (unit_price_usd − unit_cost_usd) × order_qty, summed to total_margin_usd_realized — note this uses the transaction's actual realized price, not the catalog list price, so it correctly reflects promo discounts. margin_pct comes from sku_master.csv directly (list price basis).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Business role: </w:t>
      </w:r>
      <w:r>
        <w:rPr>
          <w:sz w:val="21"/>
          <w:szCs w:val="21"/>
        </w:rPr>
        <w:t xml:space="preserve">revenue_total is a significant, strong cluster driver (F = 128.4) and is what anchors the “High-Revenue” segment — the 5% of the catalog that is 50%+ of revenue. </w:t>
      </w:r>
      <w:r>
        <w:rPr>
          <w:b/>
          <w:bCs/>
          <w:sz w:val="21"/>
          <w:szCs w:val="21"/>
        </w:rPr>
        <w:t xml:space="preserve">margin_pct, by contrast, is not a real differentiator here</w:t>
      </w:r>
      <w:r>
        <w:rPr>
          <w:sz w:val="21"/>
          <w:szCs w:val="21"/>
        </w:rPr>
        <w:t xml:space="preserve"> (F = 0.07, p = 0.94): average margin is 31.8–32.0% in all three clusters, a spread of only 0.2 percentage points. See the naming caveat in §5 — the algorithm still tags one cluster “Low-Margin,” which is statistically true of the three but not a meaningful business gap.</w:t>
      </w:r>
    </w:p>
    <w:p>
      <w:pPr>
        <w:spacing w:after="80" w:before="200"/>
      </w:pPr>
      <w:r>
        <w:rPr>
          <w:b/>
          <w:bCs/>
          <w:color w:val="333333"/>
          <w:sz w:val="22"/>
          <w:szCs w:val="22"/>
        </w:rPr>
        <w:t xml:space="preserve">stockout_exposure_usd (profiling metric, not a clustering input)</w:t>
      </w:r>
    </w:p>
    <w:p>
      <w:pPr>
        <w:spacing w:after="160" w:line="276"/>
      </w:pPr>
      <w:r>
        <w:rPr>
          <w:sz w:val="21"/>
          <w:szCs w:val="21"/>
        </w:rPr>
        <w:t xml:space="preserve">Computed after clustering as revenue_total × stockout_rate × stockout_cost_multiplier, where the multiplier is a category-level cost-of-stockout factor from cost_parameters.csv. This turns a stockout percentage into an estimated dollar cost of lost/delayed sales, and is used purely to size the financial impact of each segment, not to build the clusters themselves.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3.6 Category Price Elasticity (profiling only — never used in clustering)</w:t>
      </w:r>
    </w:p>
    <w:p>
      <w:pPr>
        <w:spacing w:after="160" w:line="276"/>
      </w:pPr>
      <w:r>
        <w:rPr>
          <w:sz w:val="21"/>
          <w:szCs w:val="21"/>
        </w:rPr>
        <w:t xml:space="preserve">Source: orders.csv, one regression per category. Quantity and price are log-transformed; a naive log(qty) ~ log(price) regression on raw order-level data is badly biased here (more popular SKUs are often also pricier, creating a spurious positive price–quantity relationship). The script corrects for this with a fixed-effects “demeaning” step — subtracting each SKU's and each period's own average from every value before regressing — which isolates genuine within-SKU, within-period price movement (e.g., a promo week) from the confound. elasticity_base is the coefficient on log(price); elasticity_promo is the coefficient on log(1 − discount_pct), i.e. the extra lift from a promotional discount beyond the price change itself.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9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elasticity_base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elasticity_promo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Beverages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-1.06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-1.35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Dairy &amp; Bakery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-1.25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-2.43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Grocery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-1.83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-2.23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Frozen Foods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-3.50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-3.50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Snacks &amp; Confectionery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-3.60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-3.57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/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Business role: </w:t>
      </w:r>
      <w:r>
        <w:rPr>
          <w:sz w:val="21"/>
          <w:szCs w:val="21"/>
        </w:rPr>
        <w:t xml:space="preserve">all five categories show sensible negative elasticity (demand falls as price rises), and Frozen Foods / Snacks are far more price-sensitive than Beverages / Dairy. This is deliberately kept out of the clustering — it is a category-level average, not a SKU-level trait, and using it as a clustering input would just re-encode “what category is this,” which is already available directly. It's included in the feature matrix for pricing and promotion strategy work downstream.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The Three Segments: Business Interpretation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Cluster 2 — “High-Revenue / Low-Margin / Stable-Demand”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70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This cluster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Catalog-wide context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SKUs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25 (5.0% of catalog)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Revenue share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50.6%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10× its catalog share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Margin share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52.1%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10× its catalog share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Avg list price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$92.35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vs. ~$10 in the other two clusters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Avg demand CV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0.81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lowest of the three (most predictable)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Avg stockout rate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1.4%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lowest of the three, by far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Avg lead time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4.3 days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shortest of the three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Category mix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88% Beverages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22 of 25 SKUs are Beverages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/>
      </w:r>
    </w:p>
    <w:p>
      <w:pPr>
        <w:spacing w:after="160" w:line="276"/>
      </w:pPr>
      <w:r>
        <w:rPr>
          <w:sz w:val="21"/>
          <w:szCs w:val="21"/>
        </w:rPr>
        <w:t xml:space="preserve">These are the crown-jewel SKUs: a small, high-priced, mostly-Beverage group that carries the business financially. They are also the best-behaved operationally — shortest lead times, lowest demand volatility, and by far the lowest stockout rate — which is exactly what you'd expect from SKUs the business already prioritizes in practice (premium, well-forecasted, tightly managed).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Caveat on the name: </w:t>
      </w:r>
      <w:r>
        <w:rPr>
          <w:sz w:val="21"/>
          <w:szCs w:val="21"/>
        </w:rPr>
        <w:t xml:space="preserve">the “Low-Margin” tag is a statistical artifact, not a real finding — see §5. In dollar terms this is the highest-margin cluster in the business by a wide margin ($20.8M, 52% of total margin from 5% of SKUs).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Recommended posture: </w:t>
      </w:r>
      <w:r>
        <w:rPr>
          <w:sz w:val="21"/>
          <w:szCs w:val="21"/>
        </w:rPr>
        <w:t xml:space="preserve">protect at all costs. These SKUs justify premium safety stock, dedicated forecasting attention, and the tightest service-level targets in the network — losing 1% of stockout rate here costs far more than the same 1% anywhere else in the catalog.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Cluster 0 — “High-Margin / Volatile / Slow-Replenish”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70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This cluster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Catalog-wide context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SKUs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119 (23.8% of catalog)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Revenue share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13.7%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roughly in line with catalog share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Margin share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13.7%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roughly in line with catalog share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Avg lead time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6.2 days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longest of the three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Lead-time std dev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3.07 days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more than double the other clusters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Avg demand CV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0.92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highest of the three (most volatile)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Avg stockout rate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3.8%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middle of the three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/>
      </w:r>
    </w:p>
    <w:p>
      <w:pPr>
        <w:spacing w:after="160" w:line="276"/>
      </w:pPr>
      <w:r>
        <w:rPr>
          <w:sz w:val="21"/>
          <w:szCs w:val="21"/>
        </w:rPr>
        <w:t xml:space="preserve">This is the operationally hardest segment to plan for: demand is the most erratic of the three groups, and replenishment is both the slowest (6.2 days average) and the least predictable (lead-time standard deviation more than double the other clusters). It's a mid-size chunk of revenue (13.7%) roughly proportional to its catalog share — not a Pareto outlier in either direction, which is why the naming rule doesn't tag it “High-Revenue” or “Long-Tail.”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Recommended posture: </w:t>
      </w:r>
      <w:r>
        <w:rPr>
          <w:sz w:val="21"/>
          <w:szCs w:val="21"/>
        </w:rPr>
        <w:t xml:space="preserve">this is where dynamic, lead-time-aware safety stock matters most — the combination of volatile demand and volatile, slow supply is the classic double-jeopardy case for buffer sizing. A strong candidate set for the “self-recalibrating buffer” logic at the core of the Supply Brain system.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Cluster 1 — “Stockout-Risk”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70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This cluster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Catalog-wide context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SKUs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356 (71.2% of catalog)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long tail — most of the SKU count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Revenue share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35.6%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below its catalog share (0.5×)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Margin share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34.3%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below its catalog share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Avg stockout rate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4.3%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highest of the three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 stockout exposure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$1.78M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60.5% of all stockout dollar exposure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Avg lead time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4.1 days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shortest of the three (tied with Cluster 2)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/>
      </w:r>
    </w:p>
    <w:p>
      <w:pPr>
        <w:spacing w:after="160" w:line="276"/>
      </w:pPr>
      <w:r>
        <w:rPr>
          <w:sz w:val="21"/>
          <w:szCs w:val="21"/>
        </w:rPr>
        <w:t xml:space="preserve">The bulk of the catalog: 356 of 500 SKUs, generating a bit over a third of revenue — below its 71% share of the catalog, so individually these are lower-value SKUs. Their defining trait is the highest stockout rate of the three clusters, and because there are so many of them, they account for 60.5% of total estimated stockout dollar exposure ($1.78M of $2.94M) even though no single SKU in the group is a stockout outlier on its own — this is a volume problem, not a severity problem.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Recommended posture: </w:t>
      </w:r>
      <w:r>
        <w:rPr>
          <w:sz w:val="21"/>
          <w:szCs w:val="21"/>
        </w:rPr>
        <w:t xml:space="preserve">not worth the same white-glove treatment as Clusters 0 and 2 individually, but collectively this is the largest pool of stockout dollars in the business. A standardized, largely automated buffer policy (rather than SKU-by-SKU tuning) is the efficient way to bring this exposure down at scale.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4"/>
          <w:szCs w:val="24"/>
        </w:rPr>
        <w:t xml:space="preserve">Visual: Cluster Separation (PCA)</w:t>
      </w:r>
    </w:p>
    <w:p>
      <w:pPr>
        <w:spacing w:after="160" w:line="276"/>
      </w:pPr>
      <w:r>
        <w:rPr>
          <w:sz w:val="21"/>
          <w:szCs w:val="21"/>
        </w:rPr>
        <w:t xml:space="preserve">The two principal components below capture 35.3% of total feature variance (PC1 20.1%, PC2 15.2%) — a 2D snapshot of a 10-dimensional separation, so some overlap in this view is expected even where clusters are statistically distinct (as confirmed by the ANOVA table in §3).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Caveats &amp; Notes for the Write-Up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“Low-Margin” naming artifact: </w:t>
      </w:r>
      <w:r>
        <w:rPr>
          <w:sz w:val="21"/>
          <w:szCs w:val="21"/>
        </w:rPr>
        <w:t xml:space="preserve">the naming rule tags Cluster 2 “Low-Margin” because its average margin_pct (31.8%) is the lowest of the three by z-score — but the actual spread across all three clusters is only 31.8%–32.0%, essentially identical in business terms. margin_pct is also not a statistically significant cluster driver (p = 0.94, §3). Recommend noting this explicitly in the report so a reviewer doesn't read “Low-Margin” as a meaningful finding — the real story for this cluster is revenue/margin concentration and operational excellence, not thin margins.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stockout_rate and demand_cv are borderline (p ≈ 0.06–0.07): </w:t>
      </w:r>
      <w:r>
        <w:rPr>
          <w:sz w:val="21"/>
          <w:szCs w:val="21"/>
        </w:rPr>
        <w:t xml:space="preserve">just above the conventional 0.05 significance threshold. They're still meaningful for describing each cluster's character (e.g., the Stockout-Risk cluster does have the highest rate in absolute terms) but shouldn't be presented as statistically proven cluster drivers with the same confidence as the top four features.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One SKU has an imputed lead time: </w:t>
      </w:r>
      <w:r>
        <w:rPr>
          <w:sz w:val="21"/>
          <w:szCs w:val="21"/>
        </w:rPr>
        <w:t xml:space="preserve">1 of 500 SKUs has no valid path through the plant → PDC → RDC/CDC network (likely a data gap in production or network-lane coverage) and was filled with the catalog median lead time before clustering. Worth a one-line disclosure in the methodology section; at n=1 it has no material effect on the results.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Elasticity and shelf life are descriptive, not diagnostic, for this segmentation: </w:t>
      </w:r>
      <w:r>
        <w:rPr>
          <w:sz w:val="21"/>
          <w:szCs w:val="21"/>
        </w:rPr>
        <w:t xml:space="preserve">both are included in the feature matrix for downstream use (pricing/promo strategy, perishability-aware policy) but neither drives the cluster split — elasticity isn't even a clustering input, and shelf_life_days is the least significant feature in the model (p = 0.86).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This is a whole-history, single global clustering: </w:t>
      </w:r>
      <w:r>
        <w:rPr>
          <w:sz w:val="21"/>
          <w:szCs w:val="21"/>
        </w:rPr>
        <w:t xml:space="preserve">all 52 weeks of the year are pooled into one feature value per SKU. It does not capture within-year regime changes (e.g., a SKU that was stable for 9 months then went volatile) — fine for an annual strategic segmentation, but worth stating as a scope boundary if the capstone also discusses a rolling or seasonal view elsewhere.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Supply Brain — SKU Segmentation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714eb1fe85166c15ba4e3c90ae817d00edc687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2026-08-29T09:15:25.666Z</dcterms:created>
  <dcterms:modified xsi:type="dcterms:W3CDTF">2026-08-29T09:15:25.666Z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