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Statistical Arbitrage &amp; Backtesting Engine</w:t>
      </w:r>
    </w:p>
    <w:p>
      <w:pPr>
        <w:jc w:val="center"/>
      </w:pPr>
      <w:r>
        <w:rPr>
          <w:b/>
          <w:sz w:val="30"/>
        </w:rPr>
        <w:t>TXN-GS Pair | Project Report</w:t>
      </w:r>
    </w:p>
    <w:p>
      <w:pPr>
        <w:jc w:val="center"/>
      </w:pPr>
      <w:r>
        <w:rPr>
          <w:i/>
          <w:sz w:val="21"/>
        </w:rPr>
        <w:t>Python research pipeline with chronological validation and out-of-sample testing</w:t>
      </w:r>
    </w:p>
    <w:p/>
    <w:p>
      <w:pPr>
        <w:pStyle w:val="Heading1"/>
      </w:pPr>
      <w:r>
        <w:t>1. Objective</w:t>
      </w:r>
    </w:p>
    <w:p>
      <w:pPr>
        <w:pStyle w:val="ListBullet"/>
        <w:spacing w:after="60"/>
      </w:pPr>
      <w:r>
        <w:t>Build and evaluate a mean-reversion statistical-arbitrage strategy using cointegration and residual-based Z-scores.</w:t>
      </w:r>
    </w:p>
    <w:p>
      <w:pPr>
        <w:pStyle w:val="ListBullet"/>
        <w:spacing w:after="60"/>
      </w:pPr>
      <w:r>
        <w:t>Test whether an apparently useful relationship in the development period persists through validation and a genuinely unseen out-of-sample period.</w:t>
      </w:r>
    </w:p>
    <w:p>
      <w:pPr>
        <w:pStyle w:val="Heading1"/>
      </w:pPr>
      <w:r>
        <w:t>2. Data</w:t>
      </w:r>
    </w:p>
    <w:p>
      <w:pPr>
        <w:pStyle w:val="ListBullet"/>
        <w:spacing w:after="60"/>
      </w:pPr>
      <w:r>
        <w:t>Daily adjusted price data for 20 liquid U.S. equities covering 2021-2025.</w:t>
      </w:r>
    </w:p>
    <w:p>
      <w:pPr>
        <w:pStyle w:val="ListBullet"/>
        <w:spacing w:after="60"/>
      </w:pPr>
      <w:r>
        <w:t>The expanded universe generated 190 possible equity pairs for training-period screening.</w:t>
      </w:r>
    </w:p>
    <w:p>
      <w:pPr>
        <w:pStyle w:val="ListBullet"/>
        <w:spacing w:after="60"/>
      </w:pPr>
      <w:r>
        <w:t>Chronological split: 2021-2023 training, 2024 validation, and 2025 final out-of-sample testing.</w:t>
      </w:r>
    </w:p>
    <w:p>
      <w:pPr>
        <w:pStyle w:val="Heading1"/>
      </w:pPr>
      <w:r>
        <w:t>3. Methodology</w:t>
      </w:r>
    </w:p>
    <w:p>
      <w:pPr>
        <w:pStyle w:val="ListBullet"/>
        <w:spacing w:after="60"/>
      </w:pPr>
      <w:r>
        <w:t>Screen candidate pairs using the Engle-Granger cointegration test on training data.</w:t>
      </w:r>
    </w:p>
    <w:p>
      <w:pPr>
        <w:pStyle w:val="ListBullet"/>
        <w:spacing w:after="60"/>
      </w:pPr>
      <w:r>
        <w:t>Estimate the hedge relationship using ordinary least squares (OLS) and construct the residual spread.</w:t>
      </w:r>
    </w:p>
    <w:p>
      <w:pPr>
        <w:pStyle w:val="ListBullet"/>
        <w:spacing w:after="60"/>
      </w:pPr>
      <w:r>
        <w:t>Apply an Augmented Dickey-Fuller (ADF) stationarity diagnostic and estimate the spread's mean-reversion half-life.</w:t>
      </w:r>
    </w:p>
    <w:p>
      <w:pPr>
        <w:pStyle w:val="ListBullet"/>
        <w:spacing w:after="60"/>
      </w:pPr>
      <w:r>
        <w:t>Use a 12-trading-day rolling Z-score for the selected TXN-GS pair.</w:t>
      </w:r>
    </w:p>
    <w:p>
      <w:pPr>
        <w:pStyle w:val="ListBullet"/>
        <w:spacing w:after="60"/>
      </w:pPr>
      <w:r>
        <w:t>Enter long spread when Z &lt; -2.0; enter short spread when Z &gt; +2.0; exit when |Z| &lt;= 0.5.</w:t>
      </w:r>
    </w:p>
    <w:p>
      <w:pPr>
        <w:pStyle w:val="ListBullet"/>
        <w:spacing w:after="60"/>
      </w:pPr>
      <w:r>
        <w:t>Apply a one-day execution lag and a simplified transaction-cost assumption of 10 basis points per unit of position turnover.</w:t>
      </w:r>
    </w:p>
    <w:p>
      <w:pPr>
        <w:pStyle w:val="Heading1"/>
      </w:pPr>
      <w:r>
        <w:t>4. Model Development</w:t>
      </w:r>
    </w:p>
    <w:p>
      <w:pPr>
        <w:pStyle w:val="ListBullet"/>
        <w:spacing w:after="60"/>
      </w:pPr>
      <w:r>
        <w:t>Selected pair: TXN-GS.</w:t>
      </w:r>
    </w:p>
    <w:p>
      <w:pPr>
        <w:pStyle w:val="ListBullet"/>
        <w:spacing w:after="60"/>
      </w:pPr>
      <w:r>
        <w:t>Training alpha: 86.4514; training beta: 0.2200.</w:t>
      </w:r>
    </w:p>
    <w:p>
      <w:pPr>
        <w:pStyle w:val="ListBullet"/>
        <w:spacing w:after="60"/>
      </w:pPr>
      <w:r>
        <w:t>Estimated half-life: 12.3 trading days; Z-score lookback: 12 trading days.</w:t>
      </w:r>
    </w:p>
    <w:p>
      <w:pPr>
        <w:pStyle w:val="ListBullet"/>
        <w:spacing w:after="60"/>
      </w:pPr>
      <w:r>
        <w:t>Training Engle-Granger cointegration p-value: 0.000993; residual ADF p-value: 0.000160.</w:t>
      </w:r>
    </w:p>
    <w:p>
      <w:pPr>
        <w:pStyle w:val="ListBullet"/>
        <w:spacing w:after="60"/>
      </w:pPr>
      <w:r>
        <w:t>The selected pair did not survive the 5% Benjamini-Hochberg false-discovery-rate correction, so the relationship should not be described as robust after multiple-testing adjustment.</w:t>
      </w:r>
    </w:p>
    <w:p>
      <w:pPr>
        <w:pStyle w:val="Heading1"/>
      </w:pPr>
      <w:r>
        <w:t>5. Results</w:t>
      </w:r>
    </w:p>
    <w:p>
      <w:pPr>
        <w:pStyle w:val="ListBullet"/>
        <w:spacing w:after="60"/>
      </w:pPr>
      <w:r>
        <w:t>2024 validation: +6.41% net return, Sharpe ratio 0.818, maximum drawdown -3.70%, and 8 trades.</w:t>
      </w:r>
    </w:p>
    <w:p>
      <w:pPr>
        <w:pStyle w:val="ListBullet"/>
        <w:spacing w:after="60"/>
      </w:pPr>
      <w:r>
        <w:t>2025 out-of-sample: -1.30% gross return and -4.22% net return.</w:t>
      </w:r>
    </w:p>
    <w:p>
      <w:pPr>
        <w:pStyle w:val="ListBullet"/>
        <w:spacing w:after="60"/>
      </w:pPr>
      <w:r>
        <w:t>2025 annualized volatility: 11.60%; Sharpe ratio: -0.317; Sortino ratio: -0.304; maximum drawdown: -9.92%.</w:t>
      </w:r>
    </w:p>
    <w:p>
      <w:pPr>
        <w:pStyle w:val="ListBullet"/>
        <w:spacing w:after="60"/>
      </w:pPr>
      <w:r>
        <w:t>2025 generated 15 entries and 15 exits. Modeled transaction costs totaled 3.00%.</w:t>
      </w:r>
    </w:p>
    <w:p>
      <w:pPr>
        <w:pStyle w:val="Heading1"/>
      </w:pPr>
      <w:r>
        <w:t>6. Interpretation</w:t>
      </w:r>
    </w:p>
    <w:p>
      <w:pPr>
        <w:pStyle w:val="ListBullet"/>
        <w:spacing w:after="60"/>
      </w:pPr>
      <w:r>
        <w:t>The positive 2024 validation result did not persist in the untouched 2025 test period.</w:t>
      </w:r>
    </w:p>
    <w:p>
      <w:pPr>
        <w:pStyle w:val="ListBullet"/>
        <w:spacing w:after="60"/>
      </w:pPr>
      <w:r>
        <w:t>Transaction costs materially worsened performance: the strategy was already slightly negative before costs, and net performance declined further after turnover costs.</w:t>
      </w:r>
    </w:p>
    <w:p>
      <w:pPr>
        <w:pStyle w:val="ListBullet"/>
        <w:spacing w:after="60"/>
      </w:pPr>
      <w:r>
        <w:t>The deterioration suggests that the estimated mean-reversion relationship was not stable enough across market regimes to support a claim of persistent profitability.</w:t>
      </w:r>
    </w:p>
    <w:p>
      <w:pPr>
        <w:pStyle w:val="ListBullet"/>
        <w:spacing w:after="60"/>
      </w:pPr>
      <w:r>
        <w:t>The result reinforces why validation and out-of-sample testing are more informative than reporting only an in-sample backtest.</w:t>
      </w:r>
    </w:p>
    <w:p>
      <w:pPr>
        <w:pStyle w:val="Heading1"/>
      </w:pPr>
      <w:r>
        <w:t>7. Limitations</w:t>
      </w:r>
    </w:p>
    <w:p>
      <w:pPr>
        <w:pStyle w:val="ListBullet"/>
        <w:spacing w:after="60"/>
      </w:pPr>
      <w:r>
        <w:t>The equity universe is limited to 20 securities and was expanded after an initial smaller-universe design.</w:t>
      </w:r>
    </w:p>
    <w:p>
      <w:pPr>
        <w:pStyle w:val="ListBullet"/>
        <w:spacing w:after="60"/>
      </w:pPr>
      <w:r>
        <w:t>The hedge ratio is fixed from the training period rather than dynamically re-estimated.</w:t>
      </w:r>
    </w:p>
    <w:p>
      <w:pPr>
        <w:pStyle w:val="ListBullet"/>
        <w:spacing w:after="60"/>
      </w:pPr>
      <w:r>
        <w:t>Transaction costs are simplified and do not model bid-ask spreads, slippage, borrow costs, market impact, or execution constraints.</w:t>
      </w:r>
    </w:p>
    <w:p>
      <w:pPr>
        <w:pStyle w:val="ListBullet"/>
        <w:spacing w:after="60"/>
      </w:pPr>
      <w:r>
        <w:t>Adjusted-close data are used rather than a full institutional trade-and-corporate-action dataset.</w:t>
      </w:r>
    </w:p>
    <w:p>
      <w:pPr>
        <w:pStyle w:val="ListBullet"/>
        <w:spacing w:after="60"/>
      </w:pPr>
      <w:r>
        <w:t>Multiple pair testing creates a false-discovery risk; the selected pair did not survive the 5% FDR correction.</w:t>
      </w:r>
    </w:p>
    <w:p>
      <w:pPr>
        <w:pStyle w:val="ListBullet"/>
        <w:spacing w:after="60"/>
      </w:pPr>
      <w:r>
        <w:t>The final out-of-sample evaluation covers one calendar year, so it cannot establish long-run robustness.</w:t>
      </w:r>
    </w:p>
    <w:p>
      <w:pPr>
        <w:pStyle w:val="Heading1"/>
      </w:pPr>
      <w:r>
        <w:t>8. Conclusion</w:t>
      </w:r>
    </w:p>
    <w:p>
      <w:pPr>
        <w:pStyle w:val="ListBullet"/>
        <w:spacing w:after="60"/>
      </w:pPr>
      <w:r>
        <w:t>The project demonstrates a complete research workflow: pair screening, statistical diagnostics, hedge estimation, signal generation, lagged execution, turnover-based costs, chronological validation, and final out-of-sample evaluation.</w:t>
      </w:r>
    </w:p>
    <w:p>
      <w:pPr>
        <w:pStyle w:val="ListBullet"/>
        <w:spacing w:after="60"/>
      </w:pPr>
      <w:r>
        <w:t>The central finding is not that the strategy is profitable. Instead, the project shows how an apparently promising validation result can weaken on unseen data, highlighting model risk, regime instability, transaction-cost sensitivity, and the importance of avoiding look-ahead bias.</w:t>
      </w:r>
    </w:p>
    <w:p>
      <w:pPr>
        <w:pStyle w:val="Heading1"/>
      </w:pPr>
      <w:r>
        <w:t>Key Performance Snapshot</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rPr>
              <w:t>Metric</w:t>
            </w:r>
          </w:p>
        </w:tc>
        <w:tc>
          <w:tcPr>
            <w:tcW w:type="dxa" w:w="3312"/>
            <w:shd w:fill="17365D"/>
          </w:tcPr>
          <w:p>
            <w:r>
              <w:rPr>
                <w:b/>
                <w:color w:val="FFFFFF"/>
              </w:rPr>
              <w:t>2024 Validation</w:t>
            </w:r>
          </w:p>
        </w:tc>
        <w:tc>
          <w:tcPr>
            <w:tcW w:type="dxa" w:w="3312"/>
            <w:shd w:fill="17365D"/>
          </w:tcPr>
          <w:p>
            <w:r>
              <w:rPr>
                <w:b/>
                <w:color w:val="FFFFFF"/>
              </w:rPr>
              <w:t>2025 Out-of-Sample</w:t>
            </w:r>
          </w:p>
        </w:tc>
      </w:tr>
      <w:tr>
        <w:tc>
          <w:tcPr>
            <w:tcW w:type="dxa" w:w="3312"/>
          </w:tcPr>
          <w:p>
            <w:r>
              <w:t>Net Return</w:t>
            </w:r>
          </w:p>
        </w:tc>
        <w:tc>
          <w:tcPr>
            <w:tcW w:type="dxa" w:w="3312"/>
          </w:tcPr>
          <w:p>
            <w:r>
              <w:t>+6.41%</w:t>
            </w:r>
          </w:p>
        </w:tc>
        <w:tc>
          <w:tcPr>
            <w:tcW w:type="dxa" w:w="3312"/>
          </w:tcPr>
          <w:p>
            <w:r>
              <w:t>-4.22%</w:t>
            </w:r>
          </w:p>
        </w:tc>
      </w:tr>
      <w:tr>
        <w:tc>
          <w:tcPr>
            <w:tcW w:type="dxa" w:w="3312"/>
          </w:tcPr>
          <w:p>
            <w:r>
              <w:t>Sharpe Ratio</w:t>
            </w:r>
          </w:p>
        </w:tc>
        <w:tc>
          <w:tcPr>
            <w:tcW w:type="dxa" w:w="3312"/>
          </w:tcPr>
          <w:p>
            <w:r>
              <w:t>0.818</w:t>
            </w:r>
          </w:p>
        </w:tc>
        <w:tc>
          <w:tcPr>
            <w:tcW w:type="dxa" w:w="3312"/>
          </w:tcPr>
          <w:p>
            <w:r>
              <w:t>-0.317</w:t>
            </w:r>
          </w:p>
        </w:tc>
      </w:tr>
      <w:tr>
        <w:tc>
          <w:tcPr>
            <w:tcW w:type="dxa" w:w="3312"/>
          </w:tcPr>
          <w:p>
            <w:r>
              <w:t>Maximum Drawdown</w:t>
            </w:r>
          </w:p>
        </w:tc>
        <w:tc>
          <w:tcPr>
            <w:tcW w:type="dxa" w:w="3312"/>
          </w:tcPr>
          <w:p>
            <w:r>
              <w:t>-3.70%</w:t>
            </w:r>
          </w:p>
        </w:tc>
        <w:tc>
          <w:tcPr>
            <w:tcW w:type="dxa" w:w="3312"/>
          </w:tcPr>
          <w:p>
            <w:r>
              <w:t>-9.92%</w:t>
            </w:r>
          </w:p>
        </w:tc>
      </w:tr>
      <w:tr>
        <w:tc>
          <w:tcPr>
            <w:tcW w:type="dxa" w:w="3312"/>
          </w:tcPr>
          <w:p>
            <w:r>
              <w:t>Trades / Entries</w:t>
            </w:r>
          </w:p>
        </w:tc>
        <w:tc>
          <w:tcPr>
            <w:tcW w:type="dxa" w:w="3312"/>
          </w:tcPr>
          <w:p>
            <w:r>
              <w:t>8 trades</w:t>
            </w:r>
          </w:p>
        </w:tc>
        <w:tc>
          <w:tcPr>
            <w:tcW w:type="dxa" w:w="3312"/>
          </w:tcPr>
          <w:p>
            <w:r>
              <w:t>15 entries / 15 exits</w:t>
            </w:r>
          </w:p>
        </w:tc>
      </w:tr>
    </w:tbl>
    <w:p/>
    <w:p>
      <w:r>
        <w:rPr>
          <w:b/>
        </w:rPr>
        <w:t xml:space="preserve">Project positioning: </w:t>
      </w:r>
      <w:r>
        <w:t>Present this as a statistical-arbitrage research and backtesting project, not as a profitable trading strategy.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