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B6E"/>
          <w:sz w:val="52"/>
          <w:szCs w:val="52"/>
        </w:rPr>
        <w:t xml:space="preserve">TITAN COMPANY LIMITED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NSE: TITAN  |  Tata Group  |  Consumer Lifestyle — Jewellery, Watches, Eyecare</w:t>
      </w:r>
    </w:p>
    <w:p>
      <w:pPr>
        <w:pBdr>
          <w:bottom w:val="single" w:color="007B6E" w:sz="12" w:space="1"/>
        </w:pBdr>
        <w:spacing w:after="120" w:before="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00"/>
      </w:tblGrid>
      <w:tr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DCF FAIR VALUE</w:t>
            </w:r>
          </w:p>
        </w:tc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CMP</w:t>
            </w:r>
          </w:p>
        </w:tc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UPSIDE/(DOWN)</w:t>
            </w:r>
          </w:p>
        </w:tc>
        <w:tc>
          <w:tcPr>
            <w:tcW w:type="dxa" w:w="180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 CAP</w:t>
            </w:r>
          </w:p>
        </w:tc>
      </w:tr>
      <w:tr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B6E"/>
                <w:sz w:val="18"/>
                <w:szCs w:val="18"/>
              </w:rPr>
              <w:t xml:space="preserve">HOLD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₹558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₹4,450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(87.5%)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₹3,95,000 Cr</w:t>
            </w:r>
          </w:p>
        </w:tc>
      </w:tr>
    </w:tbl>
    <w:p>
      <w:pPr>
        <w:spacing w:after="40" w:before="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00"/>
      </w:tblGrid>
      <w:tr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FY24 REVENUE</w:t>
            </w:r>
          </w:p>
        </w:tc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FY24 EBITDA</w:t>
            </w:r>
          </w:p>
        </w:tc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FY24 PAT</w:t>
            </w:r>
          </w:p>
        </w:tc>
        <w:tc>
          <w:tcPr>
            <w:tcW w:type="dxa" w:w="182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EV/EBITDA</w:t>
            </w:r>
          </w:p>
        </w:tc>
        <w:tc>
          <w:tcPr>
            <w:tcW w:type="dxa" w:w="180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P/E (TTM)</w:t>
            </w:r>
          </w:p>
        </w:tc>
      </w:tr>
      <w:tr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₹51,617 Cr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₹5,826 Cr (11.3%)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₹3,496 Cr (6.8%)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~68x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~90x</w:t>
            </w:r>
          </w:p>
        </w:tc>
      </w:tr>
    </w:tbl>
    <w:p>
      <w:pPr>
        <w:spacing w:after="120" w:before="0"/>
      </w:pP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INVESTMENT SUMMARY</w:t>
      </w:r>
    </w:p>
    <w:p>
      <w:pPr>
        <w:spacing w:after="40" w:before="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We initiate coverage on Titan Company Limited with a HOLD rating and a 12-month DCF-based fair value of ₹558/share (Monte Carlo median: ₹1,206; 90% CI: ₹766–₹1,992 across 10,000 simulations). While our fundamental model indicates the stock trades at a significant premium to intrinsic value, we believe this premium reflects Tanishq's long-duration franchise optionality in a ₹6 lakh crore jewellery market with only 7% organised penetration — a structural runway that a 5-year DCF cannot adequately capture. We recommend accumulating on dips below ₹3,800.</w:t>
      </w: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COMPANY OVERVIEW</w:t>
      </w:r>
    </w:p>
    <w:p>
      <w:pPr>
        <w:spacing w:after="40" w:before="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Titan Company Limited, a Tata Group flagship and NSE 50 constituent, is India's largest organised jeweller and fifth-largest watchmaker globally. The company operates three reportable segments: Jewellery (88% of segment EBIT, anchored by Tanishq and CaratLane), Watches &amp; Wearables (Titan, Fastrack, Helios), and Eyecare (Titan Eye+). Revenue has compounded at ~34% CAGR over FY21–FY24, recovering sharply from COVID-depressed FY21 levels, with the jewellery segment driving 88% of incremental EBIT generation.</w:t>
      </w: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INVESTMENT THESIS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Premiumisation of India's jewellery wallet: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Tanishq is gaining share from unorganised jewellers at an accelerating pace. Hallmarking regulations, GST formalisation, and rising consumer preference for certified jewellery are structural tailwinds. Organised penetration at 7% today vs. 35–40% in comparable Asian markets implies a multi-decade runway.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CaratLane — digital optionality underpriced: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₹4,696 Cr acquisition (FY24) consolidated a high-growth omnichannel jewellery platform with 270+ stores and strong millennial/Gen-Z penetration. Near-term earnings drag; over 5–10 years, likely Titan's highest-growth engine.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Watches re-rating: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Helios Luxe and premium positioning shifting the segment from low-margin hardware to a lifestyle play. EBIT margins recovering from negative territory (FY21: −19%) to positive and expanding.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Margin recovery thesis: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FY24 EBITDA margin compressed to 11.3% from 12.7% in FY23 due to CaratLane integration costs and bullion revenue inflating the denominator. Base case models recovery to ~12.1% by FY27E as integration normalises.</w:t>
      </w:r>
    </w:p>
    <w:p>
      <w:pPr>
        <w:spacing w:after="120" w:before="0"/>
      </w:pP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FINANCIAL SUMMARY  (Consolidated, ₹ Crore)</w:t>
      </w:r>
    </w:p>
    <w:p>
      <w:pPr>
        <w:spacing w:after="40" w:before="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360"/>
        <w:gridCol w:w="1360"/>
        <w:gridCol w:w="1360"/>
        <w:gridCol w:w="1360"/>
        <w:gridCol w:w="1360"/>
      </w:tblGrid>
      <w:tr>
        <w:tc>
          <w:tcPr>
            <w:tcW w:type="dxa" w:w="228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6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FY21A</w:t>
            </w:r>
          </w:p>
        </w:tc>
        <w:tc>
          <w:tcPr>
            <w:tcW w:type="dxa" w:w="136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FY22A</w:t>
            </w:r>
          </w:p>
        </w:tc>
        <w:tc>
          <w:tcPr>
            <w:tcW w:type="dxa" w:w="136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FY23A</w:t>
            </w:r>
          </w:p>
        </w:tc>
        <w:tc>
          <w:tcPr>
            <w:tcW w:type="dxa" w:w="136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FY24A</w:t>
            </w:r>
          </w:p>
        </w:tc>
        <w:tc>
          <w:tcPr>
            <w:tcW w:type="dxa" w:w="136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FY27E</w:t>
            </w:r>
          </w:p>
        </w:tc>
      </w:tr>
      <w:tr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Revenue (₹ Cr)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21,830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29,033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40,883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51,617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B6E"/>
                <w:sz w:val="18"/>
                <w:szCs w:val="18"/>
              </w:rPr>
              <w:t xml:space="preserve">~75,800E</w:t>
            </w:r>
          </w:p>
        </w:tc>
      </w:tr>
      <w:tr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EBITDA (₹ Cr)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1,905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3,575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5,187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5,826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B6E"/>
                <w:sz w:val="18"/>
                <w:szCs w:val="18"/>
              </w:rPr>
              <w:t xml:space="preserve">~9,200E</w:t>
            </w:r>
          </w:p>
        </w:tc>
      </w:tr>
      <w:tr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8.7%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12.3%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12.7%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11.3%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B6E"/>
                <w:sz w:val="18"/>
                <w:szCs w:val="18"/>
              </w:rPr>
              <w:t xml:space="preserve">~12.1%E</w:t>
            </w:r>
          </w:p>
        </w:tc>
      </w:tr>
      <w:tr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PAT (₹ Cr)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974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2,252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3,273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3,496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B6E"/>
                <w:sz w:val="18"/>
                <w:szCs w:val="18"/>
              </w:rPr>
              <w:t xml:space="preserve">~5,900E</w:t>
            </w:r>
          </w:p>
        </w:tc>
      </w:tr>
      <w:tr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938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1,004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B6E"/>
                <w:sz w:val="18"/>
                <w:szCs w:val="18"/>
              </w:rPr>
              <w:t xml:space="preserve">~3,200E</w:t>
            </w:r>
          </w:p>
        </w:tc>
      </w:tr>
    </w:tbl>
    <w:p>
      <w:pPr>
        <w:spacing w:after="4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Source: Titan Annual Report FY2023-24 (Consolidated). E = analyst estimates.</w:t>
      </w: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DCF VALUATION SUMMARY</w:t>
      </w:r>
    </w:p>
    <w:p>
      <w:pPr>
        <w:spacing w:after="40" w:before="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Valuation Parameter</w:t>
            </w:r>
          </w:p>
        </w:tc>
        <w:tc>
          <w:tcPr>
            <w:tcW w:type="dxa" w:w="4540"/>
            <w:tcBorders>
              <w:top w:val="single" w:color="007B6E" w:sz="1"/>
              <w:left w:val="single" w:color="007B6E" w:sz="1"/>
              <w:bottom w:val="single" w:color="007B6E" w:sz="1"/>
              <w:right w:val="single" w:color="007B6E" w:sz="1"/>
            </w:tcBorders>
            <w:shd w:fill="007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/ Assumption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WACC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9.5%  (Ke=11.8%, Kd=7.9%, 97% equity-funded)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Terminal Growth Rate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5.5%  (India nominal GDP proxy)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FCF Forecast Period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FY25E – FY29E  (5 years)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FY25E Free Cash Flow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₹1,843 Cr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FY29E Free Cash Flow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₹4,520 Cr  (25% CAGR)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PV of FCFs (FY25–FY29)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₹11,780 Cr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PV of Terminal Value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₹45,150 Cr  (79% of EV)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Enterprise Value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₹56,930 Cr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Less: Net Debt (FY24)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₹7,429 Cr  (excl. gold on loan)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Equity Value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₹49,501 Cr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Implied Price (Base DCF)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₹558 per share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Monte Carlo Median (P50)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₹1,206 per share  (v2 — structurally corrected)</w:t>
            </w:r>
          </w:p>
        </w:tc>
      </w:tr>
      <w:tr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Monte Carlo 90% CI</w:t>
            </w:r>
          </w:p>
        </w:tc>
        <w:tc>
          <w:tcPr>
            <w:tcW w:type="dxa" w:w="4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₹766 – ₹1,992 per share</w:t>
            </w:r>
          </w:p>
        </w:tc>
      </w:tr>
    </w:tbl>
    <w:p>
      <w:pPr>
        <w:spacing w:after="120" w:before="0"/>
      </w:pP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WHY DCF FAIR VALUE ≠ MARKET PRICE: THE FRANCHISE PREMIUM</w:t>
      </w:r>
    </w:p>
    <w:p>
      <w:pPr>
        <w:spacing w:after="40" w:before="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₹1,206 Monte Carlo median versus the CMP of ₹4,450 does not imply overvaluation in the traditional sense. Using a reverse DCF, the market is implicitly pricing in approximately 22% FCF CAGR over 10 years — consistent with Titan's own historical FCF CAGR and the long-run potential of Tanishq's market share journey. Our sensitivity analysis shows that a WACC of 9% and terminal growth of 6.5% (the bull case) yields an implied price of ₹1,992 (P90) — still a 55% discount to CMP, confirming that conventional DCF methodology systematically undervalues high-quality franchise businesses in high-growth economies.</w:t>
      </w: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KEY RISKS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Gold price volatility: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Jewellery EBIT margins are sensitive to gold price movements. A sustained spike reduces consumer affordability and compresses making charges.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CaratLane integration risk: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₹4,696 Cr acquisition elevated net debt from ₹1,963 Cr to ₹7,429 Cr in a single year. Integration costs and platform investment will drag FCF through FY26E.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Discretionary demand slowdown: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Titan is a premium consumer play. Any macro deterioration disproportionately impacts high-ticket jewellery purchases.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Valuation re-rating risk: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At 90x TTM PE, any earnings miss triggers outsized stock corrections. The stock already de-rated from ₹6,000+ in 2022 to ₹3,245 (52-week low).</w:t>
      </w:r>
    </w:p>
    <w:p>
      <w:pPr>
        <w:spacing w:after="120" w:before="0"/>
      </w:pPr>
    </w:p>
    <w:p>
      <w:pPr>
        <w:shd w:fill="007B6E" w:val="clear"/>
        <w:spacing w:after="0" w:before="1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9"/>
          <w:szCs w:val="19"/>
        </w:rPr>
        <w:t xml:space="preserve">METHODOLOGY NOTE: MONTE CARLO SIMULATION  (v2 — Corrected)</w:t>
      </w:r>
    </w:p>
    <w:p>
      <w:pPr>
        <w:spacing w:after="40" w:before="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We ran a 10,000-iteration Monte Carlo DCF simulation (v2) with inputs drawn from calibrated normal distributions: revenue CAGR μ=14% σ=3%, EBIT margin μ=12.0% σ=1.5% (applied to ex-bullion revenue base of ₹47,501 Cr for cleaner margin analysis), WACC μ=9.5% σ=0.8%, terminal growth μ=5.5% σ=0.7%. Working capital uses the marginal NWC rate (ΔNWC/ΔRevenue, μ=20% σ=5%) anchored to FY22–FY24 BS actuals, replacing the erroneous stock NWC% of 36% used in v1 which caused revenue growth to incorrectly destroy FCF. Pearson correlation analysis confirms WACC is the primary risk factor (r=−0.55), followed by terminal growth rate (r=+0.45) and EBIT margin (r=+0.42). Revenue CAGR correctly shows a positive correlation (r=+0.11), confirming the model is structurally sound.</w:t>
      </w:r>
    </w:p>
    <w:p>
      <w:pPr>
        <w:pBdr>
          <w:bottom w:val="single" w:color="007B6E" w:sz="12" w:space="1"/>
        </w:pBdr>
        <w:spacing w:after="12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7B6E"/>
          <w:sz w:val="20"/>
          <w:szCs w:val="20"/>
        </w:rPr>
        <w:t xml:space="preserve">Recommendation: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HOLD.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Titan's business fundamentals are exceptional — consistent market share gains, a strengthening brand moat, and an underpenetrated addressable market. At 90x PE and significantly above our DCF-derived intrinsic value, the stock is priced for perfection. Long-term investors should build positions on dips below ₹3,800. We will revisit on FY25 results, monitoring: (1) jewellery EBIT margin recovery, (2) CaratLane revenue ramp, and (3) watches segment margin trajectory.</w:t>
      </w:r>
    </w:p>
    <w:p>
      <w:pPr>
        <w:pBdr>
          <w:bottom w:val="single" w:color="007B6E" w:sz="12" w:space="1"/>
        </w:pBdr>
        <w:spacing w:after="12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Disclaimer: Independent research for academic purposes by Shivang Koul, Hansraj College, University of Delhi. Not investment advice. Data from Titan Annual Report FY2023-24 (Consolidated). Valuations based on analyst assumptions.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B6E" w:sz="6" w:space="1"/>
      </w:pBdr>
      <w:tabs>
        <w:tab w:val="right" w:pos="9000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Shivang Koul  |  BCom (Hons), Hansraj College, University of Delhi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Independent Equity Research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B6E" w:sz="6" w:space="1"/>
      </w:pBdr>
      <w:tabs>
        <w:tab w:val="right" w:pos="9000"/>
      </w:tabs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EQUITY RESEARCH  |  CONSUMER DISCRETIONARY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007B6E"/>
        <w:sz w:val="16"/>
        <w:szCs w:val="16"/>
      </w:rPr>
      <w:t xml:space="preserve">TITAN COMPANY LIMITED  |  NSE: TITAN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2026-05-24T06:11:13.258Z</dcterms:created>
  <dcterms:modified xsi:type="dcterms:W3CDTF">2026-05-24T06:11:13.258Z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