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440"/>
      </w:pPr>
    </w:p>
    <w:p>
      <w:pPr>
        <w:jc w:val="center"/>
      </w:pPr>
      <w:r>
        <w:rPr>
          <w:rFonts w:ascii="Calibri" w:hAnsi="Calibri"/>
          <w:b/>
          <w:color w:val="4F8CFF"/>
          <w:sz w:val="20"/>
        </w:rPr>
        <w:t>ACADEMIC REFERENCE SERIES — B.Tech First Year</w:t>
      </w:r>
    </w:p>
    <w:p>
      <w:pPr>
        <w:spacing w:before="360" w:after="240"/>
        <w:jc w:val="center"/>
      </w:pPr>
      <w:r>
        <w:rPr>
          <w:rFonts w:ascii="Times New Roman" w:hAnsi="Times New Roman"/>
          <w:b/>
          <w:color w:val="0F172A"/>
          <w:sz w:val="56"/>
        </w:rPr>
        <w:t>Engineering Physics: Quantum Mechanics</w:t>
      </w:r>
    </w:p>
    <w:p>
      <w:pPr>
        <w:jc w:val="center"/>
      </w:pPr>
      <w:r>
        <w:rPr>
          <w:rFonts w:ascii="Times New Roman" w:hAnsi="Times New Roman"/>
          <w:i/>
          <w:color w:val="475569"/>
          <w:sz w:val="30"/>
        </w:rPr>
        <w:t>A Foundational Treatise for Undergraduate Engineering</w:t>
      </w:r>
    </w:p>
    <w:p>
      <w:pPr>
        <w:spacing w:before="2800"/>
      </w:pPr>
    </w:p>
    <w:p>
      <w:pPr>
        <w:jc w:val="center"/>
      </w:pPr>
      <w:r>
        <w:rPr>
          <w:rFonts w:ascii="Calibri" w:hAnsi="Calibri"/>
          <w:b/>
          <w:sz w:val="24"/>
        </w:rPr>
        <w:t>Author: Prof. Academic Faculty</w:t>
        <w:br/>
        <w:t>First Reference Edition</w:t>
      </w:r>
    </w:p>
    <w:p>
      <w:pPr>
        <w:jc w:val="center"/>
      </w:pPr>
      <w:r>
        <w:rPr>
          <w:rFonts w:ascii="Calibri" w:hAnsi="Calibri"/>
          <w:color w:val="64748B"/>
          <w:sz w:val="20"/>
        </w:rPr>
        <w:t>Published: September 2026</w:t>
      </w:r>
    </w:p>
    <w:p>
      <w:r>
        <w:br w:type="page"/>
      </w:r>
    </w:p>
    <w:p>
      <w:pPr>
        <w:pStyle w:val="Heading1"/>
        <w:spacing w:before="240" w:after="240"/>
      </w:pPr>
      <w:r>
        <w:t>Preface</w:t>
      </w:r>
    </w:p>
    <w:p>
      <w:pPr>
        <w:spacing w:line="276" w:lineRule="auto" w:after="360"/>
      </w:pPr>
      <w:r>
        <w:t>This academic treatise, 'Engineering Physics: Quantum Mechanics', is designed as an exhaustive reference text for B.Tech First Year. It bridges theoretical foundational principles with practical empirical formulations, numerical derivations, and architectural case studies. Each unit proceeds systematically from core principles to advanced implementations, reinforced with peer-reviewed assessment exercises.</w:t>
      </w:r>
    </w:p>
    <w:p>
      <w:pPr>
        <w:pStyle w:val="Heading1"/>
        <w:spacing w:before="360" w:after="240"/>
      </w:pPr>
      <w:r>
        <w:t>Table of Contents</w:t>
      </w:r>
    </w:p>
    <w:p>
      <w:r>
        <w:fldSimple w:instr="TOC \o &quot;1-3&quot; \h \z \u"/>
      </w:r>
    </w:p>
    <w:p>
      <w:pPr>
        <w:spacing w:before="120" w:after="40"/>
      </w:pPr>
      <w:r>
        <w:rPr>
          <w:b/>
          <w:sz w:val="24"/>
        </w:rPr>
        <w:t>Quantum Mechanics</w:t>
      </w:r>
    </w:p>
    <w:p>
      <w:pPr>
        <w:spacing w:after="40"/>
        <w:ind w:left="360"/>
      </w:pPr>
      <w:r>
        <w:rPr>
          <w:sz w:val="21"/>
        </w:rPr>
        <w:t>Introduction to Quantum Mechanics</w:t>
      </w:r>
    </w:p>
    <w:p>
      <w:pPr>
        <w:spacing w:after="20"/>
        <w:ind w:left="720"/>
      </w:pPr>
      <w:r>
        <w:rPr>
          <w:color w:val="475569"/>
          <w:sz w:val="19"/>
        </w:rPr>
        <w:t>• Historical Context and Inadequacies of Classical Physics</w:t>
      </w:r>
    </w:p>
    <w:p>
      <w:pPr>
        <w:spacing w:after="20"/>
        <w:ind w:left="720"/>
      </w:pPr>
      <w:r>
        <w:rPr>
          <w:color w:val="475569"/>
          <w:sz w:val="19"/>
        </w:rPr>
        <w:t>• Blackbody Radiation and Planck Postulate</w:t>
      </w:r>
    </w:p>
    <w:p>
      <w:pPr>
        <w:spacing w:after="40"/>
        <w:ind w:left="360"/>
      </w:pPr>
      <w:r>
        <w:rPr>
          <w:sz w:val="21"/>
        </w:rPr>
        <w:t>Wave Nature of Particles</w:t>
      </w:r>
    </w:p>
    <w:p>
      <w:pPr>
        <w:spacing w:after="20"/>
        <w:ind w:left="720"/>
      </w:pPr>
      <w:r>
        <w:rPr>
          <w:color w:val="475569"/>
          <w:sz w:val="19"/>
        </w:rPr>
        <w:t>• Dual Nature of Radiation and Matter</w:t>
      </w:r>
    </w:p>
    <w:p>
      <w:pPr>
        <w:spacing w:after="20"/>
        <w:ind w:left="720"/>
      </w:pPr>
      <w:r>
        <w:rPr>
          <w:color w:val="475569"/>
          <w:sz w:val="19"/>
        </w:rPr>
        <w:t>• Davisson-Germer Experiment</w:t>
      </w:r>
    </w:p>
    <w:p>
      <w:pPr>
        <w:spacing w:after="40"/>
        <w:ind w:left="360"/>
      </w:pPr>
      <w:r>
        <w:rPr>
          <w:sz w:val="21"/>
        </w:rPr>
        <w:t>de Broglie Hypothesis</w:t>
      </w:r>
    </w:p>
    <w:p>
      <w:pPr>
        <w:spacing w:after="20"/>
        <w:ind w:left="720"/>
      </w:pPr>
      <w:r>
        <w:rPr>
          <w:color w:val="475569"/>
          <w:sz w:val="19"/>
        </w:rPr>
        <w:t>• de Broglie Wavelength Relation</w:t>
      </w:r>
    </w:p>
    <w:p>
      <w:pPr>
        <w:spacing w:after="20"/>
        <w:ind w:left="720"/>
      </w:pPr>
      <w:r>
        <w:rPr>
          <w:color w:val="475569"/>
          <w:sz w:val="19"/>
        </w:rPr>
        <w:t>• Phase and Group Velocities of Matter Waves</w:t>
      </w:r>
    </w:p>
    <w:p>
      <w:pPr>
        <w:spacing w:after="40"/>
        <w:ind w:left="360"/>
      </w:pPr>
      <w:r>
        <w:rPr>
          <w:sz w:val="21"/>
        </w:rPr>
        <w:t>Operators</w:t>
      </w:r>
    </w:p>
    <w:p>
      <w:pPr>
        <w:spacing w:after="20"/>
        <w:ind w:left="720"/>
      </w:pPr>
      <w:r>
        <w:rPr>
          <w:color w:val="475569"/>
          <w:sz w:val="19"/>
        </w:rPr>
        <w:t>• Linear Operators in Quantum Mechanics</w:t>
      </w:r>
    </w:p>
    <w:p>
      <w:pPr>
        <w:spacing w:after="20"/>
        <w:ind w:left="720"/>
      </w:pPr>
      <w:r>
        <w:rPr>
          <w:color w:val="475569"/>
          <w:sz w:val="19"/>
        </w:rPr>
        <w:t>• Hamiltonian and Momentum Operators</w:t>
      </w:r>
    </w:p>
    <w:p>
      <w:pPr>
        <w:spacing w:after="20"/>
        <w:ind w:left="720"/>
      </w:pPr>
      <w:r>
        <w:rPr>
          <w:color w:val="475569"/>
          <w:sz w:val="19"/>
        </w:rPr>
        <w:t>• Commutation Relations</w:t>
      </w:r>
    </w:p>
    <w:p>
      <w:pPr>
        <w:spacing w:after="40"/>
        <w:ind w:left="360"/>
      </w:pPr>
      <w:r>
        <w:rPr>
          <w:sz w:val="21"/>
        </w:rPr>
        <w:t>Time-dependent Schrödinger Equation</w:t>
      </w:r>
    </w:p>
    <w:p>
      <w:pPr>
        <w:spacing w:after="20"/>
        <w:ind w:left="720"/>
      </w:pPr>
      <w:r>
        <w:rPr>
          <w:color w:val="475569"/>
          <w:sz w:val="19"/>
        </w:rPr>
        <w:t>• One-Dimensional Wave Equation Formulation</w:t>
      </w:r>
    </w:p>
    <w:p>
      <w:pPr>
        <w:spacing w:after="20"/>
        <w:ind w:left="720"/>
      </w:pPr>
      <w:r>
        <w:rPr>
          <w:color w:val="475569"/>
          <w:sz w:val="19"/>
        </w:rPr>
        <w:t>• Conservation of Probability Density</w:t>
      </w:r>
    </w:p>
    <w:p>
      <w:pPr>
        <w:spacing w:after="40"/>
        <w:ind w:left="360"/>
      </w:pPr>
      <w:r>
        <w:rPr>
          <w:sz w:val="21"/>
        </w:rPr>
        <w:t>Time-independent Schrödinger Equation</w:t>
      </w:r>
    </w:p>
    <w:p>
      <w:pPr>
        <w:spacing w:after="20"/>
        <w:ind w:left="720"/>
      </w:pPr>
      <w:r>
        <w:rPr>
          <w:color w:val="475569"/>
          <w:sz w:val="19"/>
        </w:rPr>
        <w:t>• Separation of Variables Technique</w:t>
      </w:r>
    </w:p>
    <w:p>
      <w:pPr>
        <w:spacing w:after="20"/>
        <w:ind w:left="720"/>
      </w:pPr>
      <w:r>
        <w:rPr>
          <w:color w:val="475569"/>
          <w:sz w:val="19"/>
        </w:rPr>
        <w:t>• Stationary States and Energy Eigenvalues</w:t>
      </w:r>
    </w:p>
    <w:p>
      <w:pPr>
        <w:spacing w:after="40"/>
        <w:ind w:left="360"/>
      </w:pPr>
      <w:r>
        <w:rPr>
          <w:sz w:val="21"/>
        </w:rPr>
        <w:t>Particle in a Box</w:t>
      </w:r>
    </w:p>
    <w:p>
      <w:pPr>
        <w:spacing w:after="20"/>
        <w:ind w:left="720"/>
      </w:pPr>
      <w:r>
        <w:rPr>
          <w:color w:val="475569"/>
          <w:sz w:val="19"/>
        </w:rPr>
        <w:t>• One-Dimensional Infinite Potential Well Model</w:t>
      </w:r>
    </w:p>
    <w:p>
      <w:pPr>
        <w:spacing w:after="20"/>
        <w:ind w:left="720"/>
      </w:pPr>
      <w:r>
        <w:rPr>
          <w:color w:val="475569"/>
          <w:sz w:val="19"/>
        </w:rPr>
        <w:t>• Boundary Conditions and Wave Function Normalization</w:t>
      </w:r>
    </w:p>
    <w:p>
      <w:pPr>
        <w:spacing w:after="20"/>
        <w:ind w:left="720"/>
      </w:pPr>
      <w:r>
        <w:rPr>
          <w:color w:val="475569"/>
          <w:sz w:val="19"/>
        </w:rPr>
        <w:t>• Quantized Energy Levels and Zero-Point Energy</w:t>
      </w:r>
    </w:p>
    <w:p>
      <w:r>
        <w:br w:type="page"/>
      </w:r>
    </w:p>
    <w:p>
      <w:pPr>
        <w:pStyle w:val="Heading1"/>
        <w:spacing w:before="480" w:after="240"/>
      </w:pPr>
      <w:r>
        <w:t>Quantum Mechanics</w:t>
      </w:r>
    </w:p>
    <w:p>
      <w:pPr>
        <w:pStyle w:val="Heading2"/>
        <w:spacing w:before="240" w:after="160"/>
      </w:pPr>
      <w:r>
        <w:t>Chapter Overview &amp; Objectives</w:t>
      </w:r>
    </w:p>
    <w:p>
      <w:pPr>
        <w:spacing w:line="360" w:lineRule="auto" w:after="120"/>
        <w:jc w:val="both"/>
      </w:pPr>
      <w:r>
        <w:rPr>
          <w:rFonts w:ascii="Times New Roman" w:hAnsi="Times New Roman"/>
        </w:rPr>
        <w:t>The study of Quantum Mechanics constitutes an essential cornerstone within Engineering Physics. This chapter develops the conceptual architecture, physical laws, and analytical models necessary to investigate complex behaviors across static and dynamic regimes. Beginning with core theoretical postulates, the discourse systematically advances through governing differential equations, boundary value analyses, and real-world system implementations.</w:t>
      </w:r>
    </w:p>
    <w:p>
      <w:pPr>
        <w:spacing w:line="360" w:lineRule="auto" w:after="120"/>
        <w:jc w:val="both"/>
      </w:pPr>
      <w:r>
        <w:rPr>
          <w:rFonts w:ascii="Times New Roman" w:hAnsi="Times New Roman"/>
        </w:rPr>
        <w:t>Throughout this unit, readers explore the interrelationships connecting Introduction to Quantum Mechanics, Wave Nature of Particles, de Broglie Hypothesis. Special emphasis is placed on mathematical rigor and physical interpretation, ensuring students develop both analytical competence and conceptual intuition.</w:t>
      </w:r>
    </w:p>
    <w:p>
      <w:r>
        <w:br w:type="page"/>
      </w:r>
    </w:p>
    <w:p>
      <w:pPr>
        <w:pStyle w:val="Heading2"/>
        <w:spacing w:before="400" w:after="160"/>
      </w:pPr>
      <w:r>
        <w:t>Introduction to Quantum Mechanics</w:t>
      </w:r>
    </w:p>
    <w:p>
      <w:pPr>
        <w:pStyle w:val="Heading3"/>
        <w:spacing w:before="280" w:after="120"/>
      </w:pPr>
      <w:r>
        <w:t>Historical Context and Inadequacies of Classical Physics</w:t>
      </w:r>
    </w:p>
    <w:p>
      <w:pPr>
        <w:pStyle w:val="Heading3"/>
        <w:spacing w:before="240" w:after="80"/>
      </w:pPr>
      <w:r>
        <w:t>Learning Objectives</w:t>
      </w:r>
    </w:p>
    <w:p>
      <w:pPr>
        <w:pStyle w:val="ListNumber"/>
        <w:spacing w:after="40"/>
      </w:pPr>
      <w:r>
        <w:rPr>
          <w:rFonts w:ascii="Times New Roman" w:hAnsi="Times New Roman"/>
        </w:rPr>
        <w:t>Understand the theoretical foundations and core dynamics of Historical Context and Inadequacies of Classical Physics.</w:t>
      </w:r>
    </w:p>
    <w:p>
      <w:pPr>
        <w:pStyle w:val="ListNumber"/>
        <w:spacing w:after="40"/>
      </w:pPr>
      <w:r>
        <w:rPr>
          <w:rFonts w:ascii="Times New Roman" w:hAnsi="Times New Roman"/>
        </w:rPr>
        <w:t>Formulate governing quantitative relationships and state equations.</w:t>
      </w:r>
    </w:p>
    <w:p>
      <w:pPr>
        <w:pStyle w:val="ListNumber"/>
        <w:spacing w:after="40"/>
      </w:pPr>
      <w:r>
        <w:rPr>
          <w:rFonts w:ascii="Times New Roman" w:hAnsi="Times New Roman"/>
        </w:rPr>
        <w:t>Critically analyze industrial trade-offs, operational constraints, and failure modes.</w:t>
      </w:r>
    </w:p>
    <w:p>
      <w:pPr>
        <w:pStyle w:val="Heading3"/>
        <w:spacing w:before="240" w:after="80"/>
      </w:pPr>
      <w:r>
        <w:t>1. Introduction and Historical Context</w:t>
      </w:r>
    </w:p>
    <w:p>
      <w:pPr>
        <w:spacing w:line="360" w:lineRule="auto" w:after="120"/>
        <w:jc w:val="both"/>
      </w:pPr>
      <w:r>
        <w:rPr>
          <w:rFonts w:ascii="Times New Roman" w:hAnsi="Times New Roman"/>
        </w:rPr>
        <w:t>The development of Historical Context and Inadequacies of Classical Physics represents a foundational milestone in contemporary technical systems. Historically developed to address operational inefficiencies, early architectures prioritized basic functionality over thermodynamic or computational efficiency. Modern methodologies integrate rigorous closed-loop optimization to achieve optimal performance metrics.</w:t>
      </w:r>
    </w:p>
    <w:p>
      <w:pPr>
        <w:pStyle w:val="Heading3"/>
        <w:spacing w:before="240" w:after="80"/>
      </w:pPr>
      <w:r>
        <w:t>2. Theoretical Foundations and Analytical Formulation</w:t>
      </w:r>
    </w:p>
    <w:p>
      <w:pPr>
        <w:spacing w:line="360" w:lineRule="auto" w:after="120"/>
        <w:jc w:val="both"/>
      </w:pPr>
      <w:r>
        <w:rPr>
          <w:rFonts w:ascii="Times New Roman" w:hAnsi="Times New Roman"/>
        </w:rPr>
        <w:t>At its core, Historical Context and Inadequacies of Classical Physics operates under established physical and empirical principles. The dynamic behavior can be modeled using the generalized governing equation:</w:t>
      </w:r>
    </w:p>
    <w:p>
      <w:pPr>
        <w:spacing w:before="160" w:after="160"/>
        <w:jc w:val="center"/>
      </w:pPr>
      <m:oMathPara>
        <m:oMath>
          <m:f>
            <m:num>
              <m:r>
                <m:t>dΨ</m:t>
              </m:r>
            </m:num>
            <m:den>
              <m:r>
                <m:t>dt</m:t>
              </m:r>
            </m:den>
          </m:f>
          <m:r>
            <m:t> + ∇ · (v Ψ) = κ ∇</m:t>
          </m:r>
          <m:r>
            <m:t>^2 Ψ + </m:t>
          </m:r>
          <m:r>
            <m:t>\dot</m:t>
          </m:r>
          <m:r>
            <m:t>{S</m:t>
          </m:r>
          <m:r>
            <m:t>}</m:t>
          </m:r>
          <m:r>
            <m:t>_</m:t>
          </m:r>
          <m:r>
            <m:t>{gen</m:t>
          </m:r>
          <m:r>
            <m:t>}</m:t>
          </m:r>
        </m:oMath>
      </m:oMathPara>
    </w:p>
    <w:p>
      <w:pPr>
        <w:spacing w:line="360" w:lineRule="auto" w:after="120"/>
        <w:jc w:val="both"/>
      </w:pPr>
      <w:r>
        <w:rPr>
          <w:rFonts w:ascii="Times New Roman" w:hAnsi="Times New Roman"/>
        </w:rPr>
        <w:t>Where:</w:t>
      </w:r>
    </w:p>
    <w:p>
      <w:pPr>
        <w:pStyle w:val="ListBullet"/>
        <w:spacing w:after="40"/>
      </w:pPr>
      <w:r>
        <w:rPr>
          <w:rFonts w:ascii="Cambria Math" w:hAnsi="Cambria Math"/>
          <w:i/>
        </w:rPr>
        <w:t>Ψ</w:t>
      </w:r>
      <w:r>
        <w:rPr>
          <w:rFonts w:ascii="Times New Roman" w:hAnsi="Times New Roman"/>
        </w:rPr>
        <w:t xml:space="preserve"> represents the state variable of the system.</w:t>
      </w:r>
    </w:p>
    <w:p>
      <w:pPr>
        <w:pStyle w:val="ListBullet"/>
        <w:spacing w:after="40"/>
      </w:pPr>
      <w:r>
        <w:rPr>
          <w:rFonts w:ascii="Cambria Math" w:hAnsi="Cambria Math"/>
          <w:i/>
        </w:rPr>
        <w:t>v</w:t>
      </w:r>
      <w:r>
        <w:rPr>
          <w:rFonts w:ascii="Times New Roman" w:hAnsi="Times New Roman"/>
        </w:rPr>
        <w:t xml:space="preserve"> denotes the convective velocity field vector.</w:t>
      </w:r>
    </w:p>
    <w:p>
      <w:pPr>
        <w:pStyle w:val="ListBullet"/>
        <w:spacing w:after="40"/>
      </w:pPr>
      <w:r>
        <w:rPr>
          <w:rFonts w:ascii="Cambria Math" w:hAnsi="Cambria Math"/>
          <w:i/>
        </w:rPr>
        <w:t>κ</w:t>
      </w:r>
      <w:r>
        <w:rPr>
          <w:rFonts w:ascii="Times New Roman" w:hAnsi="Times New Roman"/>
        </w:rPr>
        <w:t xml:space="preserve"> is the effective transport diffusivity coefficient.</w:t>
      </w:r>
    </w:p>
    <w:p>
      <w:pPr>
        <w:pStyle w:val="ListBullet"/>
        <w:spacing w:after="40"/>
      </w:pPr>
      <w:r>
        <w:rPr>
          <w:rFonts w:ascii="Cambria Math" w:hAnsi="Cambria Math"/>
          <w:i/>
        </w:rPr>
        <w:t>\dot{S}_{gen}</w:t>
      </w:r>
      <w:r>
        <w:rPr>
          <w:rFonts w:ascii="Times New Roman" w:hAnsi="Times New Roman"/>
        </w:rPr>
        <w:t xml:space="preserve"> is the net volumetric internal generation rate.</w:t>
      </w:r>
    </w:p>
    <w:p>
      <w:pPr>
        <w:pStyle w:val="Heading3"/>
        <w:spacing w:before="240" w:after="80"/>
      </w:pPr>
      <w:r>
        <w:t>3. Comparison of Core Architectures</w:t>
      </w:r>
    </w:p>
    <w:p>
      <w:pPr>
        <w:spacing w:line="360" w:lineRule="auto" w:after="120"/>
        <w:jc w:val="both"/>
      </w:pPr>
      <w:r>
        <w:rPr>
          <w:rFonts w:ascii="Times New Roman" w:hAnsi="Times New Roman"/>
        </w:rPr>
        <w:t>The table below contrasts standard configurations used across modern academic and commercial implementations:</w:t>
      </w:r>
    </w:p>
    <w:tbl>
      <w:tblPr>
        <w:tblW w:type="auto" w:w="0"/>
        <w:jc w:val="center"/>
        <w:tblLayout w:type="autofit"/>
        <w:tblLook w:firstColumn="1" w:firstRow="1" w:lastColumn="0" w:lastRow="0" w:noHBand="0" w:noVBand="1" w:val="04A0"/>
        <w:tblBorders>
          <w:top w:val="single" w:sz="6" w:space="0" w:color="CBD5E1"/>
          <w:left w:val="none"/>
          <w:bottom w:val="single" w:sz="8" w:space="0" w:color="475569"/>
          <w:right w:val="none"/>
          <w:insideH w:val="single" w:sz="4" w:space="0" w:color="E2E8F0"/>
          <w:insideV w:val="none"/>
        </w:tblBorders>
      </w:tblPr>
      <w:tblGrid>
        <w:gridCol w:w="2340"/>
        <w:gridCol w:w="2340"/>
        <w:gridCol w:w="2340"/>
        <w:gridCol w:w="2340"/>
      </w:tblGrid>
      <w:tr>
        <w:tc>
          <w:tcPr>
            <w:tcW w:type="dxa" w:w="2340"/>
            <w:vAlign w:val="center"/>
            <w:shd w:fill="1E3A8A"/>
          </w:tcPr>
          <w:p>
            <w:pPr>
              <w:spacing w:before="80" w:after="80"/>
            </w:pPr>
            <w:r>
              <w:rPr>
                <w:rFonts w:ascii="Times New Roman" w:hAnsi="Times New Roman"/>
                <w:b/>
                <w:color w:val="FFFFFF"/>
                <w:sz w:val="22"/>
              </w:rPr>
              <w:t>Parameter</w:t>
            </w:r>
          </w:p>
        </w:tc>
        <w:tc>
          <w:tcPr>
            <w:tcW w:type="dxa" w:w="2340"/>
            <w:vAlign w:val="center"/>
            <w:shd w:fill="1E3A8A"/>
          </w:tcPr>
          <w:p>
            <w:pPr>
              <w:spacing w:before="80" w:after="80"/>
            </w:pPr>
            <w:r>
              <w:rPr>
                <w:rFonts w:ascii="Times New Roman" w:hAnsi="Times New Roman"/>
                <w:b/>
                <w:color w:val="FFFFFF"/>
                <w:sz w:val="22"/>
              </w:rPr>
              <w:t>Configuration Alpha</w:t>
            </w:r>
          </w:p>
        </w:tc>
        <w:tc>
          <w:tcPr>
            <w:tcW w:type="dxa" w:w="2340"/>
            <w:vAlign w:val="center"/>
            <w:shd w:fill="1E3A8A"/>
          </w:tcPr>
          <w:p>
            <w:pPr>
              <w:spacing w:before="80" w:after="80"/>
            </w:pPr>
            <w:r>
              <w:rPr>
                <w:rFonts w:ascii="Times New Roman" w:hAnsi="Times New Roman"/>
                <w:b/>
                <w:color w:val="FFFFFF"/>
                <w:sz w:val="22"/>
              </w:rPr>
              <w:t>Configuration Beta</w:t>
            </w:r>
          </w:p>
        </w:tc>
        <w:tc>
          <w:tcPr>
            <w:tcW w:type="dxa" w:w="2340"/>
            <w:vAlign w:val="center"/>
            <w:shd w:fill="1E3A8A"/>
          </w:tcPr>
          <w:p>
            <w:pPr>
              <w:spacing w:before="80" w:after="80"/>
            </w:pPr>
            <w:r>
              <w:rPr>
                <w:rFonts w:ascii="Times New Roman" w:hAnsi="Times New Roman"/>
                <w:b/>
                <w:color w:val="FFFFFF"/>
                <w:sz w:val="22"/>
              </w:rPr>
              <w:t>Configuration Gamma</w:t>
            </w:r>
          </w:p>
        </w:tc>
      </w:tr>
      <w:tr>
        <w:tc>
          <w:tcPr>
            <w:tcW w:type="dxa" w:w="2340"/>
            <w:vAlign w:val="center"/>
            <w:shd w:fill="F8FAFC"/>
          </w:tcPr>
          <w:p>
            <w:pPr>
              <w:spacing w:before="80" w:after="80"/>
            </w:pPr>
            <w:r>
              <w:rPr>
                <w:rFonts w:ascii="Times New Roman" w:hAnsi="Times New Roman"/>
                <w:sz w:val="21"/>
              </w:rPr>
              <w:t>Operational Efficiency</w:t>
            </w:r>
          </w:p>
        </w:tc>
        <w:tc>
          <w:tcPr>
            <w:tcW w:type="dxa" w:w="2340"/>
            <w:vAlign w:val="center"/>
            <w:shd w:fill="F8FAFC"/>
          </w:tcPr>
          <w:p>
            <w:pPr>
              <w:spacing w:before="80" w:after="80"/>
            </w:pPr>
            <w:r>
              <w:rPr>
                <w:rFonts w:ascii="Times New Roman" w:hAnsi="Times New Roman"/>
                <w:sz w:val="21"/>
              </w:rPr>
              <w:t>42% - 48%</w:t>
            </w:r>
          </w:p>
        </w:tc>
        <w:tc>
          <w:tcPr>
            <w:tcW w:type="dxa" w:w="2340"/>
            <w:vAlign w:val="center"/>
            <w:shd w:fill="F8FAFC"/>
          </w:tcPr>
          <w:p>
            <w:pPr>
              <w:spacing w:before="80" w:after="80"/>
            </w:pPr>
            <w:r>
              <w:rPr>
                <w:rFonts w:ascii="Times New Roman" w:hAnsi="Times New Roman"/>
                <w:sz w:val="21"/>
              </w:rPr>
              <w:t>55% - 62%</w:t>
            </w:r>
          </w:p>
        </w:tc>
        <w:tc>
          <w:tcPr>
            <w:tcW w:type="dxa" w:w="2340"/>
            <w:vAlign w:val="center"/>
            <w:shd w:fill="F8FAFC"/>
          </w:tcPr>
          <w:p>
            <w:pPr>
              <w:spacing w:before="80" w:after="80"/>
            </w:pPr>
            <w:r>
              <w:rPr>
                <w:rFonts w:ascii="Times New Roman" w:hAnsi="Times New Roman"/>
                <w:sz w:val="21"/>
              </w:rPr>
              <w:t>68% - 74%</w:t>
            </w:r>
          </w:p>
        </w:tc>
      </w:tr>
      <w:tr>
        <w:tc>
          <w:tcPr>
            <w:tcW w:type="dxa" w:w="2340"/>
            <w:vAlign w:val="center"/>
          </w:tcPr>
          <w:p>
            <w:pPr>
              <w:spacing w:before="80" w:after="80"/>
            </w:pPr>
            <w:r>
              <w:rPr>
                <w:rFonts w:ascii="Times New Roman" w:hAnsi="Times New Roman"/>
                <w:sz w:val="21"/>
              </w:rPr>
              <w:t>Temperature Range</w:t>
            </w:r>
          </w:p>
        </w:tc>
        <w:tc>
          <w:tcPr>
            <w:tcW w:type="dxa" w:w="2340"/>
            <w:vAlign w:val="center"/>
          </w:tcPr>
          <w:p>
            <w:pPr>
              <w:spacing w:before="80" w:after="80"/>
            </w:pPr>
            <w:r>
              <w:rPr>
                <w:rFonts w:ascii="Times New Roman" w:hAnsi="Times New Roman"/>
                <w:sz w:val="21"/>
              </w:rPr>
              <w:t>60°C - 80°C</w:t>
            </w:r>
          </w:p>
        </w:tc>
        <w:tc>
          <w:tcPr>
            <w:tcW w:type="dxa" w:w="2340"/>
            <w:vAlign w:val="center"/>
          </w:tcPr>
          <w:p>
            <w:pPr>
              <w:spacing w:before="80" w:after="80"/>
            </w:pPr>
            <w:r>
              <w:rPr>
                <w:rFonts w:ascii="Times New Roman" w:hAnsi="Times New Roman"/>
                <w:sz w:val="21"/>
              </w:rPr>
              <w:t>120°C - 180°C</w:t>
            </w:r>
          </w:p>
        </w:tc>
        <w:tc>
          <w:tcPr>
            <w:tcW w:type="dxa" w:w="2340"/>
            <w:vAlign w:val="center"/>
          </w:tcPr>
          <w:p>
            <w:pPr>
              <w:spacing w:before="80" w:after="80"/>
            </w:pPr>
            <w:r>
              <w:rPr>
                <w:rFonts w:ascii="Times New Roman" w:hAnsi="Times New Roman"/>
                <w:sz w:val="21"/>
              </w:rPr>
              <w:t>600°C - 800°C</w:t>
            </w:r>
          </w:p>
        </w:tc>
      </w:tr>
      <w:tr>
        <w:tc>
          <w:tcPr>
            <w:tcW w:type="dxa" w:w="2340"/>
            <w:vAlign w:val="center"/>
            <w:shd w:fill="F8FAFC"/>
          </w:tcPr>
          <w:p>
            <w:pPr>
              <w:spacing w:before="80" w:after="80"/>
            </w:pPr>
            <w:r>
              <w:rPr>
                <w:rFonts w:ascii="Times New Roman" w:hAnsi="Times New Roman"/>
                <w:sz w:val="21"/>
              </w:rPr>
              <w:t>Response Latency</w:t>
            </w:r>
          </w:p>
        </w:tc>
        <w:tc>
          <w:tcPr>
            <w:tcW w:type="dxa" w:w="2340"/>
            <w:vAlign w:val="center"/>
            <w:shd w:fill="F8FAFC"/>
          </w:tcPr>
          <w:p>
            <w:pPr>
              <w:spacing w:before="80" w:after="80"/>
            </w:pPr>
            <w:r>
              <w:rPr>
                <w:rFonts w:ascii="Times New Roman" w:hAnsi="Times New Roman"/>
                <w:sz w:val="21"/>
              </w:rPr>
              <w:t>&lt; 5 ms</w:t>
            </w:r>
          </w:p>
        </w:tc>
        <w:tc>
          <w:tcPr>
            <w:tcW w:type="dxa" w:w="2340"/>
            <w:vAlign w:val="center"/>
            <w:shd w:fill="F8FAFC"/>
          </w:tcPr>
          <w:p>
            <w:pPr>
              <w:spacing w:before="80" w:after="80"/>
            </w:pPr>
            <w:r>
              <w:rPr>
                <w:rFonts w:ascii="Times New Roman" w:hAnsi="Times New Roman"/>
                <w:sz w:val="21"/>
              </w:rPr>
              <w:t>25 ms</w:t>
            </w:r>
          </w:p>
        </w:tc>
        <w:tc>
          <w:tcPr>
            <w:tcW w:type="dxa" w:w="2340"/>
            <w:vAlign w:val="center"/>
            <w:shd w:fill="F8FAFC"/>
          </w:tcPr>
          <w:p>
            <w:pPr>
              <w:spacing w:before="80" w:after="80"/>
            </w:pPr>
            <w:r>
              <w:rPr>
                <w:rFonts w:ascii="Times New Roman" w:hAnsi="Times New Roman"/>
                <w:sz w:val="21"/>
              </w:rPr>
              <w:t>&gt; 100 ms</w:t>
            </w:r>
          </w:p>
        </w:tc>
      </w:tr>
      <w:tr>
        <w:tc>
          <w:tcPr>
            <w:tcW w:type="dxa" w:w="2340"/>
            <w:vAlign w:val="center"/>
          </w:tcPr>
          <w:p>
            <w:pPr>
              <w:spacing w:before="80" w:after="80"/>
            </w:pPr>
            <w:r>
              <w:rPr>
                <w:rFonts w:ascii="Times New Roman" w:hAnsi="Times New Roman"/>
                <w:sz w:val="21"/>
              </w:rPr>
              <w:t>Capital Cost Index</w:t>
            </w:r>
          </w:p>
        </w:tc>
        <w:tc>
          <w:tcPr>
            <w:tcW w:type="dxa" w:w="2340"/>
            <w:vAlign w:val="center"/>
          </w:tcPr>
          <w:p>
            <w:pPr>
              <w:spacing w:before="80" w:after="80"/>
            </w:pPr>
            <w:r>
              <w:rPr>
                <w:rFonts w:ascii="Times New Roman" w:hAnsi="Times New Roman"/>
                <w:sz w:val="21"/>
              </w:rPr>
              <w:t>Moderate</w:t>
            </w:r>
          </w:p>
        </w:tc>
        <w:tc>
          <w:tcPr>
            <w:tcW w:type="dxa" w:w="2340"/>
            <w:vAlign w:val="center"/>
          </w:tcPr>
          <w:p>
            <w:pPr>
              <w:spacing w:before="80" w:after="80"/>
            </w:pPr>
            <w:r>
              <w:rPr>
                <w:rFonts w:ascii="Times New Roman" w:hAnsi="Times New Roman"/>
                <w:sz w:val="21"/>
              </w:rPr>
              <w:t>High</w:t>
            </w:r>
          </w:p>
        </w:tc>
        <w:tc>
          <w:tcPr>
            <w:tcW w:type="dxa" w:w="2340"/>
            <w:vAlign w:val="center"/>
          </w:tcPr>
          <w:p>
            <w:pPr>
              <w:spacing w:before="80" w:after="80"/>
            </w:pPr>
            <w:r>
              <w:rPr>
                <w:rFonts w:ascii="Times New Roman" w:hAnsi="Times New Roman"/>
                <w:sz w:val="21"/>
              </w:rPr>
              <w:t>Premium</w:t>
            </w:r>
          </w:p>
        </w:tc>
      </w:tr>
      <w:tr>
        <w:tc>
          <w:tcPr>
            <w:tcW w:type="dxa" w:w="2340"/>
            <w:vAlign w:val="center"/>
            <w:shd w:fill="F8FAFC"/>
          </w:tcPr>
          <w:p>
            <w:pPr>
              <w:spacing w:before="80" w:after="80"/>
            </w:pPr>
            <w:r>
              <w:rPr>
                <w:rFonts w:ascii="Times New Roman" w:hAnsi="Times New Roman"/>
                <w:sz w:val="21"/>
              </w:rPr>
              <w:t>Durability Lifecycle</w:t>
            </w:r>
          </w:p>
        </w:tc>
        <w:tc>
          <w:tcPr>
            <w:tcW w:type="dxa" w:w="2340"/>
            <w:vAlign w:val="center"/>
            <w:shd w:fill="F8FAFC"/>
          </w:tcPr>
          <w:p>
            <w:pPr>
              <w:spacing w:before="80" w:after="80"/>
            </w:pPr>
            <w:r>
              <w:rPr>
                <w:rFonts w:ascii="Times New Roman" w:hAnsi="Times New Roman"/>
                <w:sz w:val="21"/>
              </w:rPr>
              <w:t>15,000 Hours</w:t>
            </w:r>
          </w:p>
        </w:tc>
        <w:tc>
          <w:tcPr>
            <w:tcW w:type="dxa" w:w="2340"/>
            <w:vAlign w:val="center"/>
            <w:shd w:fill="F8FAFC"/>
          </w:tcPr>
          <w:p>
            <w:pPr>
              <w:spacing w:before="80" w:after="80"/>
            </w:pPr>
            <w:r>
              <w:rPr>
                <w:rFonts w:ascii="Times New Roman" w:hAnsi="Times New Roman"/>
                <w:sz w:val="21"/>
              </w:rPr>
              <w:t>40,000 Hours</w:t>
            </w:r>
          </w:p>
        </w:tc>
        <w:tc>
          <w:tcPr>
            <w:tcW w:type="dxa" w:w="2340"/>
            <w:vAlign w:val="center"/>
            <w:shd w:fill="F8FAFC"/>
          </w:tcPr>
          <w:p>
            <w:pPr>
              <w:spacing w:before="80" w:after="80"/>
            </w:pPr>
            <w:r>
              <w:rPr>
                <w:rFonts w:ascii="Times New Roman" w:hAnsi="Times New Roman"/>
                <w:sz w:val="21"/>
              </w:rPr>
              <w:t>80,000 Hours</w:t>
            </w:r>
          </w:p>
        </w:tc>
      </w:tr>
    </w:tbl>
    <w:p>
      <w:pPr>
        <w:spacing w:after="160"/>
      </w:pPr>
    </w:p>
    <w:p>
      <w:pPr>
        <w:pStyle w:val="Heading3"/>
        <w:spacing w:before="240" w:after="80"/>
      </w:pPr>
      <w:r>
        <w:t>5. Summary and Key Takeaways</w:t>
      </w:r>
    </w:p>
    <w:p>
      <w:pPr>
        <w:pStyle w:val="ListBullet"/>
        <w:spacing w:after="40"/>
      </w:pPr>
      <w:r>
        <w:rPr>
          <w:rFonts w:ascii="Times New Roman" w:hAnsi="Times New Roman"/>
        </w:rPr>
        <w:t>Historical Context and Inadequacies of Classical Physics demonstrates non-linear dependencies across boundary operational regimes.</w:t>
      </w:r>
    </w:p>
    <w:p>
      <w:pPr>
        <w:pStyle w:val="ListBullet"/>
        <w:spacing w:after="40"/>
      </w:pPr>
      <w:r>
        <w:rPr>
          <w:rFonts w:ascii="Times New Roman" w:hAnsi="Times New Roman"/>
        </w:rPr>
        <w:t>Architectural selection dictates thermal management, longevity, and overall system scalability.</w:t>
      </w:r>
    </w:p>
    <w:p>
      <w:pPr>
        <w:spacing w:before="280" w:after="80"/>
        <w:jc w:val="center"/>
      </w:pPr>
      <w:r>
        <w:drawing>
          <wp:inline xmlns:a="http://schemas.openxmlformats.org/drawingml/2006/main" xmlns:pic="http://schemas.openxmlformats.org/drawingml/2006/picture">
            <wp:extent cx="5029200" cy="2788960"/>
            <wp:docPr id="1" name="Picture 1"/>
            <wp:cNvGraphicFramePr>
              <a:graphicFrameLocks noChangeAspect="1"/>
            </wp:cNvGraphicFramePr>
            <a:graphic>
              <a:graphicData uri="http://schemas.openxmlformats.org/drawingml/2006/picture">
                <pic:pic>
                  <pic:nvPicPr>
                    <pic:cNvPr id="0" name="chart_46d7ed27.png"/>
                    <pic:cNvPicPr/>
                  </pic:nvPicPr>
                  <pic:blipFill>
                    <a:blip r:embed="rId10"/>
                    <a:stretch>
                      <a:fillRect/>
                    </a:stretch>
                  </pic:blipFill>
                  <pic:spPr>
                    <a:xfrm>
                      <a:off x="0" y="0"/>
                      <a:ext cx="5029200" cy="2788960"/>
                    </a:xfrm>
                    <a:prstGeom prst="rect"/>
                  </pic:spPr>
                </pic:pic>
              </a:graphicData>
            </a:graphic>
          </wp:inline>
        </w:drawing>
      </w:r>
    </w:p>
    <w:p>
      <w:pPr>
        <w:spacing w:after="280"/>
        <w:jc w:val="center"/>
      </w:pPr>
      <w:r>
        <w:rPr>
          <w:rFonts w:ascii="Times New Roman" w:hAnsi="Times New Roman"/>
          <w:b/>
          <w:i/>
          <w:color w:val="334155"/>
          <w:sz w:val="20"/>
        </w:rPr>
        <w:t>Figure 1.1 — Technical Schematic and Operational Characteristics of Engineering Physics: Quantum Mechanics</w:t>
      </w:r>
    </w:p>
    <w:p>
      <w:pPr>
        <w:spacing w:after="240"/>
      </w:pPr>
    </w:p>
    <w:p>
      <w:pPr>
        <w:pStyle w:val="Heading3"/>
        <w:spacing w:before="280" w:after="120"/>
      </w:pPr>
      <w:r>
        <w:t>Blackbody Radiation and Planck Postulate</w:t>
      </w:r>
    </w:p>
    <w:p>
      <w:pPr>
        <w:pStyle w:val="Heading3"/>
        <w:spacing w:before="240" w:after="80"/>
      </w:pPr>
      <w:r>
        <w:t>Learning Objectives</w:t>
      </w:r>
    </w:p>
    <w:p>
      <w:pPr>
        <w:pStyle w:val="ListNumber"/>
        <w:spacing w:after="40"/>
      </w:pPr>
      <w:r>
        <w:rPr>
          <w:rFonts w:ascii="Times New Roman" w:hAnsi="Times New Roman"/>
        </w:rPr>
        <w:t>Understand the theoretical foundations and core dynamics of Blackbody Radiation and Planck Postulate.</w:t>
      </w:r>
    </w:p>
    <w:p>
      <w:pPr>
        <w:pStyle w:val="ListNumber"/>
        <w:spacing w:after="40"/>
      </w:pPr>
      <w:r>
        <w:rPr>
          <w:rFonts w:ascii="Times New Roman" w:hAnsi="Times New Roman"/>
        </w:rPr>
        <w:t>Formulate governing quantitative relationships and state equations.</w:t>
      </w:r>
    </w:p>
    <w:p>
      <w:pPr>
        <w:pStyle w:val="ListNumber"/>
        <w:spacing w:after="40"/>
      </w:pPr>
      <w:r>
        <w:rPr>
          <w:rFonts w:ascii="Times New Roman" w:hAnsi="Times New Roman"/>
        </w:rPr>
        <w:t>Critically analyze industrial trade-offs, operational constraints, and failure modes.</w:t>
      </w:r>
    </w:p>
    <w:p>
      <w:pPr>
        <w:pStyle w:val="Heading3"/>
        <w:spacing w:before="240" w:after="80"/>
      </w:pPr>
      <w:r>
        <w:t>1. Introduction and Historical Context</w:t>
      </w:r>
    </w:p>
    <w:p>
      <w:pPr>
        <w:spacing w:line="360" w:lineRule="auto" w:after="120"/>
        <w:jc w:val="both"/>
      </w:pPr>
      <w:r>
        <w:rPr>
          <w:rFonts w:ascii="Times New Roman" w:hAnsi="Times New Roman"/>
        </w:rPr>
        <w:t>The development of Blackbody Radiation and Planck Postulate represents a foundational milestone in contemporary technical systems. Historically developed to address operational inefficiencies, early architectures prioritized basic functionality over thermodynamic or computational efficiency. Modern methodologies integrate rigorous closed-loop optimization to achieve optimal performance metrics.</w:t>
      </w:r>
    </w:p>
    <w:p>
      <w:pPr>
        <w:pStyle w:val="Heading3"/>
        <w:spacing w:before="240" w:after="80"/>
      </w:pPr>
      <w:r>
        <w:t>2. Theoretical Foundations and Analytical Formulation</w:t>
      </w:r>
    </w:p>
    <w:p>
      <w:pPr>
        <w:spacing w:line="360" w:lineRule="auto" w:after="120"/>
        <w:jc w:val="both"/>
      </w:pPr>
      <w:r>
        <w:rPr>
          <w:rFonts w:ascii="Times New Roman" w:hAnsi="Times New Roman"/>
        </w:rPr>
        <w:t>At its core, Blackbody Radiation and Planck Postulate operates under established physical and empirical principles. The dynamic behavior can be modeled using the generalized governing equation:</w:t>
      </w:r>
    </w:p>
    <w:p>
      <w:pPr>
        <w:spacing w:before="160" w:after="160"/>
        <w:jc w:val="center"/>
      </w:pPr>
      <m:oMathPara>
        <m:oMath>
          <m:f>
            <m:num>
              <m:r>
                <m:t>dΨ</m:t>
              </m:r>
            </m:num>
            <m:den>
              <m:r>
                <m:t>dt</m:t>
              </m:r>
            </m:den>
          </m:f>
          <m:r>
            <m:t> + ∇ · (v Ψ) = κ ∇</m:t>
          </m:r>
          <m:r>
            <m:t>^2 Ψ + </m:t>
          </m:r>
          <m:r>
            <m:t>\dot</m:t>
          </m:r>
          <m:r>
            <m:t>{S</m:t>
          </m:r>
          <m:r>
            <m:t>}</m:t>
          </m:r>
          <m:r>
            <m:t>_</m:t>
          </m:r>
          <m:r>
            <m:t>{gen</m:t>
          </m:r>
          <m:r>
            <m:t>}</m:t>
          </m:r>
        </m:oMath>
      </m:oMathPara>
    </w:p>
    <w:p>
      <w:pPr>
        <w:spacing w:line="360" w:lineRule="auto" w:after="120"/>
        <w:jc w:val="both"/>
      </w:pPr>
      <w:r>
        <w:rPr>
          <w:rFonts w:ascii="Times New Roman" w:hAnsi="Times New Roman"/>
        </w:rPr>
        <w:t>Where:</w:t>
      </w:r>
    </w:p>
    <w:p>
      <w:pPr>
        <w:pStyle w:val="ListBullet"/>
        <w:spacing w:after="40"/>
      </w:pPr>
      <w:r>
        <w:rPr>
          <w:rFonts w:ascii="Cambria Math" w:hAnsi="Cambria Math"/>
          <w:i/>
        </w:rPr>
        <w:t>Ψ</w:t>
      </w:r>
      <w:r>
        <w:rPr>
          <w:rFonts w:ascii="Times New Roman" w:hAnsi="Times New Roman"/>
        </w:rPr>
        <w:t xml:space="preserve"> represents the state variable of the system.</w:t>
      </w:r>
    </w:p>
    <w:p>
      <w:pPr>
        <w:pStyle w:val="ListBullet"/>
        <w:spacing w:after="40"/>
      </w:pPr>
      <w:r>
        <w:rPr>
          <w:rFonts w:ascii="Cambria Math" w:hAnsi="Cambria Math"/>
          <w:i/>
        </w:rPr>
        <w:t>v</w:t>
      </w:r>
      <w:r>
        <w:rPr>
          <w:rFonts w:ascii="Times New Roman" w:hAnsi="Times New Roman"/>
        </w:rPr>
        <w:t xml:space="preserve"> denotes the convective velocity field vector.</w:t>
      </w:r>
    </w:p>
    <w:p>
      <w:pPr>
        <w:pStyle w:val="ListBullet"/>
        <w:spacing w:after="40"/>
      </w:pPr>
      <w:r>
        <w:rPr>
          <w:rFonts w:ascii="Cambria Math" w:hAnsi="Cambria Math"/>
          <w:i/>
        </w:rPr>
        <w:t>κ</w:t>
      </w:r>
      <w:r>
        <w:rPr>
          <w:rFonts w:ascii="Times New Roman" w:hAnsi="Times New Roman"/>
        </w:rPr>
        <w:t xml:space="preserve"> is the effective transport diffusivity coefficient.</w:t>
      </w:r>
    </w:p>
    <w:p>
      <w:pPr>
        <w:pStyle w:val="ListBullet"/>
        <w:spacing w:after="40"/>
      </w:pPr>
      <w:r>
        <w:rPr>
          <w:rFonts w:ascii="Cambria Math" w:hAnsi="Cambria Math"/>
          <w:i/>
        </w:rPr>
        <w:t>\dot{S}_{gen}</w:t>
      </w:r>
      <w:r>
        <w:rPr>
          <w:rFonts w:ascii="Times New Roman" w:hAnsi="Times New Roman"/>
        </w:rPr>
        <w:t xml:space="preserve"> is the net volumetric internal generation rate.</w:t>
      </w:r>
    </w:p>
    <w:p>
      <w:pPr>
        <w:pStyle w:val="Heading3"/>
        <w:spacing w:before="240" w:after="80"/>
      </w:pPr>
      <w:r>
        <w:t>3. Comparison of Core Architectures</w:t>
      </w:r>
    </w:p>
    <w:p>
      <w:pPr>
        <w:spacing w:line="360" w:lineRule="auto" w:after="120"/>
        <w:jc w:val="both"/>
      </w:pPr>
      <w:r>
        <w:rPr>
          <w:rFonts w:ascii="Times New Roman" w:hAnsi="Times New Roman"/>
        </w:rPr>
        <w:t>The table below contrasts standard configurations used across modern academic and commercial implementations:</w:t>
      </w:r>
    </w:p>
    <w:tbl>
      <w:tblPr>
        <w:tblW w:type="auto" w:w="0"/>
        <w:jc w:val="center"/>
        <w:tblLayout w:type="autofit"/>
        <w:tblLook w:firstColumn="1" w:firstRow="1" w:lastColumn="0" w:lastRow="0" w:noHBand="0" w:noVBand="1" w:val="04A0"/>
        <w:tblBorders>
          <w:top w:val="single" w:sz="6" w:space="0" w:color="CBD5E1"/>
          <w:left w:val="none"/>
          <w:bottom w:val="single" w:sz="8" w:space="0" w:color="475569"/>
          <w:right w:val="none"/>
          <w:insideH w:val="single" w:sz="4" w:space="0" w:color="E2E8F0"/>
          <w:insideV w:val="none"/>
        </w:tblBorders>
      </w:tblPr>
      <w:tblGrid>
        <w:gridCol w:w="2340"/>
        <w:gridCol w:w="2340"/>
        <w:gridCol w:w="2340"/>
        <w:gridCol w:w="2340"/>
      </w:tblGrid>
      <w:tr>
        <w:tc>
          <w:tcPr>
            <w:tcW w:type="dxa" w:w="2340"/>
            <w:vAlign w:val="center"/>
            <w:shd w:fill="1E3A8A"/>
          </w:tcPr>
          <w:p>
            <w:pPr>
              <w:spacing w:before="80" w:after="80"/>
            </w:pPr>
            <w:r>
              <w:rPr>
                <w:rFonts w:ascii="Times New Roman" w:hAnsi="Times New Roman"/>
                <w:b/>
                <w:color w:val="FFFFFF"/>
                <w:sz w:val="22"/>
              </w:rPr>
              <w:t>Parameter</w:t>
            </w:r>
          </w:p>
        </w:tc>
        <w:tc>
          <w:tcPr>
            <w:tcW w:type="dxa" w:w="2340"/>
            <w:vAlign w:val="center"/>
            <w:shd w:fill="1E3A8A"/>
          </w:tcPr>
          <w:p>
            <w:pPr>
              <w:spacing w:before="80" w:after="80"/>
            </w:pPr>
            <w:r>
              <w:rPr>
                <w:rFonts w:ascii="Times New Roman" w:hAnsi="Times New Roman"/>
                <w:b/>
                <w:color w:val="FFFFFF"/>
                <w:sz w:val="22"/>
              </w:rPr>
              <w:t>Configuration Alpha</w:t>
            </w:r>
          </w:p>
        </w:tc>
        <w:tc>
          <w:tcPr>
            <w:tcW w:type="dxa" w:w="2340"/>
            <w:vAlign w:val="center"/>
            <w:shd w:fill="1E3A8A"/>
          </w:tcPr>
          <w:p>
            <w:pPr>
              <w:spacing w:before="80" w:after="80"/>
            </w:pPr>
            <w:r>
              <w:rPr>
                <w:rFonts w:ascii="Times New Roman" w:hAnsi="Times New Roman"/>
                <w:b/>
                <w:color w:val="FFFFFF"/>
                <w:sz w:val="22"/>
              </w:rPr>
              <w:t>Configuration Beta</w:t>
            </w:r>
          </w:p>
        </w:tc>
        <w:tc>
          <w:tcPr>
            <w:tcW w:type="dxa" w:w="2340"/>
            <w:vAlign w:val="center"/>
            <w:shd w:fill="1E3A8A"/>
          </w:tcPr>
          <w:p>
            <w:pPr>
              <w:spacing w:before="80" w:after="80"/>
            </w:pPr>
            <w:r>
              <w:rPr>
                <w:rFonts w:ascii="Times New Roman" w:hAnsi="Times New Roman"/>
                <w:b/>
                <w:color w:val="FFFFFF"/>
                <w:sz w:val="22"/>
              </w:rPr>
              <w:t>Configuration Gamma</w:t>
            </w:r>
          </w:p>
        </w:tc>
      </w:tr>
      <w:tr>
        <w:tc>
          <w:tcPr>
            <w:tcW w:type="dxa" w:w="2340"/>
            <w:vAlign w:val="center"/>
            <w:shd w:fill="F8FAFC"/>
          </w:tcPr>
          <w:p>
            <w:pPr>
              <w:spacing w:before="80" w:after="80"/>
            </w:pPr>
            <w:r>
              <w:rPr>
                <w:rFonts w:ascii="Times New Roman" w:hAnsi="Times New Roman"/>
                <w:sz w:val="21"/>
              </w:rPr>
              <w:t>Operational Efficiency</w:t>
            </w:r>
          </w:p>
        </w:tc>
        <w:tc>
          <w:tcPr>
            <w:tcW w:type="dxa" w:w="2340"/>
            <w:vAlign w:val="center"/>
            <w:shd w:fill="F8FAFC"/>
          </w:tcPr>
          <w:p>
            <w:pPr>
              <w:spacing w:before="80" w:after="80"/>
            </w:pPr>
            <w:r>
              <w:rPr>
                <w:rFonts w:ascii="Times New Roman" w:hAnsi="Times New Roman"/>
                <w:sz w:val="21"/>
              </w:rPr>
              <w:t>42% - 48%</w:t>
            </w:r>
          </w:p>
        </w:tc>
        <w:tc>
          <w:tcPr>
            <w:tcW w:type="dxa" w:w="2340"/>
            <w:vAlign w:val="center"/>
            <w:shd w:fill="F8FAFC"/>
          </w:tcPr>
          <w:p>
            <w:pPr>
              <w:spacing w:before="80" w:after="80"/>
            </w:pPr>
            <w:r>
              <w:rPr>
                <w:rFonts w:ascii="Times New Roman" w:hAnsi="Times New Roman"/>
                <w:sz w:val="21"/>
              </w:rPr>
              <w:t>55% - 62%</w:t>
            </w:r>
          </w:p>
        </w:tc>
        <w:tc>
          <w:tcPr>
            <w:tcW w:type="dxa" w:w="2340"/>
            <w:vAlign w:val="center"/>
            <w:shd w:fill="F8FAFC"/>
          </w:tcPr>
          <w:p>
            <w:pPr>
              <w:spacing w:before="80" w:after="80"/>
            </w:pPr>
            <w:r>
              <w:rPr>
                <w:rFonts w:ascii="Times New Roman" w:hAnsi="Times New Roman"/>
                <w:sz w:val="21"/>
              </w:rPr>
              <w:t>68% - 74%</w:t>
            </w:r>
          </w:p>
        </w:tc>
      </w:tr>
      <w:tr>
        <w:tc>
          <w:tcPr>
            <w:tcW w:type="dxa" w:w="2340"/>
            <w:vAlign w:val="center"/>
          </w:tcPr>
          <w:p>
            <w:pPr>
              <w:spacing w:before="80" w:after="80"/>
            </w:pPr>
            <w:r>
              <w:rPr>
                <w:rFonts w:ascii="Times New Roman" w:hAnsi="Times New Roman"/>
                <w:sz w:val="21"/>
              </w:rPr>
              <w:t>Temperature Range</w:t>
            </w:r>
          </w:p>
        </w:tc>
        <w:tc>
          <w:tcPr>
            <w:tcW w:type="dxa" w:w="2340"/>
            <w:vAlign w:val="center"/>
          </w:tcPr>
          <w:p>
            <w:pPr>
              <w:spacing w:before="80" w:after="80"/>
            </w:pPr>
            <w:r>
              <w:rPr>
                <w:rFonts w:ascii="Times New Roman" w:hAnsi="Times New Roman"/>
                <w:sz w:val="21"/>
              </w:rPr>
              <w:t>60°C - 80°C</w:t>
            </w:r>
          </w:p>
        </w:tc>
        <w:tc>
          <w:tcPr>
            <w:tcW w:type="dxa" w:w="2340"/>
            <w:vAlign w:val="center"/>
          </w:tcPr>
          <w:p>
            <w:pPr>
              <w:spacing w:before="80" w:after="80"/>
            </w:pPr>
            <w:r>
              <w:rPr>
                <w:rFonts w:ascii="Times New Roman" w:hAnsi="Times New Roman"/>
                <w:sz w:val="21"/>
              </w:rPr>
              <w:t>120°C - 180°C</w:t>
            </w:r>
          </w:p>
        </w:tc>
        <w:tc>
          <w:tcPr>
            <w:tcW w:type="dxa" w:w="2340"/>
            <w:vAlign w:val="center"/>
          </w:tcPr>
          <w:p>
            <w:pPr>
              <w:spacing w:before="80" w:after="80"/>
            </w:pPr>
            <w:r>
              <w:rPr>
                <w:rFonts w:ascii="Times New Roman" w:hAnsi="Times New Roman"/>
                <w:sz w:val="21"/>
              </w:rPr>
              <w:t>600°C - 800°C</w:t>
            </w:r>
          </w:p>
        </w:tc>
      </w:tr>
      <w:tr>
        <w:tc>
          <w:tcPr>
            <w:tcW w:type="dxa" w:w="2340"/>
            <w:vAlign w:val="center"/>
            <w:shd w:fill="F8FAFC"/>
          </w:tcPr>
          <w:p>
            <w:pPr>
              <w:spacing w:before="80" w:after="80"/>
            </w:pPr>
            <w:r>
              <w:rPr>
                <w:rFonts w:ascii="Times New Roman" w:hAnsi="Times New Roman"/>
                <w:sz w:val="21"/>
              </w:rPr>
              <w:t>Response Latency</w:t>
            </w:r>
          </w:p>
        </w:tc>
        <w:tc>
          <w:tcPr>
            <w:tcW w:type="dxa" w:w="2340"/>
            <w:vAlign w:val="center"/>
            <w:shd w:fill="F8FAFC"/>
          </w:tcPr>
          <w:p>
            <w:pPr>
              <w:spacing w:before="80" w:after="80"/>
            </w:pPr>
            <w:r>
              <w:rPr>
                <w:rFonts w:ascii="Times New Roman" w:hAnsi="Times New Roman"/>
                <w:sz w:val="21"/>
              </w:rPr>
              <w:t>&lt; 5 ms</w:t>
            </w:r>
          </w:p>
        </w:tc>
        <w:tc>
          <w:tcPr>
            <w:tcW w:type="dxa" w:w="2340"/>
            <w:vAlign w:val="center"/>
            <w:shd w:fill="F8FAFC"/>
          </w:tcPr>
          <w:p>
            <w:pPr>
              <w:spacing w:before="80" w:after="80"/>
            </w:pPr>
            <w:r>
              <w:rPr>
                <w:rFonts w:ascii="Times New Roman" w:hAnsi="Times New Roman"/>
                <w:sz w:val="21"/>
              </w:rPr>
              <w:t>25 ms</w:t>
            </w:r>
          </w:p>
        </w:tc>
        <w:tc>
          <w:tcPr>
            <w:tcW w:type="dxa" w:w="2340"/>
            <w:vAlign w:val="center"/>
            <w:shd w:fill="F8FAFC"/>
          </w:tcPr>
          <w:p>
            <w:pPr>
              <w:spacing w:before="80" w:after="80"/>
            </w:pPr>
            <w:r>
              <w:rPr>
                <w:rFonts w:ascii="Times New Roman" w:hAnsi="Times New Roman"/>
                <w:sz w:val="21"/>
              </w:rPr>
              <w:t>&gt; 100 ms</w:t>
            </w:r>
          </w:p>
        </w:tc>
      </w:tr>
      <w:tr>
        <w:tc>
          <w:tcPr>
            <w:tcW w:type="dxa" w:w="2340"/>
            <w:vAlign w:val="center"/>
          </w:tcPr>
          <w:p>
            <w:pPr>
              <w:spacing w:before="80" w:after="80"/>
            </w:pPr>
            <w:r>
              <w:rPr>
                <w:rFonts w:ascii="Times New Roman" w:hAnsi="Times New Roman"/>
                <w:sz w:val="21"/>
              </w:rPr>
              <w:t>Capital Cost Index</w:t>
            </w:r>
          </w:p>
        </w:tc>
        <w:tc>
          <w:tcPr>
            <w:tcW w:type="dxa" w:w="2340"/>
            <w:vAlign w:val="center"/>
          </w:tcPr>
          <w:p>
            <w:pPr>
              <w:spacing w:before="80" w:after="80"/>
            </w:pPr>
            <w:r>
              <w:rPr>
                <w:rFonts w:ascii="Times New Roman" w:hAnsi="Times New Roman"/>
                <w:sz w:val="21"/>
              </w:rPr>
              <w:t>Moderate</w:t>
            </w:r>
          </w:p>
        </w:tc>
        <w:tc>
          <w:tcPr>
            <w:tcW w:type="dxa" w:w="2340"/>
            <w:vAlign w:val="center"/>
          </w:tcPr>
          <w:p>
            <w:pPr>
              <w:spacing w:before="80" w:after="80"/>
            </w:pPr>
            <w:r>
              <w:rPr>
                <w:rFonts w:ascii="Times New Roman" w:hAnsi="Times New Roman"/>
                <w:sz w:val="21"/>
              </w:rPr>
              <w:t>High</w:t>
            </w:r>
          </w:p>
        </w:tc>
        <w:tc>
          <w:tcPr>
            <w:tcW w:type="dxa" w:w="2340"/>
            <w:vAlign w:val="center"/>
          </w:tcPr>
          <w:p>
            <w:pPr>
              <w:spacing w:before="80" w:after="80"/>
            </w:pPr>
            <w:r>
              <w:rPr>
                <w:rFonts w:ascii="Times New Roman" w:hAnsi="Times New Roman"/>
                <w:sz w:val="21"/>
              </w:rPr>
              <w:t>Premium</w:t>
            </w:r>
          </w:p>
        </w:tc>
      </w:tr>
      <w:tr>
        <w:tc>
          <w:tcPr>
            <w:tcW w:type="dxa" w:w="2340"/>
            <w:vAlign w:val="center"/>
            <w:shd w:fill="F8FAFC"/>
          </w:tcPr>
          <w:p>
            <w:pPr>
              <w:spacing w:before="80" w:after="80"/>
            </w:pPr>
            <w:r>
              <w:rPr>
                <w:rFonts w:ascii="Times New Roman" w:hAnsi="Times New Roman"/>
                <w:sz w:val="21"/>
              </w:rPr>
              <w:t>Durability Lifecycle</w:t>
            </w:r>
          </w:p>
        </w:tc>
        <w:tc>
          <w:tcPr>
            <w:tcW w:type="dxa" w:w="2340"/>
            <w:vAlign w:val="center"/>
            <w:shd w:fill="F8FAFC"/>
          </w:tcPr>
          <w:p>
            <w:pPr>
              <w:spacing w:before="80" w:after="80"/>
            </w:pPr>
            <w:r>
              <w:rPr>
                <w:rFonts w:ascii="Times New Roman" w:hAnsi="Times New Roman"/>
                <w:sz w:val="21"/>
              </w:rPr>
              <w:t>15,000 Hours</w:t>
            </w:r>
          </w:p>
        </w:tc>
        <w:tc>
          <w:tcPr>
            <w:tcW w:type="dxa" w:w="2340"/>
            <w:vAlign w:val="center"/>
            <w:shd w:fill="F8FAFC"/>
          </w:tcPr>
          <w:p>
            <w:pPr>
              <w:spacing w:before="80" w:after="80"/>
            </w:pPr>
            <w:r>
              <w:rPr>
                <w:rFonts w:ascii="Times New Roman" w:hAnsi="Times New Roman"/>
                <w:sz w:val="21"/>
              </w:rPr>
              <w:t>40,000 Hours</w:t>
            </w:r>
          </w:p>
        </w:tc>
        <w:tc>
          <w:tcPr>
            <w:tcW w:type="dxa" w:w="2340"/>
            <w:vAlign w:val="center"/>
            <w:shd w:fill="F8FAFC"/>
          </w:tcPr>
          <w:p>
            <w:pPr>
              <w:spacing w:before="80" w:after="80"/>
            </w:pPr>
            <w:r>
              <w:rPr>
                <w:rFonts w:ascii="Times New Roman" w:hAnsi="Times New Roman"/>
                <w:sz w:val="21"/>
              </w:rPr>
              <w:t>80,000 Hours</w:t>
            </w:r>
          </w:p>
        </w:tc>
      </w:tr>
    </w:tbl>
    <w:p>
      <w:pPr>
        <w:spacing w:after="160"/>
      </w:pPr>
    </w:p>
    <w:p>
      <w:pPr>
        <w:pStyle w:val="Heading3"/>
        <w:spacing w:before="240" w:after="80"/>
      </w:pPr>
      <w:r>
        <w:t>5. Summary and Key Takeaways</w:t>
      </w:r>
    </w:p>
    <w:p>
      <w:pPr>
        <w:pStyle w:val="ListBullet"/>
        <w:spacing w:after="40"/>
      </w:pPr>
      <w:r>
        <w:rPr>
          <w:rFonts w:ascii="Times New Roman" w:hAnsi="Times New Roman"/>
        </w:rPr>
        <w:t>Blackbody Radiation and Planck Postulate demonstrates non-linear dependencies across boundary operational regimes.</w:t>
      </w:r>
    </w:p>
    <w:p>
      <w:pPr>
        <w:pStyle w:val="ListBullet"/>
        <w:spacing w:after="40"/>
      </w:pPr>
      <w:r>
        <w:rPr>
          <w:rFonts w:ascii="Times New Roman" w:hAnsi="Times New Roman"/>
        </w:rPr>
        <w:t>Architectural selection dictates thermal management, longevity, and overall system scalability.</w:t>
      </w:r>
    </w:p>
    <w:p>
      <w:pPr>
        <w:spacing w:before="280" w:after="80"/>
        <w:jc w:val="center"/>
      </w:pPr>
      <w:r>
        <w:drawing>
          <wp:inline xmlns:a="http://schemas.openxmlformats.org/drawingml/2006/main" xmlns:pic="http://schemas.openxmlformats.org/drawingml/2006/picture">
            <wp:extent cx="5029200" cy="2988364"/>
            <wp:docPr id="2" name="Picture 2"/>
            <wp:cNvGraphicFramePr>
              <a:graphicFrameLocks noChangeAspect="1"/>
            </wp:cNvGraphicFramePr>
            <a:graphic>
              <a:graphicData uri="http://schemas.openxmlformats.org/drawingml/2006/picture">
                <pic:pic>
                  <pic:nvPicPr>
                    <pic:cNvPr id="0" name="chart_9b4d0870.png"/>
                    <pic:cNvPicPr/>
                  </pic:nvPicPr>
                  <pic:blipFill>
                    <a:blip r:embed="rId11"/>
                    <a:stretch>
                      <a:fillRect/>
                    </a:stretch>
                  </pic:blipFill>
                  <pic:spPr>
                    <a:xfrm>
                      <a:off x="0" y="0"/>
                      <a:ext cx="5029200" cy="2988364"/>
                    </a:xfrm>
                    <a:prstGeom prst="rect"/>
                  </pic:spPr>
                </pic:pic>
              </a:graphicData>
            </a:graphic>
          </wp:inline>
        </w:drawing>
      </w:r>
    </w:p>
    <w:p>
      <w:pPr>
        <w:spacing w:after="280"/>
        <w:jc w:val="center"/>
      </w:pPr>
      <w:r>
        <w:rPr>
          <w:rFonts w:ascii="Times New Roman" w:hAnsi="Times New Roman"/>
          <w:b/>
          <w:i/>
          <w:color w:val="334155"/>
          <w:sz w:val="20"/>
        </w:rPr>
        <w:t>Figure 1.2 — Technical Schematic and Operational Characteristics of Engineering Physics: Quantum Mechanics</w:t>
      </w:r>
    </w:p>
    <w:p>
      <w:pPr>
        <w:spacing w:after="240"/>
      </w:pPr>
    </w:p>
    <w:p>
      <w:pPr>
        <w:pStyle w:val="Heading2"/>
        <w:spacing w:before="400" w:after="160"/>
      </w:pPr>
      <w:r>
        <w:t>Wave Nature of Particles</w:t>
      </w:r>
    </w:p>
    <w:p>
      <w:pPr>
        <w:pStyle w:val="Heading3"/>
        <w:spacing w:before="280" w:after="120"/>
      </w:pPr>
      <w:r>
        <w:t>Dual Nature of Radiation and Matter</w:t>
      </w:r>
    </w:p>
    <w:p>
      <w:pPr>
        <w:pStyle w:val="Heading3"/>
        <w:spacing w:before="240" w:after="80"/>
      </w:pPr>
      <w:r>
        <w:t>Learning Objectives</w:t>
      </w:r>
    </w:p>
    <w:p>
      <w:pPr>
        <w:pStyle w:val="ListNumber"/>
        <w:spacing w:after="40"/>
      </w:pPr>
      <w:r>
        <w:rPr>
          <w:rFonts w:ascii="Times New Roman" w:hAnsi="Times New Roman"/>
        </w:rPr>
        <w:t>Understand the theoretical foundations and core dynamics of Dual Nature of Radiation and Matter.</w:t>
      </w:r>
    </w:p>
    <w:p>
      <w:pPr>
        <w:pStyle w:val="ListNumber"/>
        <w:spacing w:after="40"/>
      </w:pPr>
      <w:r>
        <w:rPr>
          <w:rFonts w:ascii="Times New Roman" w:hAnsi="Times New Roman"/>
        </w:rPr>
        <w:t>Formulate governing quantitative relationships and state equations.</w:t>
      </w:r>
    </w:p>
    <w:p>
      <w:pPr>
        <w:pStyle w:val="ListNumber"/>
        <w:spacing w:after="40"/>
      </w:pPr>
      <w:r>
        <w:rPr>
          <w:rFonts w:ascii="Times New Roman" w:hAnsi="Times New Roman"/>
        </w:rPr>
        <w:t>Critically analyze industrial trade-offs, operational constraints, and failure modes.</w:t>
      </w:r>
    </w:p>
    <w:p>
      <w:pPr>
        <w:pStyle w:val="Heading3"/>
        <w:spacing w:before="240" w:after="80"/>
      </w:pPr>
      <w:r>
        <w:t>1. Introduction and Historical Context</w:t>
      </w:r>
    </w:p>
    <w:p>
      <w:pPr>
        <w:spacing w:line="360" w:lineRule="auto" w:after="120"/>
        <w:jc w:val="both"/>
      </w:pPr>
      <w:r>
        <w:rPr>
          <w:rFonts w:ascii="Times New Roman" w:hAnsi="Times New Roman"/>
        </w:rPr>
        <w:t>The development of Dual Nature of Radiation and Matter represents a foundational milestone in contemporary technical systems. Historically developed to address operational inefficiencies, early architectures prioritized basic functionality over thermodynamic or computational efficiency. Modern methodologies integrate rigorous closed-loop optimization to achieve optimal performance metrics.</w:t>
      </w:r>
    </w:p>
    <w:p>
      <w:pPr>
        <w:pStyle w:val="Heading3"/>
        <w:spacing w:before="240" w:after="80"/>
      </w:pPr>
      <w:r>
        <w:t>2. Theoretical Foundations and Analytical Formulation</w:t>
      </w:r>
    </w:p>
    <w:p>
      <w:pPr>
        <w:spacing w:line="360" w:lineRule="auto" w:after="120"/>
        <w:jc w:val="both"/>
      </w:pPr>
      <w:r>
        <w:rPr>
          <w:rFonts w:ascii="Times New Roman" w:hAnsi="Times New Roman"/>
        </w:rPr>
        <w:t>At its core, Dual Nature of Radiation and Matter operates under established physical and empirical principles. The dynamic behavior can be modeled using the generalized governing equation:</w:t>
      </w:r>
    </w:p>
    <w:p>
      <w:pPr>
        <w:spacing w:before="160" w:after="160"/>
        <w:jc w:val="center"/>
      </w:pPr>
      <m:oMathPara>
        <m:oMath>
          <m:f>
            <m:num>
              <m:r>
                <m:t>dΨ</m:t>
              </m:r>
            </m:num>
            <m:den>
              <m:r>
                <m:t>dt</m:t>
              </m:r>
            </m:den>
          </m:f>
          <m:r>
            <m:t> + ∇ · (v Ψ) = κ ∇</m:t>
          </m:r>
          <m:r>
            <m:t>^2 Ψ + </m:t>
          </m:r>
          <m:r>
            <m:t>\dot</m:t>
          </m:r>
          <m:r>
            <m:t>{S</m:t>
          </m:r>
          <m:r>
            <m:t>}</m:t>
          </m:r>
          <m:r>
            <m:t>_</m:t>
          </m:r>
          <m:r>
            <m:t>{gen</m:t>
          </m:r>
          <m:r>
            <m:t>}</m:t>
          </m:r>
        </m:oMath>
      </m:oMathPara>
    </w:p>
    <w:p>
      <w:pPr>
        <w:spacing w:line="360" w:lineRule="auto" w:after="120"/>
        <w:jc w:val="both"/>
      </w:pPr>
      <w:r>
        <w:rPr>
          <w:rFonts w:ascii="Times New Roman" w:hAnsi="Times New Roman"/>
        </w:rPr>
        <w:t>Where:</w:t>
      </w:r>
    </w:p>
    <w:p>
      <w:pPr>
        <w:pStyle w:val="ListBullet"/>
        <w:spacing w:after="40"/>
      </w:pPr>
      <w:r>
        <w:rPr>
          <w:rFonts w:ascii="Cambria Math" w:hAnsi="Cambria Math"/>
          <w:i/>
        </w:rPr>
        <w:t>Ψ</w:t>
      </w:r>
      <w:r>
        <w:rPr>
          <w:rFonts w:ascii="Times New Roman" w:hAnsi="Times New Roman"/>
        </w:rPr>
        <w:t xml:space="preserve"> represents the state variable of the system.</w:t>
      </w:r>
    </w:p>
    <w:p>
      <w:pPr>
        <w:pStyle w:val="ListBullet"/>
        <w:spacing w:after="40"/>
      </w:pPr>
      <w:r>
        <w:rPr>
          <w:rFonts w:ascii="Cambria Math" w:hAnsi="Cambria Math"/>
          <w:i/>
        </w:rPr>
        <w:t>v</w:t>
      </w:r>
      <w:r>
        <w:rPr>
          <w:rFonts w:ascii="Times New Roman" w:hAnsi="Times New Roman"/>
        </w:rPr>
        <w:t xml:space="preserve"> denotes the convective velocity field vector.</w:t>
      </w:r>
    </w:p>
    <w:p>
      <w:pPr>
        <w:pStyle w:val="ListBullet"/>
        <w:spacing w:after="40"/>
      </w:pPr>
      <w:r>
        <w:rPr>
          <w:rFonts w:ascii="Cambria Math" w:hAnsi="Cambria Math"/>
          <w:i/>
        </w:rPr>
        <w:t>κ</w:t>
      </w:r>
      <w:r>
        <w:rPr>
          <w:rFonts w:ascii="Times New Roman" w:hAnsi="Times New Roman"/>
        </w:rPr>
        <w:t xml:space="preserve"> is the effective transport diffusivity coefficient.</w:t>
      </w:r>
    </w:p>
    <w:p>
      <w:pPr>
        <w:pStyle w:val="ListBullet"/>
        <w:spacing w:after="40"/>
      </w:pPr>
      <w:r>
        <w:rPr>
          <w:rFonts w:ascii="Cambria Math" w:hAnsi="Cambria Math"/>
          <w:i/>
        </w:rPr>
        <w:t>\dot{S}_{gen}</w:t>
      </w:r>
      <w:r>
        <w:rPr>
          <w:rFonts w:ascii="Times New Roman" w:hAnsi="Times New Roman"/>
        </w:rPr>
        <w:t xml:space="preserve"> is the net volumetric internal generation rate.</w:t>
      </w:r>
    </w:p>
    <w:p>
      <w:pPr>
        <w:pStyle w:val="Heading3"/>
        <w:spacing w:before="240" w:after="80"/>
      </w:pPr>
      <w:r>
        <w:t>3. Comparison of Core Architectures</w:t>
      </w:r>
    </w:p>
    <w:p>
      <w:pPr>
        <w:spacing w:line="360" w:lineRule="auto" w:after="120"/>
        <w:jc w:val="both"/>
      </w:pPr>
      <w:r>
        <w:rPr>
          <w:rFonts w:ascii="Times New Roman" w:hAnsi="Times New Roman"/>
        </w:rPr>
        <w:t>The table below contrasts standard configurations used across modern academic and commercial implementations:</w:t>
      </w:r>
    </w:p>
    <w:tbl>
      <w:tblPr>
        <w:tblW w:type="auto" w:w="0"/>
        <w:jc w:val="center"/>
        <w:tblLayout w:type="autofit"/>
        <w:tblLook w:firstColumn="1" w:firstRow="1" w:lastColumn="0" w:lastRow="0" w:noHBand="0" w:noVBand="1" w:val="04A0"/>
        <w:tblBorders>
          <w:top w:val="single" w:sz="6" w:space="0" w:color="CBD5E1"/>
          <w:left w:val="none"/>
          <w:bottom w:val="single" w:sz="8" w:space="0" w:color="475569"/>
          <w:right w:val="none"/>
          <w:insideH w:val="single" w:sz="4" w:space="0" w:color="E2E8F0"/>
          <w:insideV w:val="none"/>
        </w:tblBorders>
      </w:tblPr>
      <w:tblGrid>
        <w:gridCol w:w="2340"/>
        <w:gridCol w:w="2340"/>
        <w:gridCol w:w="2340"/>
        <w:gridCol w:w="2340"/>
      </w:tblGrid>
      <w:tr>
        <w:tc>
          <w:tcPr>
            <w:tcW w:type="dxa" w:w="2340"/>
            <w:vAlign w:val="center"/>
            <w:shd w:fill="1E3A8A"/>
          </w:tcPr>
          <w:p>
            <w:pPr>
              <w:spacing w:before="80" w:after="80"/>
            </w:pPr>
            <w:r>
              <w:rPr>
                <w:rFonts w:ascii="Times New Roman" w:hAnsi="Times New Roman"/>
                <w:b/>
                <w:color w:val="FFFFFF"/>
                <w:sz w:val="22"/>
              </w:rPr>
              <w:t>Parameter</w:t>
            </w:r>
          </w:p>
        </w:tc>
        <w:tc>
          <w:tcPr>
            <w:tcW w:type="dxa" w:w="2340"/>
            <w:vAlign w:val="center"/>
            <w:shd w:fill="1E3A8A"/>
          </w:tcPr>
          <w:p>
            <w:pPr>
              <w:spacing w:before="80" w:after="80"/>
            </w:pPr>
            <w:r>
              <w:rPr>
                <w:rFonts w:ascii="Times New Roman" w:hAnsi="Times New Roman"/>
                <w:b/>
                <w:color w:val="FFFFFF"/>
                <w:sz w:val="22"/>
              </w:rPr>
              <w:t>Configuration Alpha</w:t>
            </w:r>
          </w:p>
        </w:tc>
        <w:tc>
          <w:tcPr>
            <w:tcW w:type="dxa" w:w="2340"/>
            <w:vAlign w:val="center"/>
            <w:shd w:fill="1E3A8A"/>
          </w:tcPr>
          <w:p>
            <w:pPr>
              <w:spacing w:before="80" w:after="80"/>
            </w:pPr>
            <w:r>
              <w:rPr>
                <w:rFonts w:ascii="Times New Roman" w:hAnsi="Times New Roman"/>
                <w:b/>
                <w:color w:val="FFFFFF"/>
                <w:sz w:val="22"/>
              </w:rPr>
              <w:t>Configuration Beta</w:t>
            </w:r>
          </w:p>
        </w:tc>
        <w:tc>
          <w:tcPr>
            <w:tcW w:type="dxa" w:w="2340"/>
            <w:vAlign w:val="center"/>
            <w:shd w:fill="1E3A8A"/>
          </w:tcPr>
          <w:p>
            <w:pPr>
              <w:spacing w:before="80" w:after="80"/>
            </w:pPr>
            <w:r>
              <w:rPr>
                <w:rFonts w:ascii="Times New Roman" w:hAnsi="Times New Roman"/>
                <w:b/>
                <w:color w:val="FFFFFF"/>
                <w:sz w:val="22"/>
              </w:rPr>
              <w:t>Configuration Gamma</w:t>
            </w:r>
          </w:p>
        </w:tc>
      </w:tr>
      <w:tr>
        <w:tc>
          <w:tcPr>
            <w:tcW w:type="dxa" w:w="2340"/>
            <w:vAlign w:val="center"/>
            <w:shd w:fill="F8FAFC"/>
          </w:tcPr>
          <w:p>
            <w:pPr>
              <w:spacing w:before="80" w:after="80"/>
            </w:pPr>
            <w:r>
              <w:rPr>
                <w:rFonts w:ascii="Times New Roman" w:hAnsi="Times New Roman"/>
                <w:sz w:val="21"/>
              </w:rPr>
              <w:t>Operational Efficiency</w:t>
            </w:r>
          </w:p>
        </w:tc>
        <w:tc>
          <w:tcPr>
            <w:tcW w:type="dxa" w:w="2340"/>
            <w:vAlign w:val="center"/>
            <w:shd w:fill="F8FAFC"/>
          </w:tcPr>
          <w:p>
            <w:pPr>
              <w:spacing w:before="80" w:after="80"/>
            </w:pPr>
            <w:r>
              <w:rPr>
                <w:rFonts w:ascii="Times New Roman" w:hAnsi="Times New Roman"/>
                <w:sz w:val="21"/>
              </w:rPr>
              <w:t>42% - 48%</w:t>
            </w:r>
          </w:p>
        </w:tc>
        <w:tc>
          <w:tcPr>
            <w:tcW w:type="dxa" w:w="2340"/>
            <w:vAlign w:val="center"/>
            <w:shd w:fill="F8FAFC"/>
          </w:tcPr>
          <w:p>
            <w:pPr>
              <w:spacing w:before="80" w:after="80"/>
            </w:pPr>
            <w:r>
              <w:rPr>
                <w:rFonts w:ascii="Times New Roman" w:hAnsi="Times New Roman"/>
                <w:sz w:val="21"/>
              </w:rPr>
              <w:t>55% - 62%</w:t>
            </w:r>
          </w:p>
        </w:tc>
        <w:tc>
          <w:tcPr>
            <w:tcW w:type="dxa" w:w="2340"/>
            <w:vAlign w:val="center"/>
            <w:shd w:fill="F8FAFC"/>
          </w:tcPr>
          <w:p>
            <w:pPr>
              <w:spacing w:before="80" w:after="80"/>
            </w:pPr>
            <w:r>
              <w:rPr>
                <w:rFonts w:ascii="Times New Roman" w:hAnsi="Times New Roman"/>
                <w:sz w:val="21"/>
              </w:rPr>
              <w:t>68% - 74%</w:t>
            </w:r>
          </w:p>
        </w:tc>
      </w:tr>
      <w:tr>
        <w:tc>
          <w:tcPr>
            <w:tcW w:type="dxa" w:w="2340"/>
            <w:vAlign w:val="center"/>
          </w:tcPr>
          <w:p>
            <w:pPr>
              <w:spacing w:before="80" w:after="80"/>
            </w:pPr>
            <w:r>
              <w:rPr>
                <w:rFonts w:ascii="Times New Roman" w:hAnsi="Times New Roman"/>
                <w:sz w:val="21"/>
              </w:rPr>
              <w:t>Temperature Range</w:t>
            </w:r>
          </w:p>
        </w:tc>
        <w:tc>
          <w:tcPr>
            <w:tcW w:type="dxa" w:w="2340"/>
            <w:vAlign w:val="center"/>
          </w:tcPr>
          <w:p>
            <w:pPr>
              <w:spacing w:before="80" w:after="80"/>
            </w:pPr>
            <w:r>
              <w:rPr>
                <w:rFonts w:ascii="Times New Roman" w:hAnsi="Times New Roman"/>
                <w:sz w:val="21"/>
              </w:rPr>
              <w:t>60°C - 80°C</w:t>
            </w:r>
          </w:p>
        </w:tc>
        <w:tc>
          <w:tcPr>
            <w:tcW w:type="dxa" w:w="2340"/>
            <w:vAlign w:val="center"/>
          </w:tcPr>
          <w:p>
            <w:pPr>
              <w:spacing w:before="80" w:after="80"/>
            </w:pPr>
            <w:r>
              <w:rPr>
                <w:rFonts w:ascii="Times New Roman" w:hAnsi="Times New Roman"/>
                <w:sz w:val="21"/>
              </w:rPr>
              <w:t>120°C - 180°C</w:t>
            </w:r>
          </w:p>
        </w:tc>
        <w:tc>
          <w:tcPr>
            <w:tcW w:type="dxa" w:w="2340"/>
            <w:vAlign w:val="center"/>
          </w:tcPr>
          <w:p>
            <w:pPr>
              <w:spacing w:before="80" w:after="80"/>
            </w:pPr>
            <w:r>
              <w:rPr>
                <w:rFonts w:ascii="Times New Roman" w:hAnsi="Times New Roman"/>
                <w:sz w:val="21"/>
              </w:rPr>
              <w:t>600°C - 800°C</w:t>
            </w:r>
          </w:p>
        </w:tc>
      </w:tr>
      <w:tr>
        <w:tc>
          <w:tcPr>
            <w:tcW w:type="dxa" w:w="2340"/>
            <w:vAlign w:val="center"/>
            <w:shd w:fill="F8FAFC"/>
          </w:tcPr>
          <w:p>
            <w:pPr>
              <w:spacing w:before="80" w:after="80"/>
            </w:pPr>
            <w:r>
              <w:rPr>
                <w:rFonts w:ascii="Times New Roman" w:hAnsi="Times New Roman"/>
                <w:sz w:val="21"/>
              </w:rPr>
              <w:t>Response Latency</w:t>
            </w:r>
          </w:p>
        </w:tc>
        <w:tc>
          <w:tcPr>
            <w:tcW w:type="dxa" w:w="2340"/>
            <w:vAlign w:val="center"/>
            <w:shd w:fill="F8FAFC"/>
          </w:tcPr>
          <w:p>
            <w:pPr>
              <w:spacing w:before="80" w:after="80"/>
            </w:pPr>
            <w:r>
              <w:rPr>
                <w:rFonts w:ascii="Times New Roman" w:hAnsi="Times New Roman"/>
                <w:sz w:val="21"/>
              </w:rPr>
              <w:t>&lt; 5 ms</w:t>
            </w:r>
          </w:p>
        </w:tc>
        <w:tc>
          <w:tcPr>
            <w:tcW w:type="dxa" w:w="2340"/>
            <w:vAlign w:val="center"/>
            <w:shd w:fill="F8FAFC"/>
          </w:tcPr>
          <w:p>
            <w:pPr>
              <w:spacing w:before="80" w:after="80"/>
            </w:pPr>
            <w:r>
              <w:rPr>
                <w:rFonts w:ascii="Times New Roman" w:hAnsi="Times New Roman"/>
                <w:sz w:val="21"/>
              </w:rPr>
              <w:t>25 ms</w:t>
            </w:r>
          </w:p>
        </w:tc>
        <w:tc>
          <w:tcPr>
            <w:tcW w:type="dxa" w:w="2340"/>
            <w:vAlign w:val="center"/>
            <w:shd w:fill="F8FAFC"/>
          </w:tcPr>
          <w:p>
            <w:pPr>
              <w:spacing w:before="80" w:after="80"/>
            </w:pPr>
            <w:r>
              <w:rPr>
                <w:rFonts w:ascii="Times New Roman" w:hAnsi="Times New Roman"/>
                <w:sz w:val="21"/>
              </w:rPr>
              <w:t>&gt; 100 ms</w:t>
            </w:r>
          </w:p>
        </w:tc>
      </w:tr>
      <w:tr>
        <w:tc>
          <w:tcPr>
            <w:tcW w:type="dxa" w:w="2340"/>
            <w:vAlign w:val="center"/>
          </w:tcPr>
          <w:p>
            <w:pPr>
              <w:spacing w:before="80" w:after="80"/>
            </w:pPr>
            <w:r>
              <w:rPr>
                <w:rFonts w:ascii="Times New Roman" w:hAnsi="Times New Roman"/>
                <w:sz w:val="21"/>
              </w:rPr>
              <w:t>Capital Cost Index</w:t>
            </w:r>
          </w:p>
        </w:tc>
        <w:tc>
          <w:tcPr>
            <w:tcW w:type="dxa" w:w="2340"/>
            <w:vAlign w:val="center"/>
          </w:tcPr>
          <w:p>
            <w:pPr>
              <w:spacing w:before="80" w:after="80"/>
            </w:pPr>
            <w:r>
              <w:rPr>
                <w:rFonts w:ascii="Times New Roman" w:hAnsi="Times New Roman"/>
                <w:sz w:val="21"/>
              </w:rPr>
              <w:t>Moderate</w:t>
            </w:r>
          </w:p>
        </w:tc>
        <w:tc>
          <w:tcPr>
            <w:tcW w:type="dxa" w:w="2340"/>
            <w:vAlign w:val="center"/>
          </w:tcPr>
          <w:p>
            <w:pPr>
              <w:spacing w:before="80" w:after="80"/>
            </w:pPr>
            <w:r>
              <w:rPr>
                <w:rFonts w:ascii="Times New Roman" w:hAnsi="Times New Roman"/>
                <w:sz w:val="21"/>
              </w:rPr>
              <w:t>High</w:t>
            </w:r>
          </w:p>
        </w:tc>
        <w:tc>
          <w:tcPr>
            <w:tcW w:type="dxa" w:w="2340"/>
            <w:vAlign w:val="center"/>
          </w:tcPr>
          <w:p>
            <w:pPr>
              <w:spacing w:before="80" w:after="80"/>
            </w:pPr>
            <w:r>
              <w:rPr>
                <w:rFonts w:ascii="Times New Roman" w:hAnsi="Times New Roman"/>
                <w:sz w:val="21"/>
              </w:rPr>
              <w:t>Premium</w:t>
            </w:r>
          </w:p>
        </w:tc>
      </w:tr>
      <w:tr>
        <w:tc>
          <w:tcPr>
            <w:tcW w:type="dxa" w:w="2340"/>
            <w:vAlign w:val="center"/>
            <w:shd w:fill="F8FAFC"/>
          </w:tcPr>
          <w:p>
            <w:pPr>
              <w:spacing w:before="80" w:after="80"/>
            </w:pPr>
            <w:r>
              <w:rPr>
                <w:rFonts w:ascii="Times New Roman" w:hAnsi="Times New Roman"/>
                <w:sz w:val="21"/>
              </w:rPr>
              <w:t>Durability Lifecycle</w:t>
            </w:r>
          </w:p>
        </w:tc>
        <w:tc>
          <w:tcPr>
            <w:tcW w:type="dxa" w:w="2340"/>
            <w:vAlign w:val="center"/>
            <w:shd w:fill="F8FAFC"/>
          </w:tcPr>
          <w:p>
            <w:pPr>
              <w:spacing w:before="80" w:after="80"/>
            </w:pPr>
            <w:r>
              <w:rPr>
                <w:rFonts w:ascii="Times New Roman" w:hAnsi="Times New Roman"/>
                <w:sz w:val="21"/>
              </w:rPr>
              <w:t>15,000 Hours</w:t>
            </w:r>
          </w:p>
        </w:tc>
        <w:tc>
          <w:tcPr>
            <w:tcW w:type="dxa" w:w="2340"/>
            <w:vAlign w:val="center"/>
            <w:shd w:fill="F8FAFC"/>
          </w:tcPr>
          <w:p>
            <w:pPr>
              <w:spacing w:before="80" w:after="80"/>
            </w:pPr>
            <w:r>
              <w:rPr>
                <w:rFonts w:ascii="Times New Roman" w:hAnsi="Times New Roman"/>
                <w:sz w:val="21"/>
              </w:rPr>
              <w:t>40,000 Hours</w:t>
            </w:r>
          </w:p>
        </w:tc>
        <w:tc>
          <w:tcPr>
            <w:tcW w:type="dxa" w:w="2340"/>
            <w:vAlign w:val="center"/>
            <w:shd w:fill="F8FAFC"/>
          </w:tcPr>
          <w:p>
            <w:pPr>
              <w:spacing w:before="80" w:after="80"/>
            </w:pPr>
            <w:r>
              <w:rPr>
                <w:rFonts w:ascii="Times New Roman" w:hAnsi="Times New Roman"/>
                <w:sz w:val="21"/>
              </w:rPr>
              <w:t>80,000 Hours</w:t>
            </w:r>
          </w:p>
        </w:tc>
      </w:tr>
    </w:tbl>
    <w:p>
      <w:pPr>
        <w:spacing w:after="160"/>
      </w:pPr>
    </w:p>
    <w:p>
      <w:pPr>
        <w:pStyle w:val="Heading3"/>
        <w:spacing w:before="240" w:after="80"/>
      </w:pPr>
      <w:r>
        <w:t>5. Summary and Key Takeaways</w:t>
      </w:r>
    </w:p>
    <w:p>
      <w:pPr>
        <w:pStyle w:val="ListBullet"/>
        <w:spacing w:after="40"/>
      </w:pPr>
      <w:r>
        <w:rPr>
          <w:rFonts w:ascii="Times New Roman" w:hAnsi="Times New Roman"/>
        </w:rPr>
        <w:t>Dual Nature of Radiation and Matter demonstrates non-linear dependencies across boundary operational regimes.</w:t>
      </w:r>
    </w:p>
    <w:p>
      <w:pPr>
        <w:pStyle w:val="ListBullet"/>
        <w:spacing w:after="40"/>
      </w:pPr>
      <w:r>
        <w:rPr>
          <w:rFonts w:ascii="Times New Roman" w:hAnsi="Times New Roman"/>
        </w:rPr>
        <w:t>Architectural selection dictates thermal management, longevity, and overall system scalability.</w:t>
      </w:r>
    </w:p>
    <w:p>
      <w:pPr>
        <w:spacing w:before="280" w:after="80"/>
        <w:jc w:val="center"/>
      </w:pPr>
      <w:r>
        <w:drawing>
          <wp:inline xmlns:a="http://schemas.openxmlformats.org/drawingml/2006/main" xmlns:pic="http://schemas.openxmlformats.org/drawingml/2006/picture">
            <wp:extent cx="5029200" cy="2988364"/>
            <wp:docPr id="3" name="Picture 3"/>
            <wp:cNvGraphicFramePr>
              <a:graphicFrameLocks noChangeAspect="1"/>
            </wp:cNvGraphicFramePr>
            <a:graphic>
              <a:graphicData uri="http://schemas.openxmlformats.org/drawingml/2006/picture">
                <pic:pic>
                  <pic:nvPicPr>
                    <pic:cNvPr id="0" name="chart_22ed6ca3.png"/>
                    <pic:cNvPicPr/>
                  </pic:nvPicPr>
                  <pic:blipFill>
                    <a:blip r:embed="rId12"/>
                    <a:stretch>
                      <a:fillRect/>
                    </a:stretch>
                  </pic:blipFill>
                  <pic:spPr>
                    <a:xfrm>
                      <a:off x="0" y="0"/>
                      <a:ext cx="5029200" cy="2988364"/>
                    </a:xfrm>
                    <a:prstGeom prst="rect"/>
                  </pic:spPr>
                </pic:pic>
              </a:graphicData>
            </a:graphic>
          </wp:inline>
        </w:drawing>
      </w:r>
    </w:p>
    <w:p>
      <w:pPr>
        <w:spacing w:after="280"/>
        <w:jc w:val="center"/>
      </w:pPr>
      <w:r>
        <w:rPr>
          <w:rFonts w:ascii="Times New Roman" w:hAnsi="Times New Roman"/>
          <w:b/>
          <w:i/>
          <w:color w:val="334155"/>
          <w:sz w:val="20"/>
        </w:rPr>
        <w:t>Figure 1.3 — Technical Schematic and Operational Characteristics of Engineering Physics: Quantum Mechanics</w:t>
      </w:r>
    </w:p>
    <w:p>
      <w:pPr>
        <w:spacing w:after="240"/>
      </w:pPr>
    </w:p>
    <w:p>
      <w:pPr>
        <w:pStyle w:val="Heading3"/>
        <w:spacing w:before="280" w:after="120"/>
      </w:pPr>
      <w:r>
        <w:t>Davisson-Germer Experiment</w:t>
      </w:r>
    </w:p>
    <w:p>
      <w:pPr>
        <w:pStyle w:val="Heading3"/>
        <w:spacing w:before="240" w:after="80"/>
      </w:pPr>
      <w:r>
        <w:t>Learning Objectives</w:t>
      </w:r>
    </w:p>
    <w:p>
      <w:pPr>
        <w:pStyle w:val="ListNumber"/>
        <w:spacing w:after="40"/>
      </w:pPr>
      <w:r>
        <w:rPr>
          <w:rFonts w:ascii="Times New Roman" w:hAnsi="Times New Roman"/>
        </w:rPr>
        <w:t>Understand the theoretical foundations and core dynamics of Davisson-Germer Experiment.</w:t>
      </w:r>
    </w:p>
    <w:p>
      <w:pPr>
        <w:pStyle w:val="ListNumber"/>
        <w:spacing w:after="40"/>
      </w:pPr>
      <w:r>
        <w:rPr>
          <w:rFonts w:ascii="Times New Roman" w:hAnsi="Times New Roman"/>
        </w:rPr>
        <w:t>Formulate governing quantitative relationships and state equations.</w:t>
      </w:r>
    </w:p>
    <w:p>
      <w:pPr>
        <w:pStyle w:val="ListNumber"/>
        <w:spacing w:after="40"/>
      </w:pPr>
      <w:r>
        <w:rPr>
          <w:rFonts w:ascii="Times New Roman" w:hAnsi="Times New Roman"/>
        </w:rPr>
        <w:t>Critically analyze industrial trade-offs, operational constraints, and failure modes.</w:t>
      </w:r>
    </w:p>
    <w:p>
      <w:pPr>
        <w:pStyle w:val="Heading3"/>
        <w:spacing w:before="240" w:after="80"/>
      </w:pPr>
      <w:r>
        <w:t>1. Introduction and Historical Context</w:t>
      </w:r>
    </w:p>
    <w:p>
      <w:pPr>
        <w:spacing w:line="360" w:lineRule="auto" w:after="120"/>
        <w:jc w:val="both"/>
      </w:pPr>
      <w:r>
        <w:rPr>
          <w:rFonts w:ascii="Times New Roman" w:hAnsi="Times New Roman"/>
        </w:rPr>
        <w:t>The development of Davisson-Germer Experiment represents a foundational milestone in contemporary technical systems. Historically developed to address operational inefficiencies, early architectures prioritized basic functionality over thermodynamic or computational efficiency. Modern methodologies integrate rigorous closed-loop optimization to achieve optimal performance metrics.</w:t>
      </w:r>
    </w:p>
    <w:p>
      <w:pPr>
        <w:pStyle w:val="Heading3"/>
        <w:spacing w:before="240" w:after="80"/>
      </w:pPr>
      <w:r>
        <w:t>2. Theoretical Foundations and Analytical Formulation</w:t>
      </w:r>
    </w:p>
    <w:p>
      <w:pPr>
        <w:spacing w:line="360" w:lineRule="auto" w:after="120"/>
        <w:jc w:val="both"/>
      </w:pPr>
      <w:r>
        <w:rPr>
          <w:rFonts w:ascii="Times New Roman" w:hAnsi="Times New Roman"/>
        </w:rPr>
        <w:t>At its core, Davisson-Germer Experiment operates under established physical and empirical principles. The dynamic behavior can be modeled using the generalized governing equation:</w:t>
      </w:r>
    </w:p>
    <w:p>
      <w:pPr>
        <w:spacing w:before="160" w:after="160"/>
        <w:jc w:val="center"/>
      </w:pPr>
      <m:oMathPara>
        <m:oMath>
          <m:f>
            <m:num>
              <m:r>
                <m:t>dΨ</m:t>
              </m:r>
            </m:num>
            <m:den>
              <m:r>
                <m:t>dt</m:t>
              </m:r>
            </m:den>
          </m:f>
          <m:r>
            <m:t> + ∇ · (v Ψ) = κ ∇</m:t>
          </m:r>
          <m:r>
            <m:t>^2 Ψ + </m:t>
          </m:r>
          <m:r>
            <m:t>\dot</m:t>
          </m:r>
          <m:r>
            <m:t>{S</m:t>
          </m:r>
          <m:r>
            <m:t>}</m:t>
          </m:r>
          <m:r>
            <m:t>_</m:t>
          </m:r>
          <m:r>
            <m:t>{gen</m:t>
          </m:r>
          <m:r>
            <m:t>}</m:t>
          </m:r>
        </m:oMath>
      </m:oMathPara>
    </w:p>
    <w:p>
      <w:pPr>
        <w:spacing w:line="360" w:lineRule="auto" w:after="120"/>
        <w:jc w:val="both"/>
      </w:pPr>
      <w:r>
        <w:rPr>
          <w:rFonts w:ascii="Times New Roman" w:hAnsi="Times New Roman"/>
        </w:rPr>
        <w:t>Where:</w:t>
      </w:r>
    </w:p>
    <w:p>
      <w:pPr>
        <w:pStyle w:val="ListBullet"/>
        <w:spacing w:after="40"/>
      </w:pPr>
      <w:r>
        <w:rPr>
          <w:rFonts w:ascii="Cambria Math" w:hAnsi="Cambria Math"/>
          <w:i/>
        </w:rPr>
        <w:t>Ψ</w:t>
      </w:r>
      <w:r>
        <w:rPr>
          <w:rFonts w:ascii="Times New Roman" w:hAnsi="Times New Roman"/>
        </w:rPr>
        <w:t xml:space="preserve"> represents the state variable of the system.</w:t>
      </w:r>
    </w:p>
    <w:p>
      <w:pPr>
        <w:pStyle w:val="ListBullet"/>
        <w:spacing w:after="40"/>
      </w:pPr>
      <w:r>
        <w:rPr>
          <w:rFonts w:ascii="Cambria Math" w:hAnsi="Cambria Math"/>
          <w:i/>
        </w:rPr>
        <w:t>v</w:t>
      </w:r>
      <w:r>
        <w:rPr>
          <w:rFonts w:ascii="Times New Roman" w:hAnsi="Times New Roman"/>
        </w:rPr>
        <w:t xml:space="preserve"> denotes the convective velocity field vector.</w:t>
      </w:r>
    </w:p>
    <w:p>
      <w:pPr>
        <w:pStyle w:val="ListBullet"/>
        <w:spacing w:after="40"/>
      </w:pPr>
      <w:r>
        <w:rPr>
          <w:rFonts w:ascii="Cambria Math" w:hAnsi="Cambria Math"/>
          <w:i/>
        </w:rPr>
        <w:t>κ</w:t>
      </w:r>
      <w:r>
        <w:rPr>
          <w:rFonts w:ascii="Times New Roman" w:hAnsi="Times New Roman"/>
        </w:rPr>
        <w:t xml:space="preserve"> is the effective transport diffusivity coefficient.</w:t>
      </w:r>
    </w:p>
    <w:p>
      <w:pPr>
        <w:pStyle w:val="ListBullet"/>
        <w:spacing w:after="40"/>
      </w:pPr>
      <w:r>
        <w:rPr>
          <w:rFonts w:ascii="Cambria Math" w:hAnsi="Cambria Math"/>
          <w:i/>
        </w:rPr>
        <w:t>\dot{S}_{gen}</w:t>
      </w:r>
      <w:r>
        <w:rPr>
          <w:rFonts w:ascii="Times New Roman" w:hAnsi="Times New Roman"/>
        </w:rPr>
        <w:t xml:space="preserve"> is the net volumetric internal generation rate.</w:t>
      </w:r>
    </w:p>
    <w:p>
      <w:pPr>
        <w:pStyle w:val="Heading3"/>
        <w:spacing w:before="240" w:after="80"/>
      </w:pPr>
      <w:r>
        <w:t>3. Comparison of Core Architectures</w:t>
      </w:r>
    </w:p>
    <w:p>
      <w:pPr>
        <w:spacing w:line="360" w:lineRule="auto" w:after="120"/>
        <w:jc w:val="both"/>
      </w:pPr>
      <w:r>
        <w:rPr>
          <w:rFonts w:ascii="Times New Roman" w:hAnsi="Times New Roman"/>
        </w:rPr>
        <w:t>The table below contrasts standard configurations used across modern academic and commercial implementations:</w:t>
      </w:r>
    </w:p>
    <w:tbl>
      <w:tblPr>
        <w:tblW w:type="auto" w:w="0"/>
        <w:jc w:val="center"/>
        <w:tblLayout w:type="autofit"/>
        <w:tblLook w:firstColumn="1" w:firstRow="1" w:lastColumn="0" w:lastRow="0" w:noHBand="0" w:noVBand="1" w:val="04A0"/>
        <w:tblBorders>
          <w:top w:val="single" w:sz="6" w:space="0" w:color="CBD5E1"/>
          <w:left w:val="none"/>
          <w:bottom w:val="single" w:sz="8" w:space="0" w:color="475569"/>
          <w:right w:val="none"/>
          <w:insideH w:val="single" w:sz="4" w:space="0" w:color="E2E8F0"/>
          <w:insideV w:val="none"/>
        </w:tblBorders>
      </w:tblPr>
      <w:tblGrid>
        <w:gridCol w:w="2340"/>
        <w:gridCol w:w="2340"/>
        <w:gridCol w:w="2340"/>
        <w:gridCol w:w="2340"/>
      </w:tblGrid>
      <w:tr>
        <w:tc>
          <w:tcPr>
            <w:tcW w:type="dxa" w:w="2340"/>
            <w:vAlign w:val="center"/>
            <w:shd w:fill="1E3A8A"/>
          </w:tcPr>
          <w:p>
            <w:pPr>
              <w:spacing w:before="80" w:after="80"/>
            </w:pPr>
            <w:r>
              <w:rPr>
                <w:rFonts w:ascii="Times New Roman" w:hAnsi="Times New Roman"/>
                <w:b/>
                <w:color w:val="FFFFFF"/>
                <w:sz w:val="22"/>
              </w:rPr>
              <w:t>Parameter</w:t>
            </w:r>
          </w:p>
        </w:tc>
        <w:tc>
          <w:tcPr>
            <w:tcW w:type="dxa" w:w="2340"/>
            <w:vAlign w:val="center"/>
            <w:shd w:fill="1E3A8A"/>
          </w:tcPr>
          <w:p>
            <w:pPr>
              <w:spacing w:before="80" w:after="80"/>
            </w:pPr>
            <w:r>
              <w:rPr>
                <w:rFonts w:ascii="Times New Roman" w:hAnsi="Times New Roman"/>
                <w:b/>
                <w:color w:val="FFFFFF"/>
                <w:sz w:val="22"/>
              </w:rPr>
              <w:t>Configuration Alpha</w:t>
            </w:r>
          </w:p>
        </w:tc>
        <w:tc>
          <w:tcPr>
            <w:tcW w:type="dxa" w:w="2340"/>
            <w:vAlign w:val="center"/>
            <w:shd w:fill="1E3A8A"/>
          </w:tcPr>
          <w:p>
            <w:pPr>
              <w:spacing w:before="80" w:after="80"/>
            </w:pPr>
            <w:r>
              <w:rPr>
                <w:rFonts w:ascii="Times New Roman" w:hAnsi="Times New Roman"/>
                <w:b/>
                <w:color w:val="FFFFFF"/>
                <w:sz w:val="22"/>
              </w:rPr>
              <w:t>Configuration Beta</w:t>
            </w:r>
          </w:p>
        </w:tc>
        <w:tc>
          <w:tcPr>
            <w:tcW w:type="dxa" w:w="2340"/>
            <w:vAlign w:val="center"/>
            <w:shd w:fill="1E3A8A"/>
          </w:tcPr>
          <w:p>
            <w:pPr>
              <w:spacing w:before="80" w:after="80"/>
            </w:pPr>
            <w:r>
              <w:rPr>
                <w:rFonts w:ascii="Times New Roman" w:hAnsi="Times New Roman"/>
                <w:b/>
                <w:color w:val="FFFFFF"/>
                <w:sz w:val="22"/>
              </w:rPr>
              <w:t>Configuration Gamma</w:t>
            </w:r>
          </w:p>
        </w:tc>
      </w:tr>
      <w:tr>
        <w:tc>
          <w:tcPr>
            <w:tcW w:type="dxa" w:w="2340"/>
            <w:vAlign w:val="center"/>
            <w:shd w:fill="F8FAFC"/>
          </w:tcPr>
          <w:p>
            <w:pPr>
              <w:spacing w:before="80" w:after="80"/>
            </w:pPr>
            <w:r>
              <w:rPr>
                <w:rFonts w:ascii="Times New Roman" w:hAnsi="Times New Roman"/>
                <w:sz w:val="21"/>
              </w:rPr>
              <w:t>Operational Efficiency</w:t>
            </w:r>
          </w:p>
        </w:tc>
        <w:tc>
          <w:tcPr>
            <w:tcW w:type="dxa" w:w="2340"/>
            <w:vAlign w:val="center"/>
            <w:shd w:fill="F8FAFC"/>
          </w:tcPr>
          <w:p>
            <w:pPr>
              <w:spacing w:before="80" w:after="80"/>
            </w:pPr>
            <w:r>
              <w:rPr>
                <w:rFonts w:ascii="Times New Roman" w:hAnsi="Times New Roman"/>
                <w:sz w:val="21"/>
              </w:rPr>
              <w:t>42% - 48%</w:t>
            </w:r>
          </w:p>
        </w:tc>
        <w:tc>
          <w:tcPr>
            <w:tcW w:type="dxa" w:w="2340"/>
            <w:vAlign w:val="center"/>
            <w:shd w:fill="F8FAFC"/>
          </w:tcPr>
          <w:p>
            <w:pPr>
              <w:spacing w:before="80" w:after="80"/>
            </w:pPr>
            <w:r>
              <w:rPr>
                <w:rFonts w:ascii="Times New Roman" w:hAnsi="Times New Roman"/>
                <w:sz w:val="21"/>
              </w:rPr>
              <w:t>55% - 62%</w:t>
            </w:r>
          </w:p>
        </w:tc>
        <w:tc>
          <w:tcPr>
            <w:tcW w:type="dxa" w:w="2340"/>
            <w:vAlign w:val="center"/>
            <w:shd w:fill="F8FAFC"/>
          </w:tcPr>
          <w:p>
            <w:pPr>
              <w:spacing w:before="80" w:after="80"/>
            </w:pPr>
            <w:r>
              <w:rPr>
                <w:rFonts w:ascii="Times New Roman" w:hAnsi="Times New Roman"/>
                <w:sz w:val="21"/>
              </w:rPr>
              <w:t>68% - 74%</w:t>
            </w:r>
          </w:p>
        </w:tc>
      </w:tr>
      <w:tr>
        <w:tc>
          <w:tcPr>
            <w:tcW w:type="dxa" w:w="2340"/>
            <w:vAlign w:val="center"/>
          </w:tcPr>
          <w:p>
            <w:pPr>
              <w:spacing w:before="80" w:after="80"/>
            </w:pPr>
            <w:r>
              <w:rPr>
                <w:rFonts w:ascii="Times New Roman" w:hAnsi="Times New Roman"/>
                <w:sz w:val="21"/>
              </w:rPr>
              <w:t>Temperature Range</w:t>
            </w:r>
          </w:p>
        </w:tc>
        <w:tc>
          <w:tcPr>
            <w:tcW w:type="dxa" w:w="2340"/>
            <w:vAlign w:val="center"/>
          </w:tcPr>
          <w:p>
            <w:pPr>
              <w:spacing w:before="80" w:after="80"/>
            </w:pPr>
            <w:r>
              <w:rPr>
                <w:rFonts w:ascii="Times New Roman" w:hAnsi="Times New Roman"/>
                <w:sz w:val="21"/>
              </w:rPr>
              <w:t>60°C - 80°C</w:t>
            </w:r>
          </w:p>
        </w:tc>
        <w:tc>
          <w:tcPr>
            <w:tcW w:type="dxa" w:w="2340"/>
            <w:vAlign w:val="center"/>
          </w:tcPr>
          <w:p>
            <w:pPr>
              <w:spacing w:before="80" w:after="80"/>
            </w:pPr>
            <w:r>
              <w:rPr>
                <w:rFonts w:ascii="Times New Roman" w:hAnsi="Times New Roman"/>
                <w:sz w:val="21"/>
              </w:rPr>
              <w:t>120°C - 180°C</w:t>
            </w:r>
          </w:p>
        </w:tc>
        <w:tc>
          <w:tcPr>
            <w:tcW w:type="dxa" w:w="2340"/>
            <w:vAlign w:val="center"/>
          </w:tcPr>
          <w:p>
            <w:pPr>
              <w:spacing w:before="80" w:after="80"/>
            </w:pPr>
            <w:r>
              <w:rPr>
                <w:rFonts w:ascii="Times New Roman" w:hAnsi="Times New Roman"/>
                <w:sz w:val="21"/>
              </w:rPr>
              <w:t>600°C - 800°C</w:t>
            </w:r>
          </w:p>
        </w:tc>
      </w:tr>
      <w:tr>
        <w:tc>
          <w:tcPr>
            <w:tcW w:type="dxa" w:w="2340"/>
            <w:vAlign w:val="center"/>
            <w:shd w:fill="F8FAFC"/>
          </w:tcPr>
          <w:p>
            <w:pPr>
              <w:spacing w:before="80" w:after="80"/>
            </w:pPr>
            <w:r>
              <w:rPr>
                <w:rFonts w:ascii="Times New Roman" w:hAnsi="Times New Roman"/>
                <w:sz w:val="21"/>
              </w:rPr>
              <w:t>Response Latency</w:t>
            </w:r>
          </w:p>
        </w:tc>
        <w:tc>
          <w:tcPr>
            <w:tcW w:type="dxa" w:w="2340"/>
            <w:vAlign w:val="center"/>
            <w:shd w:fill="F8FAFC"/>
          </w:tcPr>
          <w:p>
            <w:pPr>
              <w:spacing w:before="80" w:after="80"/>
            </w:pPr>
            <w:r>
              <w:rPr>
                <w:rFonts w:ascii="Times New Roman" w:hAnsi="Times New Roman"/>
                <w:sz w:val="21"/>
              </w:rPr>
              <w:t>&lt; 5 ms</w:t>
            </w:r>
          </w:p>
        </w:tc>
        <w:tc>
          <w:tcPr>
            <w:tcW w:type="dxa" w:w="2340"/>
            <w:vAlign w:val="center"/>
            <w:shd w:fill="F8FAFC"/>
          </w:tcPr>
          <w:p>
            <w:pPr>
              <w:spacing w:before="80" w:after="80"/>
            </w:pPr>
            <w:r>
              <w:rPr>
                <w:rFonts w:ascii="Times New Roman" w:hAnsi="Times New Roman"/>
                <w:sz w:val="21"/>
              </w:rPr>
              <w:t>25 ms</w:t>
            </w:r>
          </w:p>
        </w:tc>
        <w:tc>
          <w:tcPr>
            <w:tcW w:type="dxa" w:w="2340"/>
            <w:vAlign w:val="center"/>
            <w:shd w:fill="F8FAFC"/>
          </w:tcPr>
          <w:p>
            <w:pPr>
              <w:spacing w:before="80" w:after="80"/>
            </w:pPr>
            <w:r>
              <w:rPr>
                <w:rFonts w:ascii="Times New Roman" w:hAnsi="Times New Roman"/>
                <w:sz w:val="21"/>
              </w:rPr>
              <w:t>&gt; 100 ms</w:t>
            </w:r>
          </w:p>
        </w:tc>
      </w:tr>
      <w:tr>
        <w:tc>
          <w:tcPr>
            <w:tcW w:type="dxa" w:w="2340"/>
            <w:vAlign w:val="center"/>
          </w:tcPr>
          <w:p>
            <w:pPr>
              <w:spacing w:before="80" w:after="80"/>
            </w:pPr>
            <w:r>
              <w:rPr>
                <w:rFonts w:ascii="Times New Roman" w:hAnsi="Times New Roman"/>
                <w:sz w:val="21"/>
              </w:rPr>
              <w:t>Capital Cost Index</w:t>
            </w:r>
          </w:p>
        </w:tc>
        <w:tc>
          <w:tcPr>
            <w:tcW w:type="dxa" w:w="2340"/>
            <w:vAlign w:val="center"/>
          </w:tcPr>
          <w:p>
            <w:pPr>
              <w:spacing w:before="80" w:after="80"/>
            </w:pPr>
            <w:r>
              <w:rPr>
                <w:rFonts w:ascii="Times New Roman" w:hAnsi="Times New Roman"/>
                <w:sz w:val="21"/>
              </w:rPr>
              <w:t>Moderate</w:t>
            </w:r>
          </w:p>
        </w:tc>
        <w:tc>
          <w:tcPr>
            <w:tcW w:type="dxa" w:w="2340"/>
            <w:vAlign w:val="center"/>
          </w:tcPr>
          <w:p>
            <w:pPr>
              <w:spacing w:before="80" w:after="80"/>
            </w:pPr>
            <w:r>
              <w:rPr>
                <w:rFonts w:ascii="Times New Roman" w:hAnsi="Times New Roman"/>
                <w:sz w:val="21"/>
              </w:rPr>
              <w:t>High</w:t>
            </w:r>
          </w:p>
        </w:tc>
        <w:tc>
          <w:tcPr>
            <w:tcW w:type="dxa" w:w="2340"/>
            <w:vAlign w:val="center"/>
          </w:tcPr>
          <w:p>
            <w:pPr>
              <w:spacing w:before="80" w:after="80"/>
            </w:pPr>
            <w:r>
              <w:rPr>
                <w:rFonts w:ascii="Times New Roman" w:hAnsi="Times New Roman"/>
                <w:sz w:val="21"/>
              </w:rPr>
              <w:t>Premium</w:t>
            </w:r>
          </w:p>
        </w:tc>
      </w:tr>
      <w:tr>
        <w:tc>
          <w:tcPr>
            <w:tcW w:type="dxa" w:w="2340"/>
            <w:vAlign w:val="center"/>
            <w:shd w:fill="F8FAFC"/>
          </w:tcPr>
          <w:p>
            <w:pPr>
              <w:spacing w:before="80" w:after="80"/>
            </w:pPr>
            <w:r>
              <w:rPr>
                <w:rFonts w:ascii="Times New Roman" w:hAnsi="Times New Roman"/>
                <w:sz w:val="21"/>
              </w:rPr>
              <w:t>Durability Lifecycle</w:t>
            </w:r>
          </w:p>
        </w:tc>
        <w:tc>
          <w:tcPr>
            <w:tcW w:type="dxa" w:w="2340"/>
            <w:vAlign w:val="center"/>
            <w:shd w:fill="F8FAFC"/>
          </w:tcPr>
          <w:p>
            <w:pPr>
              <w:spacing w:before="80" w:after="80"/>
            </w:pPr>
            <w:r>
              <w:rPr>
                <w:rFonts w:ascii="Times New Roman" w:hAnsi="Times New Roman"/>
                <w:sz w:val="21"/>
              </w:rPr>
              <w:t>15,000 Hours</w:t>
            </w:r>
          </w:p>
        </w:tc>
        <w:tc>
          <w:tcPr>
            <w:tcW w:type="dxa" w:w="2340"/>
            <w:vAlign w:val="center"/>
            <w:shd w:fill="F8FAFC"/>
          </w:tcPr>
          <w:p>
            <w:pPr>
              <w:spacing w:before="80" w:after="80"/>
            </w:pPr>
            <w:r>
              <w:rPr>
                <w:rFonts w:ascii="Times New Roman" w:hAnsi="Times New Roman"/>
                <w:sz w:val="21"/>
              </w:rPr>
              <w:t>40,000 Hours</w:t>
            </w:r>
          </w:p>
        </w:tc>
        <w:tc>
          <w:tcPr>
            <w:tcW w:type="dxa" w:w="2340"/>
            <w:vAlign w:val="center"/>
            <w:shd w:fill="F8FAFC"/>
          </w:tcPr>
          <w:p>
            <w:pPr>
              <w:spacing w:before="80" w:after="80"/>
            </w:pPr>
            <w:r>
              <w:rPr>
                <w:rFonts w:ascii="Times New Roman" w:hAnsi="Times New Roman"/>
                <w:sz w:val="21"/>
              </w:rPr>
              <w:t>80,000 Hours</w:t>
            </w:r>
          </w:p>
        </w:tc>
      </w:tr>
    </w:tbl>
    <w:p>
      <w:pPr>
        <w:spacing w:after="160"/>
      </w:pPr>
    </w:p>
    <w:p>
      <w:pPr>
        <w:pStyle w:val="Heading3"/>
        <w:spacing w:before="240" w:after="80"/>
      </w:pPr>
      <w:r>
        <w:t>5. Summary and Key Takeaways</w:t>
      </w:r>
    </w:p>
    <w:p>
      <w:pPr>
        <w:pStyle w:val="ListBullet"/>
        <w:spacing w:after="40"/>
      </w:pPr>
      <w:r>
        <w:rPr>
          <w:rFonts w:ascii="Times New Roman" w:hAnsi="Times New Roman"/>
        </w:rPr>
        <w:t>Davisson-Germer Experiment demonstrates non-linear dependencies across boundary operational regimes.</w:t>
      </w:r>
    </w:p>
    <w:p>
      <w:pPr>
        <w:pStyle w:val="ListBullet"/>
        <w:spacing w:after="40"/>
      </w:pPr>
      <w:r>
        <w:rPr>
          <w:rFonts w:ascii="Times New Roman" w:hAnsi="Times New Roman"/>
        </w:rPr>
        <w:t>Architectural selection dictates thermal management, longevity, and overall system scalability.</w:t>
      </w:r>
    </w:p>
    <w:p>
      <w:pPr>
        <w:spacing w:before="280" w:after="80"/>
        <w:jc w:val="center"/>
      </w:pPr>
      <w:r>
        <w:drawing>
          <wp:inline xmlns:a="http://schemas.openxmlformats.org/drawingml/2006/main" xmlns:pic="http://schemas.openxmlformats.org/drawingml/2006/picture">
            <wp:extent cx="5029200" cy="2988364"/>
            <wp:docPr id="4" name="Picture 4"/>
            <wp:cNvGraphicFramePr>
              <a:graphicFrameLocks noChangeAspect="1"/>
            </wp:cNvGraphicFramePr>
            <a:graphic>
              <a:graphicData uri="http://schemas.openxmlformats.org/drawingml/2006/picture">
                <pic:pic>
                  <pic:nvPicPr>
                    <pic:cNvPr id="0" name="chart_39d00f21.png"/>
                    <pic:cNvPicPr/>
                  </pic:nvPicPr>
                  <pic:blipFill>
                    <a:blip r:embed="rId13"/>
                    <a:stretch>
                      <a:fillRect/>
                    </a:stretch>
                  </pic:blipFill>
                  <pic:spPr>
                    <a:xfrm>
                      <a:off x="0" y="0"/>
                      <a:ext cx="5029200" cy="2988364"/>
                    </a:xfrm>
                    <a:prstGeom prst="rect"/>
                  </pic:spPr>
                </pic:pic>
              </a:graphicData>
            </a:graphic>
          </wp:inline>
        </w:drawing>
      </w:r>
    </w:p>
    <w:p>
      <w:pPr>
        <w:spacing w:after="280"/>
        <w:jc w:val="center"/>
      </w:pPr>
      <w:r>
        <w:rPr>
          <w:rFonts w:ascii="Times New Roman" w:hAnsi="Times New Roman"/>
          <w:b/>
          <w:i/>
          <w:color w:val="334155"/>
          <w:sz w:val="20"/>
        </w:rPr>
        <w:t>Figure 1.4 — Technical Schematic and Operational Characteristics of Engineering Physics: Quantum Mechanics</w:t>
      </w:r>
    </w:p>
    <w:p>
      <w:pPr>
        <w:spacing w:after="240"/>
      </w:pPr>
    </w:p>
    <w:p>
      <w:pPr>
        <w:pStyle w:val="Heading2"/>
        <w:spacing w:before="400" w:after="160"/>
      </w:pPr>
      <w:r>
        <w:t>de Broglie Hypothesis</w:t>
      </w:r>
    </w:p>
    <w:p>
      <w:pPr>
        <w:pStyle w:val="Heading3"/>
        <w:spacing w:before="280" w:after="120"/>
      </w:pPr>
      <w:r>
        <w:t>de Broglie Wavelength Relation</w:t>
      </w:r>
    </w:p>
    <w:p>
      <w:pPr>
        <w:pStyle w:val="Heading3"/>
        <w:spacing w:before="240" w:after="80"/>
      </w:pPr>
      <w:r>
        <w:t>Learning Objectives</w:t>
      </w:r>
    </w:p>
    <w:p>
      <w:pPr>
        <w:pStyle w:val="ListNumber"/>
        <w:spacing w:after="40"/>
      </w:pPr>
      <w:r>
        <w:rPr>
          <w:rFonts w:ascii="Times New Roman" w:hAnsi="Times New Roman"/>
        </w:rPr>
        <w:t>Understand the theoretical foundations and core dynamics of de Broglie Wavelength Relation.</w:t>
      </w:r>
    </w:p>
    <w:p>
      <w:pPr>
        <w:pStyle w:val="ListNumber"/>
        <w:spacing w:after="40"/>
      </w:pPr>
      <w:r>
        <w:rPr>
          <w:rFonts w:ascii="Times New Roman" w:hAnsi="Times New Roman"/>
        </w:rPr>
        <w:t>Formulate governing quantitative relationships and state equations.</w:t>
      </w:r>
    </w:p>
    <w:p>
      <w:pPr>
        <w:pStyle w:val="ListNumber"/>
        <w:spacing w:after="40"/>
      </w:pPr>
      <w:r>
        <w:rPr>
          <w:rFonts w:ascii="Times New Roman" w:hAnsi="Times New Roman"/>
        </w:rPr>
        <w:t>Critically analyze industrial trade-offs, operational constraints, and failure modes.</w:t>
      </w:r>
    </w:p>
    <w:p>
      <w:pPr>
        <w:pStyle w:val="Heading3"/>
        <w:spacing w:before="240" w:after="80"/>
      </w:pPr>
      <w:r>
        <w:t>1. Introduction and Historical Context</w:t>
      </w:r>
    </w:p>
    <w:p>
      <w:pPr>
        <w:spacing w:line="360" w:lineRule="auto" w:after="120"/>
        <w:jc w:val="both"/>
      </w:pPr>
      <w:r>
        <w:rPr>
          <w:rFonts w:ascii="Times New Roman" w:hAnsi="Times New Roman"/>
        </w:rPr>
        <w:t>The development of de Broglie Wavelength Relation represents a foundational milestone in contemporary technical systems. Historically developed to address operational inefficiencies, early architectures prioritized basic functionality over thermodynamic or computational efficiency. Modern methodologies integrate rigorous closed-loop optimization to achieve optimal performance metrics.</w:t>
      </w:r>
    </w:p>
    <w:p>
      <w:pPr>
        <w:pStyle w:val="Heading3"/>
        <w:spacing w:before="240" w:after="80"/>
      </w:pPr>
      <w:r>
        <w:t>2. Theoretical Foundations and Analytical Formulation</w:t>
      </w:r>
    </w:p>
    <w:p>
      <w:pPr>
        <w:spacing w:line="360" w:lineRule="auto" w:after="120"/>
        <w:jc w:val="both"/>
      </w:pPr>
      <w:r>
        <w:rPr>
          <w:rFonts w:ascii="Times New Roman" w:hAnsi="Times New Roman"/>
        </w:rPr>
        <w:t>At its core, de Broglie Wavelength Relation operates under established physical and empirical principles. The dynamic behavior can be modeled using the generalized governing equation:</w:t>
      </w:r>
    </w:p>
    <w:p>
      <w:pPr>
        <w:spacing w:before="160" w:after="160"/>
        <w:jc w:val="center"/>
      </w:pPr>
      <m:oMathPara>
        <m:oMath>
          <m:f>
            <m:num>
              <m:r>
                <m:t>dΨ</m:t>
              </m:r>
            </m:num>
            <m:den>
              <m:r>
                <m:t>dt</m:t>
              </m:r>
            </m:den>
          </m:f>
          <m:r>
            <m:t> + ∇ · (v Ψ) = κ ∇</m:t>
          </m:r>
          <m:r>
            <m:t>^2 Ψ + </m:t>
          </m:r>
          <m:r>
            <m:t>\dot</m:t>
          </m:r>
          <m:r>
            <m:t>{S</m:t>
          </m:r>
          <m:r>
            <m:t>}</m:t>
          </m:r>
          <m:r>
            <m:t>_</m:t>
          </m:r>
          <m:r>
            <m:t>{gen</m:t>
          </m:r>
          <m:r>
            <m:t>}</m:t>
          </m:r>
        </m:oMath>
      </m:oMathPara>
    </w:p>
    <w:p>
      <w:pPr>
        <w:spacing w:line="360" w:lineRule="auto" w:after="120"/>
        <w:jc w:val="both"/>
      </w:pPr>
      <w:r>
        <w:rPr>
          <w:rFonts w:ascii="Times New Roman" w:hAnsi="Times New Roman"/>
        </w:rPr>
        <w:t>Where:</w:t>
      </w:r>
    </w:p>
    <w:p>
      <w:pPr>
        <w:pStyle w:val="ListBullet"/>
        <w:spacing w:after="40"/>
      </w:pPr>
      <w:r>
        <w:rPr>
          <w:rFonts w:ascii="Cambria Math" w:hAnsi="Cambria Math"/>
          <w:i/>
        </w:rPr>
        <w:t>Ψ</w:t>
      </w:r>
      <w:r>
        <w:rPr>
          <w:rFonts w:ascii="Times New Roman" w:hAnsi="Times New Roman"/>
        </w:rPr>
        <w:t xml:space="preserve"> represents the state variable of the system.</w:t>
      </w:r>
    </w:p>
    <w:p>
      <w:pPr>
        <w:pStyle w:val="ListBullet"/>
        <w:spacing w:after="40"/>
      </w:pPr>
      <w:r>
        <w:rPr>
          <w:rFonts w:ascii="Cambria Math" w:hAnsi="Cambria Math"/>
          <w:i/>
        </w:rPr>
        <w:t>v</w:t>
      </w:r>
      <w:r>
        <w:rPr>
          <w:rFonts w:ascii="Times New Roman" w:hAnsi="Times New Roman"/>
        </w:rPr>
        <w:t xml:space="preserve"> denotes the convective velocity field vector.</w:t>
      </w:r>
    </w:p>
    <w:p>
      <w:pPr>
        <w:pStyle w:val="ListBullet"/>
        <w:spacing w:after="40"/>
      </w:pPr>
      <w:r>
        <w:rPr>
          <w:rFonts w:ascii="Cambria Math" w:hAnsi="Cambria Math"/>
          <w:i/>
        </w:rPr>
        <w:t>κ</w:t>
      </w:r>
      <w:r>
        <w:rPr>
          <w:rFonts w:ascii="Times New Roman" w:hAnsi="Times New Roman"/>
        </w:rPr>
        <w:t xml:space="preserve"> is the effective transport diffusivity coefficient.</w:t>
      </w:r>
    </w:p>
    <w:p>
      <w:pPr>
        <w:pStyle w:val="ListBullet"/>
        <w:spacing w:after="40"/>
      </w:pPr>
      <w:r>
        <w:rPr>
          <w:rFonts w:ascii="Cambria Math" w:hAnsi="Cambria Math"/>
          <w:i/>
        </w:rPr>
        <w:t>\dot{S}_{gen}</w:t>
      </w:r>
      <w:r>
        <w:rPr>
          <w:rFonts w:ascii="Times New Roman" w:hAnsi="Times New Roman"/>
        </w:rPr>
        <w:t xml:space="preserve"> is the net volumetric internal generation rate.</w:t>
      </w:r>
    </w:p>
    <w:p>
      <w:pPr>
        <w:pStyle w:val="Heading3"/>
        <w:spacing w:before="240" w:after="80"/>
      </w:pPr>
      <w:r>
        <w:t>3. Comparison of Core Architectures</w:t>
      </w:r>
    </w:p>
    <w:p>
      <w:pPr>
        <w:spacing w:line="360" w:lineRule="auto" w:after="120"/>
        <w:jc w:val="both"/>
      </w:pPr>
      <w:r>
        <w:rPr>
          <w:rFonts w:ascii="Times New Roman" w:hAnsi="Times New Roman"/>
        </w:rPr>
        <w:t>The table below contrasts standard configurations used across modern academic and commercial implementations:</w:t>
      </w:r>
    </w:p>
    <w:tbl>
      <w:tblPr>
        <w:tblW w:type="auto" w:w="0"/>
        <w:jc w:val="center"/>
        <w:tblLayout w:type="autofit"/>
        <w:tblLook w:firstColumn="1" w:firstRow="1" w:lastColumn="0" w:lastRow="0" w:noHBand="0" w:noVBand="1" w:val="04A0"/>
        <w:tblBorders>
          <w:top w:val="single" w:sz="6" w:space="0" w:color="CBD5E1"/>
          <w:left w:val="none"/>
          <w:bottom w:val="single" w:sz="8" w:space="0" w:color="475569"/>
          <w:right w:val="none"/>
          <w:insideH w:val="single" w:sz="4" w:space="0" w:color="E2E8F0"/>
          <w:insideV w:val="none"/>
        </w:tblBorders>
      </w:tblPr>
      <w:tblGrid>
        <w:gridCol w:w="2340"/>
        <w:gridCol w:w="2340"/>
        <w:gridCol w:w="2340"/>
        <w:gridCol w:w="2340"/>
      </w:tblGrid>
      <w:tr>
        <w:tc>
          <w:tcPr>
            <w:tcW w:type="dxa" w:w="2340"/>
            <w:vAlign w:val="center"/>
            <w:shd w:fill="1E3A8A"/>
          </w:tcPr>
          <w:p>
            <w:pPr>
              <w:spacing w:before="80" w:after="80"/>
            </w:pPr>
            <w:r>
              <w:rPr>
                <w:rFonts w:ascii="Times New Roman" w:hAnsi="Times New Roman"/>
                <w:b/>
                <w:color w:val="FFFFFF"/>
                <w:sz w:val="22"/>
              </w:rPr>
              <w:t>Parameter</w:t>
            </w:r>
          </w:p>
        </w:tc>
        <w:tc>
          <w:tcPr>
            <w:tcW w:type="dxa" w:w="2340"/>
            <w:vAlign w:val="center"/>
            <w:shd w:fill="1E3A8A"/>
          </w:tcPr>
          <w:p>
            <w:pPr>
              <w:spacing w:before="80" w:after="80"/>
            </w:pPr>
            <w:r>
              <w:rPr>
                <w:rFonts w:ascii="Times New Roman" w:hAnsi="Times New Roman"/>
                <w:b/>
                <w:color w:val="FFFFFF"/>
                <w:sz w:val="22"/>
              </w:rPr>
              <w:t>Configuration Alpha</w:t>
            </w:r>
          </w:p>
        </w:tc>
        <w:tc>
          <w:tcPr>
            <w:tcW w:type="dxa" w:w="2340"/>
            <w:vAlign w:val="center"/>
            <w:shd w:fill="1E3A8A"/>
          </w:tcPr>
          <w:p>
            <w:pPr>
              <w:spacing w:before="80" w:after="80"/>
            </w:pPr>
            <w:r>
              <w:rPr>
                <w:rFonts w:ascii="Times New Roman" w:hAnsi="Times New Roman"/>
                <w:b/>
                <w:color w:val="FFFFFF"/>
                <w:sz w:val="22"/>
              </w:rPr>
              <w:t>Configuration Beta</w:t>
            </w:r>
          </w:p>
        </w:tc>
        <w:tc>
          <w:tcPr>
            <w:tcW w:type="dxa" w:w="2340"/>
            <w:vAlign w:val="center"/>
            <w:shd w:fill="1E3A8A"/>
          </w:tcPr>
          <w:p>
            <w:pPr>
              <w:spacing w:before="80" w:after="80"/>
            </w:pPr>
            <w:r>
              <w:rPr>
                <w:rFonts w:ascii="Times New Roman" w:hAnsi="Times New Roman"/>
                <w:b/>
                <w:color w:val="FFFFFF"/>
                <w:sz w:val="22"/>
              </w:rPr>
              <w:t>Configuration Gamma</w:t>
            </w:r>
          </w:p>
        </w:tc>
      </w:tr>
      <w:tr>
        <w:tc>
          <w:tcPr>
            <w:tcW w:type="dxa" w:w="2340"/>
            <w:vAlign w:val="center"/>
            <w:shd w:fill="F8FAFC"/>
          </w:tcPr>
          <w:p>
            <w:pPr>
              <w:spacing w:before="80" w:after="80"/>
            </w:pPr>
            <w:r>
              <w:rPr>
                <w:rFonts w:ascii="Times New Roman" w:hAnsi="Times New Roman"/>
                <w:sz w:val="21"/>
              </w:rPr>
              <w:t>Operational Efficiency</w:t>
            </w:r>
          </w:p>
        </w:tc>
        <w:tc>
          <w:tcPr>
            <w:tcW w:type="dxa" w:w="2340"/>
            <w:vAlign w:val="center"/>
            <w:shd w:fill="F8FAFC"/>
          </w:tcPr>
          <w:p>
            <w:pPr>
              <w:spacing w:before="80" w:after="80"/>
            </w:pPr>
            <w:r>
              <w:rPr>
                <w:rFonts w:ascii="Times New Roman" w:hAnsi="Times New Roman"/>
                <w:sz w:val="21"/>
              </w:rPr>
              <w:t>42% - 48%</w:t>
            </w:r>
          </w:p>
        </w:tc>
        <w:tc>
          <w:tcPr>
            <w:tcW w:type="dxa" w:w="2340"/>
            <w:vAlign w:val="center"/>
            <w:shd w:fill="F8FAFC"/>
          </w:tcPr>
          <w:p>
            <w:pPr>
              <w:spacing w:before="80" w:after="80"/>
            </w:pPr>
            <w:r>
              <w:rPr>
                <w:rFonts w:ascii="Times New Roman" w:hAnsi="Times New Roman"/>
                <w:sz w:val="21"/>
              </w:rPr>
              <w:t>55% - 62%</w:t>
            </w:r>
          </w:p>
        </w:tc>
        <w:tc>
          <w:tcPr>
            <w:tcW w:type="dxa" w:w="2340"/>
            <w:vAlign w:val="center"/>
            <w:shd w:fill="F8FAFC"/>
          </w:tcPr>
          <w:p>
            <w:pPr>
              <w:spacing w:before="80" w:after="80"/>
            </w:pPr>
            <w:r>
              <w:rPr>
                <w:rFonts w:ascii="Times New Roman" w:hAnsi="Times New Roman"/>
                <w:sz w:val="21"/>
              </w:rPr>
              <w:t>68% - 74%</w:t>
            </w:r>
          </w:p>
        </w:tc>
      </w:tr>
      <w:tr>
        <w:tc>
          <w:tcPr>
            <w:tcW w:type="dxa" w:w="2340"/>
            <w:vAlign w:val="center"/>
          </w:tcPr>
          <w:p>
            <w:pPr>
              <w:spacing w:before="80" w:after="80"/>
            </w:pPr>
            <w:r>
              <w:rPr>
                <w:rFonts w:ascii="Times New Roman" w:hAnsi="Times New Roman"/>
                <w:sz w:val="21"/>
              </w:rPr>
              <w:t>Temperature Range</w:t>
            </w:r>
          </w:p>
        </w:tc>
        <w:tc>
          <w:tcPr>
            <w:tcW w:type="dxa" w:w="2340"/>
            <w:vAlign w:val="center"/>
          </w:tcPr>
          <w:p>
            <w:pPr>
              <w:spacing w:before="80" w:after="80"/>
            </w:pPr>
            <w:r>
              <w:rPr>
                <w:rFonts w:ascii="Times New Roman" w:hAnsi="Times New Roman"/>
                <w:sz w:val="21"/>
              </w:rPr>
              <w:t>60°C - 80°C</w:t>
            </w:r>
          </w:p>
        </w:tc>
        <w:tc>
          <w:tcPr>
            <w:tcW w:type="dxa" w:w="2340"/>
            <w:vAlign w:val="center"/>
          </w:tcPr>
          <w:p>
            <w:pPr>
              <w:spacing w:before="80" w:after="80"/>
            </w:pPr>
            <w:r>
              <w:rPr>
                <w:rFonts w:ascii="Times New Roman" w:hAnsi="Times New Roman"/>
                <w:sz w:val="21"/>
              </w:rPr>
              <w:t>120°C - 180°C</w:t>
            </w:r>
          </w:p>
        </w:tc>
        <w:tc>
          <w:tcPr>
            <w:tcW w:type="dxa" w:w="2340"/>
            <w:vAlign w:val="center"/>
          </w:tcPr>
          <w:p>
            <w:pPr>
              <w:spacing w:before="80" w:after="80"/>
            </w:pPr>
            <w:r>
              <w:rPr>
                <w:rFonts w:ascii="Times New Roman" w:hAnsi="Times New Roman"/>
                <w:sz w:val="21"/>
              </w:rPr>
              <w:t>600°C - 800°C</w:t>
            </w:r>
          </w:p>
        </w:tc>
      </w:tr>
      <w:tr>
        <w:tc>
          <w:tcPr>
            <w:tcW w:type="dxa" w:w="2340"/>
            <w:vAlign w:val="center"/>
            <w:shd w:fill="F8FAFC"/>
          </w:tcPr>
          <w:p>
            <w:pPr>
              <w:spacing w:before="80" w:after="80"/>
            </w:pPr>
            <w:r>
              <w:rPr>
                <w:rFonts w:ascii="Times New Roman" w:hAnsi="Times New Roman"/>
                <w:sz w:val="21"/>
              </w:rPr>
              <w:t>Response Latency</w:t>
            </w:r>
          </w:p>
        </w:tc>
        <w:tc>
          <w:tcPr>
            <w:tcW w:type="dxa" w:w="2340"/>
            <w:vAlign w:val="center"/>
            <w:shd w:fill="F8FAFC"/>
          </w:tcPr>
          <w:p>
            <w:pPr>
              <w:spacing w:before="80" w:after="80"/>
            </w:pPr>
            <w:r>
              <w:rPr>
                <w:rFonts w:ascii="Times New Roman" w:hAnsi="Times New Roman"/>
                <w:sz w:val="21"/>
              </w:rPr>
              <w:t>&lt; 5 ms</w:t>
            </w:r>
          </w:p>
        </w:tc>
        <w:tc>
          <w:tcPr>
            <w:tcW w:type="dxa" w:w="2340"/>
            <w:vAlign w:val="center"/>
            <w:shd w:fill="F8FAFC"/>
          </w:tcPr>
          <w:p>
            <w:pPr>
              <w:spacing w:before="80" w:after="80"/>
            </w:pPr>
            <w:r>
              <w:rPr>
                <w:rFonts w:ascii="Times New Roman" w:hAnsi="Times New Roman"/>
                <w:sz w:val="21"/>
              </w:rPr>
              <w:t>25 ms</w:t>
            </w:r>
          </w:p>
        </w:tc>
        <w:tc>
          <w:tcPr>
            <w:tcW w:type="dxa" w:w="2340"/>
            <w:vAlign w:val="center"/>
            <w:shd w:fill="F8FAFC"/>
          </w:tcPr>
          <w:p>
            <w:pPr>
              <w:spacing w:before="80" w:after="80"/>
            </w:pPr>
            <w:r>
              <w:rPr>
                <w:rFonts w:ascii="Times New Roman" w:hAnsi="Times New Roman"/>
                <w:sz w:val="21"/>
              </w:rPr>
              <w:t>&gt; 100 ms</w:t>
            </w:r>
          </w:p>
        </w:tc>
      </w:tr>
      <w:tr>
        <w:tc>
          <w:tcPr>
            <w:tcW w:type="dxa" w:w="2340"/>
            <w:vAlign w:val="center"/>
          </w:tcPr>
          <w:p>
            <w:pPr>
              <w:spacing w:before="80" w:after="80"/>
            </w:pPr>
            <w:r>
              <w:rPr>
                <w:rFonts w:ascii="Times New Roman" w:hAnsi="Times New Roman"/>
                <w:sz w:val="21"/>
              </w:rPr>
              <w:t>Capital Cost Index</w:t>
            </w:r>
          </w:p>
        </w:tc>
        <w:tc>
          <w:tcPr>
            <w:tcW w:type="dxa" w:w="2340"/>
            <w:vAlign w:val="center"/>
          </w:tcPr>
          <w:p>
            <w:pPr>
              <w:spacing w:before="80" w:after="80"/>
            </w:pPr>
            <w:r>
              <w:rPr>
                <w:rFonts w:ascii="Times New Roman" w:hAnsi="Times New Roman"/>
                <w:sz w:val="21"/>
              </w:rPr>
              <w:t>Moderate</w:t>
            </w:r>
          </w:p>
        </w:tc>
        <w:tc>
          <w:tcPr>
            <w:tcW w:type="dxa" w:w="2340"/>
            <w:vAlign w:val="center"/>
          </w:tcPr>
          <w:p>
            <w:pPr>
              <w:spacing w:before="80" w:after="80"/>
            </w:pPr>
            <w:r>
              <w:rPr>
                <w:rFonts w:ascii="Times New Roman" w:hAnsi="Times New Roman"/>
                <w:sz w:val="21"/>
              </w:rPr>
              <w:t>High</w:t>
            </w:r>
          </w:p>
        </w:tc>
        <w:tc>
          <w:tcPr>
            <w:tcW w:type="dxa" w:w="2340"/>
            <w:vAlign w:val="center"/>
          </w:tcPr>
          <w:p>
            <w:pPr>
              <w:spacing w:before="80" w:after="80"/>
            </w:pPr>
            <w:r>
              <w:rPr>
                <w:rFonts w:ascii="Times New Roman" w:hAnsi="Times New Roman"/>
                <w:sz w:val="21"/>
              </w:rPr>
              <w:t>Premium</w:t>
            </w:r>
          </w:p>
        </w:tc>
      </w:tr>
      <w:tr>
        <w:tc>
          <w:tcPr>
            <w:tcW w:type="dxa" w:w="2340"/>
            <w:vAlign w:val="center"/>
            <w:shd w:fill="F8FAFC"/>
          </w:tcPr>
          <w:p>
            <w:pPr>
              <w:spacing w:before="80" w:after="80"/>
            </w:pPr>
            <w:r>
              <w:rPr>
                <w:rFonts w:ascii="Times New Roman" w:hAnsi="Times New Roman"/>
                <w:sz w:val="21"/>
              </w:rPr>
              <w:t>Durability Lifecycle</w:t>
            </w:r>
          </w:p>
        </w:tc>
        <w:tc>
          <w:tcPr>
            <w:tcW w:type="dxa" w:w="2340"/>
            <w:vAlign w:val="center"/>
            <w:shd w:fill="F8FAFC"/>
          </w:tcPr>
          <w:p>
            <w:pPr>
              <w:spacing w:before="80" w:after="80"/>
            </w:pPr>
            <w:r>
              <w:rPr>
                <w:rFonts w:ascii="Times New Roman" w:hAnsi="Times New Roman"/>
                <w:sz w:val="21"/>
              </w:rPr>
              <w:t>15,000 Hours</w:t>
            </w:r>
          </w:p>
        </w:tc>
        <w:tc>
          <w:tcPr>
            <w:tcW w:type="dxa" w:w="2340"/>
            <w:vAlign w:val="center"/>
            <w:shd w:fill="F8FAFC"/>
          </w:tcPr>
          <w:p>
            <w:pPr>
              <w:spacing w:before="80" w:after="80"/>
            </w:pPr>
            <w:r>
              <w:rPr>
                <w:rFonts w:ascii="Times New Roman" w:hAnsi="Times New Roman"/>
                <w:sz w:val="21"/>
              </w:rPr>
              <w:t>40,000 Hours</w:t>
            </w:r>
          </w:p>
        </w:tc>
        <w:tc>
          <w:tcPr>
            <w:tcW w:type="dxa" w:w="2340"/>
            <w:vAlign w:val="center"/>
            <w:shd w:fill="F8FAFC"/>
          </w:tcPr>
          <w:p>
            <w:pPr>
              <w:spacing w:before="80" w:after="80"/>
            </w:pPr>
            <w:r>
              <w:rPr>
                <w:rFonts w:ascii="Times New Roman" w:hAnsi="Times New Roman"/>
                <w:sz w:val="21"/>
              </w:rPr>
              <w:t>80,000 Hours</w:t>
            </w:r>
          </w:p>
        </w:tc>
      </w:tr>
    </w:tbl>
    <w:p>
      <w:pPr>
        <w:spacing w:after="160"/>
      </w:pPr>
    </w:p>
    <w:p>
      <w:pPr>
        <w:pStyle w:val="Heading3"/>
        <w:spacing w:before="240" w:after="80"/>
      </w:pPr>
      <w:r>
        <w:t>5. Summary and Key Takeaways</w:t>
      </w:r>
    </w:p>
    <w:p>
      <w:pPr>
        <w:pStyle w:val="ListBullet"/>
        <w:spacing w:after="40"/>
      </w:pPr>
      <w:r>
        <w:rPr>
          <w:rFonts w:ascii="Times New Roman" w:hAnsi="Times New Roman"/>
        </w:rPr>
        <w:t>de Broglie Wavelength Relation demonstrates non-linear dependencies across boundary operational regimes.</w:t>
      </w:r>
    </w:p>
    <w:p>
      <w:pPr>
        <w:pStyle w:val="ListBullet"/>
        <w:spacing w:after="40"/>
      </w:pPr>
      <w:r>
        <w:rPr>
          <w:rFonts w:ascii="Times New Roman" w:hAnsi="Times New Roman"/>
        </w:rPr>
        <w:t>Architectural selection dictates thermal management, longevity, and overall system scalability.</w:t>
      </w:r>
    </w:p>
    <w:p>
      <w:pPr>
        <w:spacing w:before="280" w:after="80"/>
        <w:jc w:val="center"/>
      </w:pPr>
      <w:r>
        <w:drawing>
          <wp:inline xmlns:a="http://schemas.openxmlformats.org/drawingml/2006/main" xmlns:pic="http://schemas.openxmlformats.org/drawingml/2006/picture">
            <wp:extent cx="5029200" cy="2988364"/>
            <wp:docPr id="5" name="Picture 5"/>
            <wp:cNvGraphicFramePr>
              <a:graphicFrameLocks noChangeAspect="1"/>
            </wp:cNvGraphicFramePr>
            <a:graphic>
              <a:graphicData uri="http://schemas.openxmlformats.org/drawingml/2006/picture">
                <pic:pic>
                  <pic:nvPicPr>
                    <pic:cNvPr id="0" name="chart_f8570072.png"/>
                    <pic:cNvPicPr/>
                  </pic:nvPicPr>
                  <pic:blipFill>
                    <a:blip r:embed="rId14"/>
                    <a:stretch>
                      <a:fillRect/>
                    </a:stretch>
                  </pic:blipFill>
                  <pic:spPr>
                    <a:xfrm>
                      <a:off x="0" y="0"/>
                      <a:ext cx="5029200" cy="2988364"/>
                    </a:xfrm>
                    <a:prstGeom prst="rect"/>
                  </pic:spPr>
                </pic:pic>
              </a:graphicData>
            </a:graphic>
          </wp:inline>
        </w:drawing>
      </w:r>
    </w:p>
    <w:p>
      <w:pPr>
        <w:spacing w:after="280"/>
        <w:jc w:val="center"/>
      </w:pPr>
      <w:r>
        <w:rPr>
          <w:rFonts w:ascii="Times New Roman" w:hAnsi="Times New Roman"/>
          <w:b/>
          <w:i/>
          <w:color w:val="334155"/>
          <w:sz w:val="20"/>
        </w:rPr>
        <w:t>Figure 1.5 — Technical Schematic and Operational Characteristics of Engineering Physics: Quantum Mechanics</w:t>
      </w:r>
    </w:p>
    <w:p>
      <w:pPr>
        <w:spacing w:after="240"/>
      </w:pPr>
    </w:p>
    <w:p>
      <w:pPr>
        <w:pStyle w:val="Heading3"/>
        <w:spacing w:before="280" w:after="120"/>
      </w:pPr>
      <w:r>
        <w:t>Phase and Group Velocities of Matter Waves</w:t>
      </w:r>
    </w:p>
    <w:p>
      <w:pPr>
        <w:pStyle w:val="Heading3"/>
        <w:spacing w:before="240" w:after="80"/>
      </w:pPr>
      <w:r>
        <w:t>Learning Objectives</w:t>
      </w:r>
    </w:p>
    <w:p>
      <w:pPr>
        <w:pStyle w:val="ListNumber"/>
        <w:spacing w:after="40"/>
      </w:pPr>
      <w:r>
        <w:rPr>
          <w:rFonts w:ascii="Times New Roman" w:hAnsi="Times New Roman"/>
        </w:rPr>
        <w:t>Understand the theoretical foundations and core dynamics of Phase and Group Velocities of Matter Waves.</w:t>
      </w:r>
    </w:p>
    <w:p>
      <w:pPr>
        <w:pStyle w:val="ListNumber"/>
        <w:spacing w:after="40"/>
      </w:pPr>
      <w:r>
        <w:rPr>
          <w:rFonts w:ascii="Times New Roman" w:hAnsi="Times New Roman"/>
        </w:rPr>
        <w:t>Formulate governing quantitative relationships and state equations.</w:t>
      </w:r>
    </w:p>
    <w:p>
      <w:pPr>
        <w:pStyle w:val="ListNumber"/>
        <w:spacing w:after="40"/>
      </w:pPr>
      <w:r>
        <w:rPr>
          <w:rFonts w:ascii="Times New Roman" w:hAnsi="Times New Roman"/>
        </w:rPr>
        <w:t>Critically analyze industrial trade-offs, operational constraints, and failure modes.</w:t>
      </w:r>
    </w:p>
    <w:p>
      <w:pPr>
        <w:pStyle w:val="Heading3"/>
        <w:spacing w:before="240" w:after="80"/>
      </w:pPr>
      <w:r>
        <w:t>1. Introduction and Historical Context</w:t>
      </w:r>
    </w:p>
    <w:p>
      <w:pPr>
        <w:spacing w:line="360" w:lineRule="auto" w:after="120"/>
        <w:jc w:val="both"/>
      </w:pPr>
      <w:r>
        <w:rPr>
          <w:rFonts w:ascii="Times New Roman" w:hAnsi="Times New Roman"/>
        </w:rPr>
        <w:t>The development of Phase and Group Velocities of Matter Waves represents a foundational milestone in contemporary technical systems. Historically developed to address operational inefficiencies, early architectures prioritized basic functionality over thermodynamic or computational efficiency. Modern methodologies integrate rigorous closed-loop optimization to achieve optimal performance metrics.</w:t>
      </w:r>
    </w:p>
    <w:p>
      <w:pPr>
        <w:pStyle w:val="Heading3"/>
        <w:spacing w:before="240" w:after="80"/>
      </w:pPr>
      <w:r>
        <w:t>2. Theoretical Foundations and Analytical Formulation</w:t>
      </w:r>
    </w:p>
    <w:p>
      <w:pPr>
        <w:spacing w:line="360" w:lineRule="auto" w:after="120"/>
        <w:jc w:val="both"/>
      </w:pPr>
      <w:r>
        <w:rPr>
          <w:rFonts w:ascii="Times New Roman" w:hAnsi="Times New Roman"/>
        </w:rPr>
        <w:t>At its core, Phase and Group Velocities of Matter Waves operates under established physical and empirical principles. The dynamic behavior can be modeled using the generalized governing equation:</w:t>
      </w:r>
    </w:p>
    <w:p>
      <w:pPr>
        <w:spacing w:before="160" w:after="160"/>
        <w:jc w:val="center"/>
      </w:pPr>
      <m:oMathPara>
        <m:oMath>
          <m:f>
            <m:num>
              <m:r>
                <m:t>dΨ</m:t>
              </m:r>
            </m:num>
            <m:den>
              <m:r>
                <m:t>dt</m:t>
              </m:r>
            </m:den>
          </m:f>
          <m:r>
            <m:t> + ∇ · (v Ψ) = κ ∇</m:t>
          </m:r>
          <m:r>
            <m:t>^2 Ψ + </m:t>
          </m:r>
          <m:r>
            <m:t>\dot</m:t>
          </m:r>
          <m:r>
            <m:t>{S</m:t>
          </m:r>
          <m:r>
            <m:t>}</m:t>
          </m:r>
          <m:r>
            <m:t>_</m:t>
          </m:r>
          <m:r>
            <m:t>{gen</m:t>
          </m:r>
          <m:r>
            <m:t>}</m:t>
          </m:r>
        </m:oMath>
      </m:oMathPara>
    </w:p>
    <w:p>
      <w:pPr>
        <w:spacing w:line="360" w:lineRule="auto" w:after="120"/>
        <w:jc w:val="both"/>
      </w:pPr>
      <w:r>
        <w:rPr>
          <w:rFonts w:ascii="Times New Roman" w:hAnsi="Times New Roman"/>
        </w:rPr>
        <w:t>Where:</w:t>
      </w:r>
    </w:p>
    <w:p>
      <w:pPr>
        <w:pStyle w:val="ListBullet"/>
        <w:spacing w:after="40"/>
      </w:pPr>
      <w:r>
        <w:rPr>
          <w:rFonts w:ascii="Cambria Math" w:hAnsi="Cambria Math"/>
          <w:i/>
        </w:rPr>
        <w:t>Ψ</w:t>
      </w:r>
      <w:r>
        <w:rPr>
          <w:rFonts w:ascii="Times New Roman" w:hAnsi="Times New Roman"/>
        </w:rPr>
        <w:t xml:space="preserve"> represents the state variable of the system.</w:t>
      </w:r>
    </w:p>
    <w:p>
      <w:pPr>
        <w:pStyle w:val="ListBullet"/>
        <w:spacing w:after="40"/>
      </w:pPr>
      <w:r>
        <w:rPr>
          <w:rFonts w:ascii="Cambria Math" w:hAnsi="Cambria Math"/>
          <w:i/>
        </w:rPr>
        <w:t>v</w:t>
      </w:r>
      <w:r>
        <w:rPr>
          <w:rFonts w:ascii="Times New Roman" w:hAnsi="Times New Roman"/>
        </w:rPr>
        <w:t xml:space="preserve"> denotes the convective velocity field vector.</w:t>
      </w:r>
    </w:p>
    <w:p>
      <w:pPr>
        <w:pStyle w:val="ListBullet"/>
        <w:spacing w:after="40"/>
      </w:pPr>
      <w:r>
        <w:rPr>
          <w:rFonts w:ascii="Cambria Math" w:hAnsi="Cambria Math"/>
          <w:i/>
        </w:rPr>
        <w:t>κ</w:t>
      </w:r>
      <w:r>
        <w:rPr>
          <w:rFonts w:ascii="Times New Roman" w:hAnsi="Times New Roman"/>
        </w:rPr>
        <w:t xml:space="preserve"> is the effective transport diffusivity coefficient.</w:t>
      </w:r>
    </w:p>
    <w:p>
      <w:pPr>
        <w:pStyle w:val="ListBullet"/>
        <w:spacing w:after="40"/>
      </w:pPr>
      <w:r>
        <w:rPr>
          <w:rFonts w:ascii="Cambria Math" w:hAnsi="Cambria Math"/>
          <w:i/>
        </w:rPr>
        <w:t>\dot{S}_{gen}</w:t>
      </w:r>
      <w:r>
        <w:rPr>
          <w:rFonts w:ascii="Times New Roman" w:hAnsi="Times New Roman"/>
        </w:rPr>
        <w:t xml:space="preserve"> is the net volumetric internal generation rate.</w:t>
      </w:r>
    </w:p>
    <w:p>
      <w:pPr>
        <w:pStyle w:val="Heading3"/>
        <w:spacing w:before="240" w:after="80"/>
      </w:pPr>
      <w:r>
        <w:t>3. Comparison of Core Architectures</w:t>
      </w:r>
    </w:p>
    <w:p>
      <w:pPr>
        <w:spacing w:line="360" w:lineRule="auto" w:after="120"/>
        <w:jc w:val="both"/>
      </w:pPr>
      <w:r>
        <w:rPr>
          <w:rFonts w:ascii="Times New Roman" w:hAnsi="Times New Roman"/>
        </w:rPr>
        <w:t>The table below contrasts standard configurations used across modern academic and commercial implementations:</w:t>
      </w:r>
    </w:p>
    <w:tbl>
      <w:tblPr>
        <w:tblW w:type="auto" w:w="0"/>
        <w:jc w:val="center"/>
        <w:tblLayout w:type="autofit"/>
        <w:tblLook w:firstColumn="1" w:firstRow="1" w:lastColumn="0" w:lastRow="0" w:noHBand="0" w:noVBand="1" w:val="04A0"/>
        <w:tblBorders>
          <w:top w:val="single" w:sz="6" w:space="0" w:color="CBD5E1"/>
          <w:left w:val="none"/>
          <w:bottom w:val="single" w:sz="8" w:space="0" w:color="475569"/>
          <w:right w:val="none"/>
          <w:insideH w:val="single" w:sz="4" w:space="0" w:color="E2E8F0"/>
          <w:insideV w:val="none"/>
        </w:tblBorders>
      </w:tblPr>
      <w:tblGrid>
        <w:gridCol w:w="2340"/>
        <w:gridCol w:w="2340"/>
        <w:gridCol w:w="2340"/>
        <w:gridCol w:w="2340"/>
      </w:tblGrid>
      <w:tr>
        <w:tc>
          <w:tcPr>
            <w:tcW w:type="dxa" w:w="2340"/>
            <w:vAlign w:val="center"/>
            <w:shd w:fill="1E3A8A"/>
          </w:tcPr>
          <w:p>
            <w:pPr>
              <w:spacing w:before="80" w:after="80"/>
            </w:pPr>
            <w:r>
              <w:rPr>
                <w:rFonts w:ascii="Times New Roman" w:hAnsi="Times New Roman"/>
                <w:b/>
                <w:color w:val="FFFFFF"/>
                <w:sz w:val="22"/>
              </w:rPr>
              <w:t>Parameter</w:t>
            </w:r>
          </w:p>
        </w:tc>
        <w:tc>
          <w:tcPr>
            <w:tcW w:type="dxa" w:w="2340"/>
            <w:vAlign w:val="center"/>
            <w:shd w:fill="1E3A8A"/>
          </w:tcPr>
          <w:p>
            <w:pPr>
              <w:spacing w:before="80" w:after="80"/>
            </w:pPr>
            <w:r>
              <w:rPr>
                <w:rFonts w:ascii="Times New Roman" w:hAnsi="Times New Roman"/>
                <w:b/>
                <w:color w:val="FFFFFF"/>
                <w:sz w:val="22"/>
              </w:rPr>
              <w:t>Configuration Alpha</w:t>
            </w:r>
          </w:p>
        </w:tc>
        <w:tc>
          <w:tcPr>
            <w:tcW w:type="dxa" w:w="2340"/>
            <w:vAlign w:val="center"/>
            <w:shd w:fill="1E3A8A"/>
          </w:tcPr>
          <w:p>
            <w:pPr>
              <w:spacing w:before="80" w:after="80"/>
            </w:pPr>
            <w:r>
              <w:rPr>
                <w:rFonts w:ascii="Times New Roman" w:hAnsi="Times New Roman"/>
                <w:b/>
                <w:color w:val="FFFFFF"/>
                <w:sz w:val="22"/>
              </w:rPr>
              <w:t>Configuration Beta</w:t>
            </w:r>
          </w:p>
        </w:tc>
        <w:tc>
          <w:tcPr>
            <w:tcW w:type="dxa" w:w="2340"/>
            <w:vAlign w:val="center"/>
            <w:shd w:fill="1E3A8A"/>
          </w:tcPr>
          <w:p>
            <w:pPr>
              <w:spacing w:before="80" w:after="80"/>
            </w:pPr>
            <w:r>
              <w:rPr>
                <w:rFonts w:ascii="Times New Roman" w:hAnsi="Times New Roman"/>
                <w:b/>
                <w:color w:val="FFFFFF"/>
                <w:sz w:val="22"/>
              </w:rPr>
              <w:t>Configuration Gamma</w:t>
            </w:r>
          </w:p>
        </w:tc>
      </w:tr>
      <w:tr>
        <w:tc>
          <w:tcPr>
            <w:tcW w:type="dxa" w:w="2340"/>
            <w:vAlign w:val="center"/>
            <w:shd w:fill="F8FAFC"/>
          </w:tcPr>
          <w:p>
            <w:pPr>
              <w:spacing w:before="80" w:after="80"/>
            </w:pPr>
            <w:r>
              <w:rPr>
                <w:rFonts w:ascii="Times New Roman" w:hAnsi="Times New Roman"/>
                <w:sz w:val="21"/>
              </w:rPr>
              <w:t>Operational Efficiency</w:t>
            </w:r>
          </w:p>
        </w:tc>
        <w:tc>
          <w:tcPr>
            <w:tcW w:type="dxa" w:w="2340"/>
            <w:vAlign w:val="center"/>
            <w:shd w:fill="F8FAFC"/>
          </w:tcPr>
          <w:p>
            <w:pPr>
              <w:spacing w:before="80" w:after="80"/>
            </w:pPr>
            <w:r>
              <w:rPr>
                <w:rFonts w:ascii="Times New Roman" w:hAnsi="Times New Roman"/>
                <w:sz w:val="21"/>
              </w:rPr>
              <w:t>42% - 48%</w:t>
            </w:r>
          </w:p>
        </w:tc>
        <w:tc>
          <w:tcPr>
            <w:tcW w:type="dxa" w:w="2340"/>
            <w:vAlign w:val="center"/>
            <w:shd w:fill="F8FAFC"/>
          </w:tcPr>
          <w:p>
            <w:pPr>
              <w:spacing w:before="80" w:after="80"/>
            </w:pPr>
            <w:r>
              <w:rPr>
                <w:rFonts w:ascii="Times New Roman" w:hAnsi="Times New Roman"/>
                <w:sz w:val="21"/>
              </w:rPr>
              <w:t>55% - 62%</w:t>
            </w:r>
          </w:p>
        </w:tc>
        <w:tc>
          <w:tcPr>
            <w:tcW w:type="dxa" w:w="2340"/>
            <w:vAlign w:val="center"/>
            <w:shd w:fill="F8FAFC"/>
          </w:tcPr>
          <w:p>
            <w:pPr>
              <w:spacing w:before="80" w:after="80"/>
            </w:pPr>
            <w:r>
              <w:rPr>
                <w:rFonts w:ascii="Times New Roman" w:hAnsi="Times New Roman"/>
                <w:sz w:val="21"/>
              </w:rPr>
              <w:t>68% - 74%</w:t>
            </w:r>
          </w:p>
        </w:tc>
      </w:tr>
      <w:tr>
        <w:tc>
          <w:tcPr>
            <w:tcW w:type="dxa" w:w="2340"/>
            <w:vAlign w:val="center"/>
          </w:tcPr>
          <w:p>
            <w:pPr>
              <w:spacing w:before="80" w:after="80"/>
            </w:pPr>
            <w:r>
              <w:rPr>
                <w:rFonts w:ascii="Times New Roman" w:hAnsi="Times New Roman"/>
                <w:sz w:val="21"/>
              </w:rPr>
              <w:t>Temperature Range</w:t>
            </w:r>
          </w:p>
        </w:tc>
        <w:tc>
          <w:tcPr>
            <w:tcW w:type="dxa" w:w="2340"/>
            <w:vAlign w:val="center"/>
          </w:tcPr>
          <w:p>
            <w:pPr>
              <w:spacing w:before="80" w:after="80"/>
            </w:pPr>
            <w:r>
              <w:rPr>
                <w:rFonts w:ascii="Times New Roman" w:hAnsi="Times New Roman"/>
                <w:sz w:val="21"/>
              </w:rPr>
              <w:t>60°C - 80°C</w:t>
            </w:r>
          </w:p>
        </w:tc>
        <w:tc>
          <w:tcPr>
            <w:tcW w:type="dxa" w:w="2340"/>
            <w:vAlign w:val="center"/>
          </w:tcPr>
          <w:p>
            <w:pPr>
              <w:spacing w:before="80" w:after="80"/>
            </w:pPr>
            <w:r>
              <w:rPr>
                <w:rFonts w:ascii="Times New Roman" w:hAnsi="Times New Roman"/>
                <w:sz w:val="21"/>
              </w:rPr>
              <w:t>120°C - 180°C</w:t>
            </w:r>
          </w:p>
        </w:tc>
        <w:tc>
          <w:tcPr>
            <w:tcW w:type="dxa" w:w="2340"/>
            <w:vAlign w:val="center"/>
          </w:tcPr>
          <w:p>
            <w:pPr>
              <w:spacing w:before="80" w:after="80"/>
            </w:pPr>
            <w:r>
              <w:rPr>
                <w:rFonts w:ascii="Times New Roman" w:hAnsi="Times New Roman"/>
                <w:sz w:val="21"/>
              </w:rPr>
              <w:t>600°C - 800°C</w:t>
            </w:r>
          </w:p>
        </w:tc>
      </w:tr>
      <w:tr>
        <w:tc>
          <w:tcPr>
            <w:tcW w:type="dxa" w:w="2340"/>
            <w:vAlign w:val="center"/>
            <w:shd w:fill="F8FAFC"/>
          </w:tcPr>
          <w:p>
            <w:pPr>
              <w:spacing w:before="80" w:after="80"/>
            </w:pPr>
            <w:r>
              <w:rPr>
                <w:rFonts w:ascii="Times New Roman" w:hAnsi="Times New Roman"/>
                <w:sz w:val="21"/>
              </w:rPr>
              <w:t>Response Latency</w:t>
            </w:r>
          </w:p>
        </w:tc>
        <w:tc>
          <w:tcPr>
            <w:tcW w:type="dxa" w:w="2340"/>
            <w:vAlign w:val="center"/>
            <w:shd w:fill="F8FAFC"/>
          </w:tcPr>
          <w:p>
            <w:pPr>
              <w:spacing w:before="80" w:after="80"/>
            </w:pPr>
            <w:r>
              <w:rPr>
                <w:rFonts w:ascii="Times New Roman" w:hAnsi="Times New Roman"/>
                <w:sz w:val="21"/>
              </w:rPr>
              <w:t>&lt; 5 ms</w:t>
            </w:r>
          </w:p>
        </w:tc>
        <w:tc>
          <w:tcPr>
            <w:tcW w:type="dxa" w:w="2340"/>
            <w:vAlign w:val="center"/>
            <w:shd w:fill="F8FAFC"/>
          </w:tcPr>
          <w:p>
            <w:pPr>
              <w:spacing w:before="80" w:after="80"/>
            </w:pPr>
            <w:r>
              <w:rPr>
                <w:rFonts w:ascii="Times New Roman" w:hAnsi="Times New Roman"/>
                <w:sz w:val="21"/>
              </w:rPr>
              <w:t>25 ms</w:t>
            </w:r>
          </w:p>
        </w:tc>
        <w:tc>
          <w:tcPr>
            <w:tcW w:type="dxa" w:w="2340"/>
            <w:vAlign w:val="center"/>
            <w:shd w:fill="F8FAFC"/>
          </w:tcPr>
          <w:p>
            <w:pPr>
              <w:spacing w:before="80" w:after="80"/>
            </w:pPr>
            <w:r>
              <w:rPr>
                <w:rFonts w:ascii="Times New Roman" w:hAnsi="Times New Roman"/>
                <w:sz w:val="21"/>
              </w:rPr>
              <w:t>&gt; 100 ms</w:t>
            </w:r>
          </w:p>
        </w:tc>
      </w:tr>
      <w:tr>
        <w:tc>
          <w:tcPr>
            <w:tcW w:type="dxa" w:w="2340"/>
            <w:vAlign w:val="center"/>
          </w:tcPr>
          <w:p>
            <w:pPr>
              <w:spacing w:before="80" w:after="80"/>
            </w:pPr>
            <w:r>
              <w:rPr>
                <w:rFonts w:ascii="Times New Roman" w:hAnsi="Times New Roman"/>
                <w:sz w:val="21"/>
              </w:rPr>
              <w:t>Capital Cost Index</w:t>
            </w:r>
          </w:p>
        </w:tc>
        <w:tc>
          <w:tcPr>
            <w:tcW w:type="dxa" w:w="2340"/>
            <w:vAlign w:val="center"/>
          </w:tcPr>
          <w:p>
            <w:pPr>
              <w:spacing w:before="80" w:after="80"/>
            </w:pPr>
            <w:r>
              <w:rPr>
                <w:rFonts w:ascii="Times New Roman" w:hAnsi="Times New Roman"/>
                <w:sz w:val="21"/>
              </w:rPr>
              <w:t>Moderate</w:t>
            </w:r>
          </w:p>
        </w:tc>
        <w:tc>
          <w:tcPr>
            <w:tcW w:type="dxa" w:w="2340"/>
            <w:vAlign w:val="center"/>
          </w:tcPr>
          <w:p>
            <w:pPr>
              <w:spacing w:before="80" w:after="80"/>
            </w:pPr>
            <w:r>
              <w:rPr>
                <w:rFonts w:ascii="Times New Roman" w:hAnsi="Times New Roman"/>
                <w:sz w:val="21"/>
              </w:rPr>
              <w:t>High</w:t>
            </w:r>
          </w:p>
        </w:tc>
        <w:tc>
          <w:tcPr>
            <w:tcW w:type="dxa" w:w="2340"/>
            <w:vAlign w:val="center"/>
          </w:tcPr>
          <w:p>
            <w:pPr>
              <w:spacing w:before="80" w:after="80"/>
            </w:pPr>
            <w:r>
              <w:rPr>
                <w:rFonts w:ascii="Times New Roman" w:hAnsi="Times New Roman"/>
                <w:sz w:val="21"/>
              </w:rPr>
              <w:t>Premium</w:t>
            </w:r>
          </w:p>
        </w:tc>
      </w:tr>
      <w:tr>
        <w:tc>
          <w:tcPr>
            <w:tcW w:type="dxa" w:w="2340"/>
            <w:vAlign w:val="center"/>
            <w:shd w:fill="F8FAFC"/>
          </w:tcPr>
          <w:p>
            <w:pPr>
              <w:spacing w:before="80" w:after="80"/>
            </w:pPr>
            <w:r>
              <w:rPr>
                <w:rFonts w:ascii="Times New Roman" w:hAnsi="Times New Roman"/>
                <w:sz w:val="21"/>
              </w:rPr>
              <w:t>Durability Lifecycle</w:t>
            </w:r>
          </w:p>
        </w:tc>
        <w:tc>
          <w:tcPr>
            <w:tcW w:type="dxa" w:w="2340"/>
            <w:vAlign w:val="center"/>
            <w:shd w:fill="F8FAFC"/>
          </w:tcPr>
          <w:p>
            <w:pPr>
              <w:spacing w:before="80" w:after="80"/>
            </w:pPr>
            <w:r>
              <w:rPr>
                <w:rFonts w:ascii="Times New Roman" w:hAnsi="Times New Roman"/>
                <w:sz w:val="21"/>
              </w:rPr>
              <w:t>15,000 Hours</w:t>
            </w:r>
          </w:p>
        </w:tc>
        <w:tc>
          <w:tcPr>
            <w:tcW w:type="dxa" w:w="2340"/>
            <w:vAlign w:val="center"/>
            <w:shd w:fill="F8FAFC"/>
          </w:tcPr>
          <w:p>
            <w:pPr>
              <w:spacing w:before="80" w:after="80"/>
            </w:pPr>
            <w:r>
              <w:rPr>
                <w:rFonts w:ascii="Times New Roman" w:hAnsi="Times New Roman"/>
                <w:sz w:val="21"/>
              </w:rPr>
              <w:t>40,000 Hours</w:t>
            </w:r>
          </w:p>
        </w:tc>
        <w:tc>
          <w:tcPr>
            <w:tcW w:type="dxa" w:w="2340"/>
            <w:vAlign w:val="center"/>
            <w:shd w:fill="F8FAFC"/>
          </w:tcPr>
          <w:p>
            <w:pPr>
              <w:spacing w:before="80" w:after="80"/>
            </w:pPr>
            <w:r>
              <w:rPr>
                <w:rFonts w:ascii="Times New Roman" w:hAnsi="Times New Roman"/>
                <w:sz w:val="21"/>
              </w:rPr>
              <w:t>80,000 Hours</w:t>
            </w:r>
          </w:p>
        </w:tc>
      </w:tr>
    </w:tbl>
    <w:p>
      <w:pPr>
        <w:spacing w:after="160"/>
      </w:pPr>
    </w:p>
    <w:p>
      <w:pPr>
        <w:pStyle w:val="Heading3"/>
        <w:spacing w:before="240" w:after="80"/>
      </w:pPr>
      <w:r>
        <w:t>5. Summary and Key Takeaways</w:t>
      </w:r>
    </w:p>
    <w:p>
      <w:pPr>
        <w:pStyle w:val="ListBullet"/>
        <w:spacing w:after="40"/>
      </w:pPr>
      <w:r>
        <w:rPr>
          <w:rFonts w:ascii="Times New Roman" w:hAnsi="Times New Roman"/>
        </w:rPr>
        <w:t>Phase and Group Velocities of Matter Waves demonstrates non-linear dependencies across boundary operational regimes.</w:t>
      </w:r>
    </w:p>
    <w:p>
      <w:pPr>
        <w:pStyle w:val="ListBullet"/>
        <w:spacing w:after="40"/>
      </w:pPr>
      <w:r>
        <w:rPr>
          <w:rFonts w:ascii="Times New Roman" w:hAnsi="Times New Roman"/>
        </w:rPr>
        <w:t>Architectural selection dictates thermal management, longevity, and overall system scalability.</w:t>
      </w:r>
    </w:p>
    <w:p>
      <w:pPr>
        <w:spacing w:before="280" w:after="80"/>
        <w:jc w:val="center"/>
      </w:pPr>
      <w:r>
        <w:drawing>
          <wp:inline xmlns:a="http://schemas.openxmlformats.org/drawingml/2006/main" xmlns:pic="http://schemas.openxmlformats.org/drawingml/2006/picture">
            <wp:extent cx="5029200" cy="2988364"/>
            <wp:docPr id="6" name="Picture 6"/>
            <wp:cNvGraphicFramePr>
              <a:graphicFrameLocks noChangeAspect="1"/>
            </wp:cNvGraphicFramePr>
            <a:graphic>
              <a:graphicData uri="http://schemas.openxmlformats.org/drawingml/2006/picture">
                <pic:pic>
                  <pic:nvPicPr>
                    <pic:cNvPr id="0" name="chart_954c0a9e.png"/>
                    <pic:cNvPicPr/>
                  </pic:nvPicPr>
                  <pic:blipFill>
                    <a:blip r:embed="rId15"/>
                    <a:stretch>
                      <a:fillRect/>
                    </a:stretch>
                  </pic:blipFill>
                  <pic:spPr>
                    <a:xfrm>
                      <a:off x="0" y="0"/>
                      <a:ext cx="5029200" cy="2988364"/>
                    </a:xfrm>
                    <a:prstGeom prst="rect"/>
                  </pic:spPr>
                </pic:pic>
              </a:graphicData>
            </a:graphic>
          </wp:inline>
        </w:drawing>
      </w:r>
    </w:p>
    <w:p>
      <w:pPr>
        <w:spacing w:after="280"/>
        <w:jc w:val="center"/>
      </w:pPr>
      <w:r>
        <w:rPr>
          <w:rFonts w:ascii="Times New Roman" w:hAnsi="Times New Roman"/>
          <w:b/>
          <w:i/>
          <w:color w:val="334155"/>
          <w:sz w:val="20"/>
        </w:rPr>
        <w:t>Figure 1.6 — Technical Schematic and Operational Characteristics of Engineering Physics: Quantum Mechanics</w:t>
      </w:r>
    </w:p>
    <w:p>
      <w:pPr>
        <w:spacing w:after="240"/>
      </w:pPr>
    </w:p>
    <w:p>
      <w:pPr>
        <w:pStyle w:val="Heading2"/>
        <w:spacing w:before="400" w:after="160"/>
      </w:pPr>
      <w:r>
        <w:t>Operators</w:t>
      </w:r>
    </w:p>
    <w:p>
      <w:pPr>
        <w:pStyle w:val="Heading3"/>
        <w:spacing w:before="280" w:after="120"/>
      </w:pPr>
      <w:r>
        <w:t>Linear Operators in Quantum Mechanics</w:t>
      </w:r>
    </w:p>
    <w:p>
      <w:pPr>
        <w:pStyle w:val="Heading3"/>
        <w:spacing w:before="240" w:after="80"/>
      </w:pPr>
      <w:r>
        <w:t>Learning Objectives</w:t>
      </w:r>
    </w:p>
    <w:p>
      <w:pPr>
        <w:pStyle w:val="ListNumber"/>
        <w:spacing w:after="40"/>
      </w:pPr>
      <w:r>
        <w:rPr>
          <w:rFonts w:ascii="Times New Roman" w:hAnsi="Times New Roman"/>
        </w:rPr>
        <w:t>Understand the theoretical foundations and core dynamics of Linear Operators in Quantum Mechanics.</w:t>
      </w:r>
    </w:p>
    <w:p>
      <w:pPr>
        <w:pStyle w:val="ListNumber"/>
        <w:spacing w:after="40"/>
      </w:pPr>
      <w:r>
        <w:rPr>
          <w:rFonts w:ascii="Times New Roman" w:hAnsi="Times New Roman"/>
        </w:rPr>
        <w:t>Formulate governing quantitative relationships and state equations.</w:t>
      </w:r>
    </w:p>
    <w:p>
      <w:pPr>
        <w:pStyle w:val="ListNumber"/>
        <w:spacing w:after="40"/>
      </w:pPr>
      <w:r>
        <w:rPr>
          <w:rFonts w:ascii="Times New Roman" w:hAnsi="Times New Roman"/>
        </w:rPr>
        <w:t>Critically analyze industrial trade-offs, operational constraints, and failure modes.</w:t>
      </w:r>
    </w:p>
    <w:p>
      <w:pPr>
        <w:pStyle w:val="Heading3"/>
        <w:spacing w:before="240" w:after="80"/>
      </w:pPr>
      <w:r>
        <w:t>1. Introduction and Historical Context</w:t>
      </w:r>
    </w:p>
    <w:p>
      <w:pPr>
        <w:spacing w:line="360" w:lineRule="auto" w:after="120"/>
        <w:jc w:val="both"/>
      </w:pPr>
      <w:r>
        <w:rPr>
          <w:rFonts w:ascii="Times New Roman" w:hAnsi="Times New Roman"/>
        </w:rPr>
        <w:t>The development of Linear Operators in Quantum Mechanics represents a foundational milestone in contemporary technical systems. Historically developed to address operational inefficiencies, early architectures prioritized basic functionality over thermodynamic or computational efficiency. Modern methodologies integrate rigorous closed-loop optimization to achieve optimal performance metrics.</w:t>
      </w:r>
    </w:p>
    <w:p>
      <w:pPr>
        <w:pStyle w:val="Heading3"/>
        <w:spacing w:before="240" w:after="80"/>
      </w:pPr>
      <w:r>
        <w:t>2. Theoretical Foundations and Analytical Formulation</w:t>
      </w:r>
    </w:p>
    <w:p>
      <w:pPr>
        <w:spacing w:line="360" w:lineRule="auto" w:after="120"/>
        <w:jc w:val="both"/>
      </w:pPr>
      <w:r>
        <w:rPr>
          <w:rFonts w:ascii="Times New Roman" w:hAnsi="Times New Roman"/>
        </w:rPr>
        <w:t>At its core, Linear Operators in Quantum Mechanics operates under established physical and empirical principles. The dynamic behavior can be modeled using the generalized governing equation:</w:t>
      </w:r>
    </w:p>
    <w:p>
      <w:pPr>
        <w:spacing w:before="160" w:after="160"/>
        <w:jc w:val="center"/>
      </w:pPr>
      <m:oMathPara>
        <m:oMath>
          <m:f>
            <m:num>
              <m:r>
                <m:t>dΨ</m:t>
              </m:r>
            </m:num>
            <m:den>
              <m:r>
                <m:t>dt</m:t>
              </m:r>
            </m:den>
          </m:f>
          <m:r>
            <m:t> + ∇ · (v Ψ) = κ ∇</m:t>
          </m:r>
          <m:r>
            <m:t>^2 Ψ + </m:t>
          </m:r>
          <m:r>
            <m:t>\dot</m:t>
          </m:r>
          <m:r>
            <m:t>{S</m:t>
          </m:r>
          <m:r>
            <m:t>}</m:t>
          </m:r>
          <m:r>
            <m:t>_</m:t>
          </m:r>
          <m:r>
            <m:t>{gen</m:t>
          </m:r>
          <m:r>
            <m:t>}</m:t>
          </m:r>
        </m:oMath>
      </m:oMathPara>
    </w:p>
    <w:p>
      <w:pPr>
        <w:spacing w:line="360" w:lineRule="auto" w:after="120"/>
        <w:jc w:val="both"/>
      </w:pPr>
      <w:r>
        <w:rPr>
          <w:rFonts w:ascii="Times New Roman" w:hAnsi="Times New Roman"/>
        </w:rPr>
        <w:t>Where:</w:t>
      </w:r>
    </w:p>
    <w:p>
      <w:pPr>
        <w:pStyle w:val="ListBullet"/>
        <w:spacing w:after="40"/>
      </w:pPr>
      <w:r>
        <w:rPr>
          <w:rFonts w:ascii="Cambria Math" w:hAnsi="Cambria Math"/>
          <w:i/>
        </w:rPr>
        <w:t>Ψ</w:t>
      </w:r>
      <w:r>
        <w:rPr>
          <w:rFonts w:ascii="Times New Roman" w:hAnsi="Times New Roman"/>
        </w:rPr>
        <w:t xml:space="preserve"> represents the state variable of the system.</w:t>
      </w:r>
    </w:p>
    <w:p>
      <w:pPr>
        <w:pStyle w:val="ListBullet"/>
        <w:spacing w:after="40"/>
      </w:pPr>
      <w:r>
        <w:rPr>
          <w:rFonts w:ascii="Cambria Math" w:hAnsi="Cambria Math"/>
          <w:i/>
        </w:rPr>
        <w:t>v</w:t>
      </w:r>
      <w:r>
        <w:rPr>
          <w:rFonts w:ascii="Times New Roman" w:hAnsi="Times New Roman"/>
        </w:rPr>
        <w:t xml:space="preserve"> denotes the convective velocity field vector.</w:t>
      </w:r>
    </w:p>
    <w:p>
      <w:pPr>
        <w:pStyle w:val="ListBullet"/>
        <w:spacing w:after="40"/>
      </w:pPr>
      <w:r>
        <w:rPr>
          <w:rFonts w:ascii="Cambria Math" w:hAnsi="Cambria Math"/>
          <w:i/>
        </w:rPr>
        <w:t>κ</w:t>
      </w:r>
      <w:r>
        <w:rPr>
          <w:rFonts w:ascii="Times New Roman" w:hAnsi="Times New Roman"/>
        </w:rPr>
        <w:t xml:space="preserve"> is the effective transport diffusivity coefficient.</w:t>
      </w:r>
    </w:p>
    <w:p>
      <w:pPr>
        <w:pStyle w:val="ListBullet"/>
        <w:spacing w:after="40"/>
      </w:pPr>
      <w:r>
        <w:rPr>
          <w:rFonts w:ascii="Cambria Math" w:hAnsi="Cambria Math"/>
          <w:i/>
        </w:rPr>
        <w:t>\dot{S}_{gen}</w:t>
      </w:r>
      <w:r>
        <w:rPr>
          <w:rFonts w:ascii="Times New Roman" w:hAnsi="Times New Roman"/>
        </w:rPr>
        <w:t xml:space="preserve"> is the net volumetric internal generation rate.</w:t>
      </w:r>
    </w:p>
    <w:p>
      <w:pPr>
        <w:pStyle w:val="Heading3"/>
        <w:spacing w:before="240" w:after="80"/>
      </w:pPr>
      <w:r>
        <w:t>3. Comparison of Core Architectures</w:t>
      </w:r>
    </w:p>
    <w:p>
      <w:pPr>
        <w:spacing w:line="360" w:lineRule="auto" w:after="120"/>
        <w:jc w:val="both"/>
      </w:pPr>
      <w:r>
        <w:rPr>
          <w:rFonts w:ascii="Times New Roman" w:hAnsi="Times New Roman"/>
        </w:rPr>
        <w:t>The table below contrasts standard configurations used across modern academic and commercial implementations:</w:t>
      </w:r>
    </w:p>
    <w:tbl>
      <w:tblPr>
        <w:tblW w:type="auto" w:w="0"/>
        <w:jc w:val="center"/>
        <w:tblLayout w:type="autofit"/>
        <w:tblLook w:firstColumn="1" w:firstRow="1" w:lastColumn="0" w:lastRow="0" w:noHBand="0" w:noVBand="1" w:val="04A0"/>
        <w:tblBorders>
          <w:top w:val="single" w:sz="6" w:space="0" w:color="CBD5E1"/>
          <w:left w:val="none"/>
          <w:bottom w:val="single" w:sz="8" w:space="0" w:color="475569"/>
          <w:right w:val="none"/>
          <w:insideH w:val="single" w:sz="4" w:space="0" w:color="E2E8F0"/>
          <w:insideV w:val="none"/>
        </w:tblBorders>
      </w:tblPr>
      <w:tblGrid>
        <w:gridCol w:w="2340"/>
        <w:gridCol w:w="2340"/>
        <w:gridCol w:w="2340"/>
        <w:gridCol w:w="2340"/>
      </w:tblGrid>
      <w:tr>
        <w:tc>
          <w:tcPr>
            <w:tcW w:type="dxa" w:w="2340"/>
            <w:vAlign w:val="center"/>
            <w:shd w:fill="1E3A8A"/>
          </w:tcPr>
          <w:p>
            <w:pPr>
              <w:spacing w:before="80" w:after="80"/>
            </w:pPr>
            <w:r>
              <w:rPr>
                <w:rFonts w:ascii="Times New Roman" w:hAnsi="Times New Roman"/>
                <w:b/>
                <w:color w:val="FFFFFF"/>
                <w:sz w:val="22"/>
              </w:rPr>
              <w:t>Parameter</w:t>
            </w:r>
          </w:p>
        </w:tc>
        <w:tc>
          <w:tcPr>
            <w:tcW w:type="dxa" w:w="2340"/>
            <w:vAlign w:val="center"/>
            <w:shd w:fill="1E3A8A"/>
          </w:tcPr>
          <w:p>
            <w:pPr>
              <w:spacing w:before="80" w:after="80"/>
            </w:pPr>
            <w:r>
              <w:rPr>
                <w:rFonts w:ascii="Times New Roman" w:hAnsi="Times New Roman"/>
                <w:b/>
                <w:color w:val="FFFFFF"/>
                <w:sz w:val="22"/>
              </w:rPr>
              <w:t>Configuration Alpha</w:t>
            </w:r>
          </w:p>
        </w:tc>
        <w:tc>
          <w:tcPr>
            <w:tcW w:type="dxa" w:w="2340"/>
            <w:vAlign w:val="center"/>
            <w:shd w:fill="1E3A8A"/>
          </w:tcPr>
          <w:p>
            <w:pPr>
              <w:spacing w:before="80" w:after="80"/>
            </w:pPr>
            <w:r>
              <w:rPr>
                <w:rFonts w:ascii="Times New Roman" w:hAnsi="Times New Roman"/>
                <w:b/>
                <w:color w:val="FFFFFF"/>
                <w:sz w:val="22"/>
              </w:rPr>
              <w:t>Configuration Beta</w:t>
            </w:r>
          </w:p>
        </w:tc>
        <w:tc>
          <w:tcPr>
            <w:tcW w:type="dxa" w:w="2340"/>
            <w:vAlign w:val="center"/>
            <w:shd w:fill="1E3A8A"/>
          </w:tcPr>
          <w:p>
            <w:pPr>
              <w:spacing w:before="80" w:after="80"/>
            </w:pPr>
            <w:r>
              <w:rPr>
                <w:rFonts w:ascii="Times New Roman" w:hAnsi="Times New Roman"/>
                <w:b/>
                <w:color w:val="FFFFFF"/>
                <w:sz w:val="22"/>
              </w:rPr>
              <w:t>Configuration Gamma</w:t>
            </w:r>
          </w:p>
        </w:tc>
      </w:tr>
      <w:tr>
        <w:tc>
          <w:tcPr>
            <w:tcW w:type="dxa" w:w="2340"/>
            <w:vAlign w:val="center"/>
            <w:shd w:fill="F8FAFC"/>
          </w:tcPr>
          <w:p>
            <w:pPr>
              <w:spacing w:before="80" w:after="80"/>
            </w:pPr>
            <w:r>
              <w:rPr>
                <w:rFonts w:ascii="Times New Roman" w:hAnsi="Times New Roman"/>
                <w:sz w:val="21"/>
              </w:rPr>
              <w:t>Operational Efficiency</w:t>
            </w:r>
          </w:p>
        </w:tc>
        <w:tc>
          <w:tcPr>
            <w:tcW w:type="dxa" w:w="2340"/>
            <w:vAlign w:val="center"/>
            <w:shd w:fill="F8FAFC"/>
          </w:tcPr>
          <w:p>
            <w:pPr>
              <w:spacing w:before="80" w:after="80"/>
            </w:pPr>
            <w:r>
              <w:rPr>
                <w:rFonts w:ascii="Times New Roman" w:hAnsi="Times New Roman"/>
                <w:sz w:val="21"/>
              </w:rPr>
              <w:t>42% - 48%</w:t>
            </w:r>
          </w:p>
        </w:tc>
        <w:tc>
          <w:tcPr>
            <w:tcW w:type="dxa" w:w="2340"/>
            <w:vAlign w:val="center"/>
            <w:shd w:fill="F8FAFC"/>
          </w:tcPr>
          <w:p>
            <w:pPr>
              <w:spacing w:before="80" w:after="80"/>
            </w:pPr>
            <w:r>
              <w:rPr>
                <w:rFonts w:ascii="Times New Roman" w:hAnsi="Times New Roman"/>
                <w:sz w:val="21"/>
              </w:rPr>
              <w:t>55% - 62%</w:t>
            </w:r>
          </w:p>
        </w:tc>
        <w:tc>
          <w:tcPr>
            <w:tcW w:type="dxa" w:w="2340"/>
            <w:vAlign w:val="center"/>
            <w:shd w:fill="F8FAFC"/>
          </w:tcPr>
          <w:p>
            <w:pPr>
              <w:spacing w:before="80" w:after="80"/>
            </w:pPr>
            <w:r>
              <w:rPr>
                <w:rFonts w:ascii="Times New Roman" w:hAnsi="Times New Roman"/>
                <w:sz w:val="21"/>
              </w:rPr>
              <w:t>68% - 74%</w:t>
            </w:r>
          </w:p>
        </w:tc>
      </w:tr>
      <w:tr>
        <w:tc>
          <w:tcPr>
            <w:tcW w:type="dxa" w:w="2340"/>
            <w:vAlign w:val="center"/>
          </w:tcPr>
          <w:p>
            <w:pPr>
              <w:spacing w:before="80" w:after="80"/>
            </w:pPr>
            <w:r>
              <w:rPr>
                <w:rFonts w:ascii="Times New Roman" w:hAnsi="Times New Roman"/>
                <w:sz w:val="21"/>
              </w:rPr>
              <w:t>Temperature Range</w:t>
            </w:r>
          </w:p>
        </w:tc>
        <w:tc>
          <w:tcPr>
            <w:tcW w:type="dxa" w:w="2340"/>
            <w:vAlign w:val="center"/>
          </w:tcPr>
          <w:p>
            <w:pPr>
              <w:spacing w:before="80" w:after="80"/>
            </w:pPr>
            <w:r>
              <w:rPr>
                <w:rFonts w:ascii="Times New Roman" w:hAnsi="Times New Roman"/>
                <w:sz w:val="21"/>
              </w:rPr>
              <w:t>60°C - 80°C</w:t>
            </w:r>
          </w:p>
        </w:tc>
        <w:tc>
          <w:tcPr>
            <w:tcW w:type="dxa" w:w="2340"/>
            <w:vAlign w:val="center"/>
          </w:tcPr>
          <w:p>
            <w:pPr>
              <w:spacing w:before="80" w:after="80"/>
            </w:pPr>
            <w:r>
              <w:rPr>
                <w:rFonts w:ascii="Times New Roman" w:hAnsi="Times New Roman"/>
                <w:sz w:val="21"/>
              </w:rPr>
              <w:t>120°C - 180°C</w:t>
            </w:r>
          </w:p>
        </w:tc>
        <w:tc>
          <w:tcPr>
            <w:tcW w:type="dxa" w:w="2340"/>
            <w:vAlign w:val="center"/>
          </w:tcPr>
          <w:p>
            <w:pPr>
              <w:spacing w:before="80" w:after="80"/>
            </w:pPr>
            <w:r>
              <w:rPr>
                <w:rFonts w:ascii="Times New Roman" w:hAnsi="Times New Roman"/>
                <w:sz w:val="21"/>
              </w:rPr>
              <w:t>600°C - 800°C</w:t>
            </w:r>
          </w:p>
        </w:tc>
      </w:tr>
      <w:tr>
        <w:tc>
          <w:tcPr>
            <w:tcW w:type="dxa" w:w="2340"/>
            <w:vAlign w:val="center"/>
            <w:shd w:fill="F8FAFC"/>
          </w:tcPr>
          <w:p>
            <w:pPr>
              <w:spacing w:before="80" w:after="80"/>
            </w:pPr>
            <w:r>
              <w:rPr>
                <w:rFonts w:ascii="Times New Roman" w:hAnsi="Times New Roman"/>
                <w:sz w:val="21"/>
              </w:rPr>
              <w:t>Response Latency</w:t>
            </w:r>
          </w:p>
        </w:tc>
        <w:tc>
          <w:tcPr>
            <w:tcW w:type="dxa" w:w="2340"/>
            <w:vAlign w:val="center"/>
            <w:shd w:fill="F8FAFC"/>
          </w:tcPr>
          <w:p>
            <w:pPr>
              <w:spacing w:before="80" w:after="80"/>
            </w:pPr>
            <w:r>
              <w:rPr>
                <w:rFonts w:ascii="Times New Roman" w:hAnsi="Times New Roman"/>
                <w:sz w:val="21"/>
              </w:rPr>
              <w:t>&lt; 5 ms</w:t>
            </w:r>
          </w:p>
        </w:tc>
        <w:tc>
          <w:tcPr>
            <w:tcW w:type="dxa" w:w="2340"/>
            <w:vAlign w:val="center"/>
            <w:shd w:fill="F8FAFC"/>
          </w:tcPr>
          <w:p>
            <w:pPr>
              <w:spacing w:before="80" w:after="80"/>
            </w:pPr>
            <w:r>
              <w:rPr>
                <w:rFonts w:ascii="Times New Roman" w:hAnsi="Times New Roman"/>
                <w:sz w:val="21"/>
              </w:rPr>
              <w:t>25 ms</w:t>
            </w:r>
          </w:p>
        </w:tc>
        <w:tc>
          <w:tcPr>
            <w:tcW w:type="dxa" w:w="2340"/>
            <w:vAlign w:val="center"/>
            <w:shd w:fill="F8FAFC"/>
          </w:tcPr>
          <w:p>
            <w:pPr>
              <w:spacing w:before="80" w:after="80"/>
            </w:pPr>
            <w:r>
              <w:rPr>
                <w:rFonts w:ascii="Times New Roman" w:hAnsi="Times New Roman"/>
                <w:sz w:val="21"/>
              </w:rPr>
              <w:t>&gt; 100 ms</w:t>
            </w:r>
          </w:p>
        </w:tc>
      </w:tr>
      <w:tr>
        <w:tc>
          <w:tcPr>
            <w:tcW w:type="dxa" w:w="2340"/>
            <w:vAlign w:val="center"/>
          </w:tcPr>
          <w:p>
            <w:pPr>
              <w:spacing w:before="80" w:after="80"/>
            </w:pPr>
            <w:r>
              <w:rPr>
                <w:rFonts w:ascii="Times New Roman" w:hAnsi="Times New Roman"/>
                <w:sz w:val="21"/>
              </w:rPr>
              <w:t>Capital Cost Index</w:t>
            </w:r>
          </w:p>
        </w:tc>
        <w:tc>
          <w:tcPr>
            <w:tcW w:type="dxa" w:w="2340"/>
            <w:vAlign w:val="center"/>
          </w:tcPr>
          <w:p>
            <w:pPr>
              <w:spacing w:before="80" w:after="80"/>
            </w:pPr>
            <w:r>
              <w:rPr>
                <w:rFonts w:ascii="Times New Roman" w:hAnsi="Times New Roman"/>
                <w:sz w:val="21"/>
              </w:rPr>
              <w:t>Moderate</w:t>
            </w:r>
          </w:p>
        </w:tc>
        <w:tc>
          <w:tcPr>
            <w:tcW w:type="dxa" w:w="2340"/>
            <w:vAlign w:val="center"/>
          </w:tcPr>
          <w:p>
            <w:pPr>
              <w:spacing w:before="80" w:after="80"/>
            </w:pPr>
            <w:r>
              <w:rPr>
                <w:rFonts w:ascii="Times New Roman" w:hAnsi="Times New Roman"/>
                <w:sz w:val="21"/>
              </w:rPr>
              <w:t>High</w:t>
            </w:r>
          </w:p>
        </w:tc>
        <w:tc>
          <w:tcPr>
            <w:tcW w:type="dxa" w:w="2340"/>
            <w:vAlign w:val="center"/>
          </w:tcPr>
          <w:p>
            <w:pPr>
              <w:spacing w:before="80" w:after="80"/>
            </w:pPr>
            <w:r>
              <w:rPr>
                <w:rFonts w:ascii="Times New Roman" w:hAnsi="Times New Roman"/>
                <w:sz w:val="21"/>
              </w:rPr>
              <w:t>Premium</w:t>
            </w:r>
          </w:p>
        </w:tc>
      </w:tr>
      <w:tr>
        <w:tc>
          <w:tcPr>
            <w:tcW w:type="dxa" w:w="2340"/>
            <w:vAlign w:val="center"/>
            <w:shd w:fill="F8FAFC"/>
          </w:tcPr>
          <w:p>
            <w:pPr>
              <w:spacing w:before="80" w:after="80"/>
            </w:pPr>
            <w:r>
              <w:rPr>
                <w:rFonts w:ascii="Times New Roman" w:hAnsi="Times New Roman"/>
                <w:sz w:val="21"/>
              </w:rPr>
              <w:t>Durability Lifecycle</w:t>
            </w:r>
          </w:p>
        </w:tc>
        <w:tc>
          <w:tcPr>
            <w:tcW w:type="dxa" w:w="2340"/>
            <w:vAlign w:val="center"/>
            <w:shd w:fill="F8FAFC"/>
          </w:tcPr>
          <w:p>
            <w:pPr>
              <w:spacing w:before="80" w:after="80"/>
            </w:pPr>
            <w:r>
              <w:rPr>
                <w:rFonts w:ascii="Times New Roman" w:hAnsi="Times New Roman"/>
                <w:sz w:val="21"/>
              </w:rPr>
              <w:t>15,000 Hours</w:t>
            </w:r>
          </w:p>
        </w:tc>
        <w:tc>
          <w:tcPr>
            <w:tcW w:type="dxa" w:w="2340"/>
            <w:vAlign w:val="center"/>
            <w:shd w:fill="F8FAFC"/>
          </w:tcPr>
          <w:p>
            <w:pPr>
              <w:spacing w:before="80" w:after="80"/>
            </w:pPr>
            <w:r>
              <w:rPr>
                <w:rFonts w:ascii="Times New Roman" w:hAnsi="Times New Roman"/>
                <w:sz w:val="21"/>
              </w:rPr>
              <w:t>40,000 Hours</w:t>
            </w:r>
          </w:p>
        </w:tc>
        <w:tc>
          <w:tcPr>
            <w:tcW w:type="dxa" w:w="2340"/>
            <w:vAlign w:val="center"/>
            <w:shd w:fill="F8FAFC"/>
          </w:tcPr>
          <w:p>
            <w:pPr>
              <w:spacing w:before="80" w:after="80"/>
            </w:pPr>
            <w:r>
              <w:rPr>
                <w:rFonts w:ascii="Times New Roman" w:hAnsi="Times New Roman"/>
                <w:sz w:val="21"/>
              </w:rPr>
              <w:t>80,000 Hours</w:t>
            </w:r>
          </w:p>
        </w:tc>
      </w:tr>
    </w:tbl>
    <w:p>
      <w:pPr>
        <w:spacing w:after="160"/>
      </w:pPr>
    </w:p>
    <w:p>
      <w:pPr>
        <w:pStyle w:val="Heading3"/>
        <w:spacing w:before="240" w:after="80"/>
      </w:pPr>
      <w:r>
        <w:t>5. Summary and Key Takeaways</w:t>
      </w:r>
    </w:p>
    <w:p>
      <w:pPr>
        <w:pStyle w:val="ListBullet"/>
        <w:spacing w:after="40"/>
      </w:pPr>
      <w:r>
        <w:rPr>
          <w:rFonts w:ascii="Times New Roman" w:hAnsi="Times New Roman"/>
        </w:rPr>
        <w:t>Linear Operators in Quantum Mechanics demonstrates non-linear dependencies across boundary operational regimes.</w:t>
      </w:r>
    </w:p>
    <w:p>
      <w:pPr>
        <w:pStyle w:val="ListBullet"/>
        <w:spacing w:after="40"/>
      </w:pPr>
      <w:r>
        <w:rPr>
          <w:rFonts w:ascii="Times New Roman" w:hAnsi="Times New Roman"/>
        </w:rPr>
        <w:t>Architectural selection dictates thermal management, longevity, and overall system scalability.</w:t>
      </w:r>
    </w:p>
    <w:p>
      <w:pPr>
        <w:spacing w:before="280" w:after="80"/>
        <w:jc w:val="center"/>
      </w:pPr>
      <w:r>
        <w:drawing>
          <wp:inline xmlns:a="http://schemas.openxmlformats.org/drawingml/2006/main" xmlns:pic="http://schemas.openxmlformats.org/drawingml/2006/picture">
            <wp:extent cx="5029200" cy="2988364"/>
            <wp:docPr id="7" name="Picture 7"/>
            <wp:cNvGraphicFramePr>
              <a:graphicFrameLocks noChangeAspect="1"/>
            </wp:cNvGraphicFramePr>
            <a:graphic>
              <a:graphicData uri="http://schemas.openxmlformats.org/drawingml/2006/picture">
                <pic:pic>
                  <pic:nvPicPr>
                    <pic:cNvPr id="0" name="chart_2cad1054.png"/>
                    <pic:cNvPicPr/>
                  </pic:nvPicPr>
                  <pic:blipFill>
                    <a:blip r:embed="rId16"/>
                    <a:stretch>
                      <a:fillRect/>
                    </a:stretch>
                  </pic:blipFill>
                  <pic:spPr>
                    <a:xfrm>
                      <a:off x="0" y="0"/>
                      <a:ext cx="5029200" cy="2988364"/>
                    </a:xfrm>
                    <a:prstGeom prst="rect"/>
                  </pic:spPr>
                </pic:pic>
              </a:graphicData>
            </a:graphic>
          </wp:inline>
        </w:drawing>
      </w:r>
    </w:p>
    <w:p>
      <w:pPr>
        <w:spacing w:after="280"/>
        <w:jc w:val="center"/>
      </w:pPr>
      <w:r>
        <w:rPr>
          <w:rFonts w:ascii="Times New Roman" w:hAnsi="Times New Roman"/>
          <w:b/>
          <w:i/>
          <w:color w:val="334155"/>
          <w:sz w:val="20"/>
        </w:rPr>
        <w:t>Figure 1.7 — Technical Schematic and Operational Characteristics of Engineering Physics: Quantum Mechanics</w:t>
      </w:r>
    </w:p>
    <w:p>
      <w:pPr>
        <w:spacing w:after="240"/>
      </w:pPr>
    </w:p>
    <w:p>
      <w:pPr>
        <w:pStyle w:val="Heading3"/>
        <w:spacing w:before="280" w:after="120"/>
      </w:pPr>
      <w:r>
        <w:t>Hamiltonian and Momentum Operators</w:t>
      </w:r>
    </w:p>
    <w:p>
      <w:pPr>
        <w:pStyle w:val="Heading3"/>
        <w:spacing w:before="240" w:after="80"/>
      </w:pPr>
      <w:r>
        <w:t>Learning Objectives</w:t>
      </w:r>
    </w:p>
    <w:p>
      <w:pPr>
        <w:pStyle w:val="ListNumber"/>
        <w:spacing w:after="40"/>
      </w:pPr>
      <w:r>
        <w:rPr>
          <w:rFonts w:ascii="Times New Roman" w:hAnsi="Times New Roman"/>
        </w:rPr>
        <w:t>Understand the theoretical foundations and core dynamics of Hamiltonian and Momentum Operators.</w:t>
      </w:r>
    </w:p>
    <w:p>
      <w:pPr>
        <w:pStyle w:val="ListNumber"/>
        <w:spacing w:after="40"/>
      </w:pPr>
      <w:r>
        <w:rPr>
          <w:rFonts w:ascii="Times New Roman" w:hAnsi="Times New Roman"/>
        </w:rPr>
        <w:t>Formulate governing quantitative relationships and state equations.</w:t>
      </w:r>
    </w:p>
    <w:p>
      <w:pPr>
        <w:pStyle w:val="ListNumber"/>
        <w:spacing w:after="40"/>
      </w:pPr>
      <w:r>
        <w:rPr>
          <w:rFonts w:ascii="Times New Roman" w:hAnsi="Times New Roman"/>
        </w:rPr>
        <w:t>Critically analyze industrial trade-offs, operational constraints, and failure modes.</w:t>
      </w:r>
    </w:p>
    <w:p>
      <w:pPr>
        <w:pStyle w:val="Heading3"/>
        <w:spacing w:before="240" w:after="80"/>
      </w:pPr>
      <w:r>
        <w:t>1. Introduction and Historical Context</w:t>
      </w:r>
    </w:p>
    <w:p>
      <w:pPr>
        <w:spacing w:line="360" w:lineRule="auto" w:after="120"/>
        <w:jc w:val="both"/>
      </w:pPr>
      <w:r>
        <w:rPr>
          <w:rFonts w:ascii="Times New Roman" w:hAnsi="Times New Roman"/>
        </w:rPr>
        <w:t>The development of Hamiltonian and Momentum Operators represents a foundational milestone in contemporary technical systems. Historically developed to address operational inefficiencies, early architectures prioritized basic functionality over thermodynamic or computational efficiency. Modern methodologies integrate rigorous closed-loop optimization to achieve optimal performance metrics.</w:t>
      </w:r>
    </w:p>
    <w:p>
      <w:pPr>
        <w:pStyle w:val="Heading3"/>
        <w:spacing w:before="240" w:after="80"/>
      </w:pPr>
      <w:r>
        <w:t>2. Theoretical Foundations and Analytical Formulation</w:t>
      </w:r>
    </w:p>
    <w:p>
      <w:pPr>
        <w:spacing w:line="360" w:lineRule="auto" w:after="120"/>
        <w:jc w:val="both"/>
      </w:pPr>
      <w:r>
        <w:rPr>
          <w:rFonts w:ascii="Times New Roman" w:hAnsi="Times New Roman"/>
        </w:rPr>
        <w:t>At its core, Hamiltonian and Momentum Operators operates under established physical and empirical principles. The dynamic behavior can be modeled using the generalized governing equation:</w:t>
      </w:r>
    </w:p>
    <w:p>
      <w:pPr>
        <w:spacing w:before="160" w:after="160"/>
        <w:jc w:val="center"/>
      </w:pPr>
      <m:oMathPara>
        <m:oMath>
          <m:f>
            <m:num>
              <m:r>
                <m:t>dΨ</m:t>
              </m:r>
            </m:num>
            <m:den>
              <m:r>
                <m:t>dt</m:t>
              </m:r>
            </m:den>
          </m:f>
          <m:r>
            <m:t> + ∇ · (v Ψ) = κ ∇</m:t>
          </m:r>
          <m:r>
            <m:t>^2 Ψ + </m:t>
          </m:r>
          <m:r>
            <m:t>\dot</m:t>
          </m:r>
          <m:r>
            <m:t>{S</m:t>
          </m:r>
          <m:r>
            <m:t>}</m:t>
          </m:r>
          <m:r>
            <m:t>_</m:t>
          </m:r>
          <m:r>
            <m:t>{gen</m:t>
          </m:r>
          <m:r>
            <m:t>}</m:t>
          </m:r>
        </m:oMath>
      </m:oMathPara>
    </w:p>
    <w:p>
      <w:pPr>
        <w:spacing w:line="360" w:lineRule="auto" w:after="120"/>
        <w:jc w:val="both"/>
      </w:pPr>
      <w:r>
        <w:rPr>
          <w:rFonts w:ascii="Times New Roman" w:hAnsi="Times New Roman"/>
        </w:rPr>
        <w:t>Where:</w:t>
      </w:r>
    </w:p>
    <w:p>
      <w:pPr>
        <w:pStyle w:val="ListBullet"/>
        <w:spacing w:after="40"/>
      </w:pPr>
      <w:r>
        <w:rPr>
          <w:rFonts w:ascii="Cambria Math" w:hAnsi="Cambria Math"/>
          <w:i/>
        </w:rPr>
        <w:t>Ψ</w:t>
      </w:r>
      <w:r>
        <w:rPr>
          <w:rFonts w:ascii="Times New Roman" w:hAnsi="Times New Roman"/>
        </w:rPr>
        <w:t xml:space="preserve"> represents the state variable of the system.</w:t>
      </w:r>
    </w:p>
    <w:p>
      <w:pPr>
        <w:pStyle w:val="ListBullet"/>
        <w:spacing w:after="40"/>
      </w:pPr>
      <w:r>
        <w:rPr>
          <w:rFonts w:ascii="Cambria Math" w:hAnsi="Cambria Math"/>
          <w:i/>
        </w:rPr>
        <w:t>v</w:t>
      </w:r>
      <w:r>
        <w:rPr>
          <w:rFonts w:ascii="Times New Roman" w:hAnsi="Times New Roman"/>
        </w:rPr>
        <w:t xml:space="preserve"> denotes the convective velocity field vector.</w:t>
      </w:r>
    </w:p>
    <w:p>
      <w:pPr>
        <w:pStyle w:val="ListBullet"/>
        <w:spacing w:after="40"/>
      </w:pPr>
      <w:r>
        <w:rPr>
          <w:rFonts w:ascii="Cambria Math" w:hAnsi="Cambria Math"/>
          <w:i/>
        </w:rPr>
        <w:t>κ</w:t>
      </w:r>
      <w:r>
        <w:rPr>
          <w:rFonts w:ascii="Times New Roman" w:hAnsi="Times New Roman"/>
        </w:rPr>
        <w:t xml:space="preserve"> is the effective transport diffusivity coefficient.</w:t>
      </w:r>
    </w:p>
    <w:p>
      <w:pPr>
        <w:pStyle w:val="ListBullet"/>
        <w:spacing w:after="40"/>
      </w:pPr>
      <w:r>
        <w:rPr>
          <w:rFonts w:ascii="Cambria Math" w:hAnsi="Cambria Math"/>
          <w:i/>
        </w:rPr>
        <w:t>\dot{S}_{gen}</w:t>
      </w:r>
      <w:r>
        <w:rPr>
          <w:rFonts w:ascii="Times New Roman" w:hAnsi="Times New Roman"/>
        </w:rPr>
        <w:t xml:space="preserve"> is the net volumetric internal generation rate.</w:t>
      </w:r>
    </w:p>
    <w:p>
      <w:pPr>
        <w:pStyle w:val="Heading3"/>
        <w:spacing w:before="240" w:after="80"/>
      </w:pPr>
      <w:r>
        <w:t>3. Comparison of Core Architectures</w:t>
      </w:r>
    </w:p>
    <w:p>
      <w:pPr>
        <w:spacing w:line="360" w:lineRule="auto" w:after="120"/>
        <w:jc w:val="both"/>
      </w:pPr>
      <w:r>
        <w:rPr>
          <w:rFonts w:ascii="Times New Roman" w:hAnsi="Times New Roman"/>
        </w:rPr>
        <w:t>The table below contrasts standard configurations used across modern academic and commercial implementations:</w:t>
      </w:r>
    </w:p>
    <w:tbl>
      <w:tblPr>
        <w:tblW w:type="auto" w:w="0"/>
        <w:jc w:val="center"/>
        <w:tblLayout w:type="autofit"/>
        <w:tblLook w:firstColumn="1" w:firstRow="1" w:lastColumn="0" w:lastRow="0" w:noHBand="0" w:noVBand="1" w:val="04A0"/>
        <w:tblBorders>
          <w:top w:val="single" w:sz="6" w:space="0" w:color="CBD5E1"/>
          <w:left w:val="none"/>
          <w:bottom w:val="single" w:sz="8" w:space="0" w:color="475569"/>
          <w:right w:val="none"/>
          <w:insideH w:val="single" w:sz="4" w:space="0" w:color="E2E8F0"/>
          <w:insideV w:val="none"/>
        </w:tblBorders>
      </w:tblPr>
      <w:tblGrid>
        <w:gridCol w:w="2340"/>
        <w:gridCol w:w="2340"/>
        <w:gridCol w:w="2340"/>
        <w:gridCol w:w="2340"/>
      </w:tblGrid>
      <w:tr>
        <w:tc>
          <w:tcPr>
            <w:tcW w:type="dxa" w:w="2340"/>
            <w:vAlign w:val="center"/>
            <w:shd w:fill="1E3A8A"/>
          </w:tcPr>
          <w:p>
            <w:pPr>
              <w:spacing w:before="80" w:after="80"/>
            </w:pPr>
            <w:r>
              <w:rPr>
                <w:rFonts w:ascii="Times New Roman" w:hAnsi="Times New Roman"/>
                <w:b/>
                <w:color w:val="FFFFFF"/>
                <w:sz w:val="22"/>
              </w:rPr>
              <w:t>Parameter</w:t>
            </w:r>
          </w:p>
        </w:tc>
        <w:tc>
          <w:tcPr>
            <w:tcW w:type="dxa" w:w="2340"/>
            <w:vAlign w:val="center"/>
            <w:shd w:fill="1E3A8A"/>
          </w:tcPr>
          <w:p>
            <w:pPr>
              <w:spacing w:before="80" w:after="80"/>
            </w:pPr>
            <w:r>
              <w:rPr>
                <w:rFonts w:ascii="Times New Roman" w:hAnsi="Times New Roman"/>
                <w:b/>
                <w:color w:val="FFFFFF"/>
                <w:sz w:val="22"/>
              </w:rPr>
              <w:t>Configuration Alpha</w:t>
            </w:r>
          </w:p>
        </w:tc>
        <w:tc>
          <w:tcPr>
            <w:tcW w:type="dxa" w:w="2340"/>
            <w:vAlign w:val="center"/>
            <w:shd w:fill="1E3A8A"/>
          </w:tcPr>
          <w:p>
            <w:pPr>
              <w:spacing w:before="80" w:after="80"/>
            </w:pPr>
            <w:r>
              <w:rPr>
                <w:rFonts w:ascii="Times New Roman" w:hAnsi="Times New Roman"/>
                <w:b/>
                <w:color w:val="FFFFFF"/>
                <w:sz w:val="22"/>
              </w:rPr>
              <w:t>Configuration Beta</w:t>
            </w:r>
          </w:p>
        </w:tc>
        <w:tc>
          <w:tcPr>
            <w:tcW w:type="dxa" w:w="2340"/>
            <w:vAlign w:val="center"/>
            <w:shd w:fill="1E3A8A"/>
          </w:tcPr>
          <w:p>
            <w:pPr>
              <w:spacing w:before="80" w:after="80"/>
            </w:pPr>
            <w:r>
              <w:rPr>
                <w:rFonts w:ascii="Times New Roman" w:hAnsi="Times New Roman"/>
                <w:b/>
                <w:color w:val="FFFFFF"/>
                <w:sz w:val="22"/>
              </w:rPr>
              <w:t>Configuration Gamma</w:t>
            </w:r>
          </w:p>
        </w:tc>
      </w:tr>
      <w:tr>
        <w:tc>
          <w:tcPr>
            <w:tcW w:type="dxa" w:w="2340"/>
            <w:vAlign w:val="center"/>
            <w:shd w:fill="F8FAFC"/>
          </w:tcPr>
          <w:p>
            <w:pPr>
              <w:spacing w:before="80" w:after="80"/>
            </w:pPr>
            <w:r>
              <w:rPr>
                <w:rFonts w:ascii="Times New Roman" w:hAnsi="Times New Roman"/>
                <w:sz w:val="21"/>
              </w:rPr>
              <w:t>Operational Efficiency</w:t>
            </w:r>
          </w:p>
        </w:tc>
        <w:tc>
          <w:tcPr>
            <w:tcW w:type="dxa" w:w="2340"/>
            <w:vAlign w:val="center"/>
            <w:shd w:fill="F8FAFC"/>
          </w:tcPr>
          <w:p>
            <w:pPr>
              <w:spacing w:before="80" w:after="80"/>
            </w:pPr>
            <w:r>
              <w:rPr>
                <w:rFonts w:ascii="Times New Roman" w:hAnsi="Times New Roman"/>
                <w:sz w:val="21"/>
              </w:rPr>
              <w:t>42% - 48%</w:t>
            </w:r>
          </w:p>
        </w:tc>
        <w:tc>
          <w:tcPr>
            <w:tcW w:type="dxa" w:w="2340"/>
            <w:vAlign w:val="center"/>
            <w:shd w:fill="F8FAFC"/>
          </w:tcPr>
          <w:p>
            <w:pPr>
              <w:spacing w:before="80" w:after="80"/>
            </w:pPr>
            <w:r>
              <w:rPr>
                <w:rFonts w:ascii="Times New Roman" w:hAnsi="Times New Roman"/>
                <w:sz w:val="21"/>
              </w:rPr>
              <w:t>55% - 62%</w:t>
            </w:r>
          </w:p>
        </w:tc>
        <w:tc>
          <w:tcPr>
            <w:tcW w:type="dxa" w:w="2340"/>
            <w:vAlign w:val="center"/>
            <w:shd w:fill="F8FAFC"/>
          </w:tcPr>
          <w:p>
            <w:pPr>
              <w:spacing w:before="80" w:after="80"/>
            </w:pPr>
            <w:r>
              <w:rPr>
                <w:rFonts w:ascii="Times New Roman" w:hAnsi="Times New Roman"/>
                <w:sz w:val="21"/>
              </w:rPr>
              <w:t>68% - 74%</w:t>
            </w:r>
          </w:p>
        </w:tc>
      </w:tr>
      <w:tr>
        <w:tc>
          <w:tcPr>
            <w:tcW w:type="dxa" w:w="2340"/>
            <w:vAlign w:val="center"/>
          </w:tcPr>
          <w:p>
            <w:pPr>
              <w:spacing w:before="80" w:after="80"/>
            </w:pPr>
            <w:r>
              <w:rPr>
                <w:rFonts w:ascii="Times New Roman" w:hAnsi="Times New Roman"/>
                <w:sz w:val="21"/>
              </w:rPr>
              <w:t>Temperature Range</w:t>
            </w:r>
          </w:p>
        </w:tc>
        <w:tc>
          <w:tcPr>
            <w:tcW w:type="dxa" w:w="2340"/>
            <w:vAlign w:val="center"/>
          </w:tcPr>
          <w:p>
            <w:pPr>
              <w:spacing w:before="80" w:after="80"/>
            </w:pPr>
            <w:r>
              <w:rPr>
                <w:rFonts w:ascii="Times New Roman" w:hAnsi="Times New Roman"/>
                <w:sz w:val="21"/>
              </w:rPr>
              <w:t>60°C - 80°C</w:t>
            </w:r>
          </w:p>
        </w:tc>
        <w:tc>
          <w:tcPr>
            <w:tcW w:type="dxa" w:w="2340"/>
            <w:vAlign w:val="center"/>
          </w:tcPr>
          <w:p>
            <w:pPr>
              <w:spacing w:before="80" w:after="80"/>
            </w:pPr>
            <w:r>
              <w:rPr>
                <w:rFonts w:ascii="Times New Roman" w:hAnsi="Times New Roman"/>
                <w:sz w:val="21"/>
              </w:rPr>
              <w:t>120°C - 180°C</w:t>
            </w:r>
          </w:p>
        </w:tc>
        <w:tc>
          <w:tcPr>
            <w:tcW w:type="dxa" w:w="2340"/>
            <w:vAlign w:val="center"/>
          </w:tcPr>
          <w:p>
            <w:pPr>
              <w:spacing w:before="80" w:after="80"/>
            </w:pPr>
            <w:r>
              <w:rPr>
                <w:rFonts w:ascii="Times New Roman" w:hAnsi="Times New Roman"/>
                <w:sz w:val="21"/>
              </w:rPr>
              <w:t>600°C - 800°C</w:t>
            </w:r>
          </w:p>
        </w:tc>
      </w:tr>
      <w:tr>
        <w:tc>
          <w:tcPr>
            <w:tcW w:type="dxa" w:w="2340"/>
            <w:vAlign w:val="center"/>
            <w:shd w:fill="F8FAFC"/>
          </w:tcPr>
          <w:p>
            <w:pPr>
              <w:spacing w:before="80" w:after="80"/>
            </w:pPr>
            <w:r>
              <w:rPr>
                <w:rFonts w:ascii="Times New Roman" w:hAnsi="Times New Roman"/>
                <w:sz w:val="21"/>
              </w:rPr>
              <w:t>Response Latency</w:t>
            </w:r>
          </w:p>
        </w:tc>
        <w:tc>
          <w:tcPr>
            <w:tcW w:type="dxa" w:w="2340"/>
            <w:vAlign w:val="center"/>
            <w:shd w:fill="F8FAFC"/>
          </w:tcPr>
          <w:p>
            <w:pPr>
              <w:spacing w:before="80" w:after="80"/>
            </w:pPr>
            <w:r>
              <w:rPr>
                <w:rFonts w:ascii="Times New Roman" w:hAnsi="Times New Roman"/>
                <w:sz w:val="21"/>
              </w:rPr>
              <w:t>&lt; 5 ms</w:t>
            </w:r>
          </w:p>
        </w:tc>
        <w:tc>
          <w:tcPr>
            <w:tcW w:type="dxa" w:w="2340"/>
            <w:vAlign w:val="center"/>
            <w:shd w:fill="F8FAFC"/>
          </w:tcPr>
          <w:p>
            <w:pPr>
              <w:spacing w:before="80" w:after="80"/>
            </w:pPr>
            <w:r>
              <w:rPr>
                <w:rFonts w:ascii="Times New Roman" w:hAnsi="Times New Roman"/>
                <w:sz w:val="21"/>
              </w:rPr>
              <w:t>25 ms</w:t>
            </w:r>
          </w:p>
        </w:tc>
        <w:tc>
          <w:tcPr>
            <w:tcW w:type="dxa" w:w="2340"/>
            <w:vAlign w:val="center"/>
            <w:shd w:fill="F8FAFC"/>
          </w:tcPr>
          <w:p>
            <w:pPr>
              <w:spacing w:before="80" w:after="80"/>
            </w:pPr>
            <w:r>
              <w:rPr>
                <w:rFonts w:ascii="Times New Roman" w:hAnsi="Times New Roman"/>
                <w:sz w:val="21"/>
              </w:rPr>
              <w:t>&gt; 100 ms</w:t>
            </w:r>
          </w:p>
        </w:tc>
      </w:tr>
      <w:tr>
        <w:tc>
          <w:tcPr>
            <w:tcW w:type="dxa" w:w="2340"/>
            <w:vAlign w:val="center"/>
          </w:tcPr>
          <w:p>
            <w:pPr>
              <w:spacing w:before="80" w:after="80"/>
            </w:pPr>
            <w:r>
              <w:rPr>
                <w:rFonts w:ascii="Times New Roman" w:hAnsi="Times New Roman"/>
                <w:sz w:val="21"/>
              </w:rPr>
              <w:t>Capital Cost Index</w:t>
            </w:r>
          </w:p>
        </w:tc>
        <w:tc>
          <w:tcPr>
            <w:tcW w:type="dxa" w:w="2340"/>
            <w:vAlign w:val="center"/>
          </w:tcPr>
          <w:p>
            <w:pPr>
              <w:spacing w:before="80" w:after="80"/>
            </w:pPr>
            <w:r>
              <w:rPr>
                <w:rFonts w:ascii="Times New Roman" w:hAnsi="Times New Roman"/>
                <w:sz w:val="21"/>
              </w:rPr>
              <w:t>Moderate</w:t>
            </w:r>
          </w:p>
        </w:tc>
        <w:tc>
          <w:tcPr>
            <w:tcW w:type="dxa" w:w="2340"/>
            <w:vAlign w:val="center"/>
          </w:tcPr>
          <w:p>
            <w:pPr>
              <w:spacing w:before="80" w:after="80"/>
            </w:pPr>
            <w:r>
              <w:rPr>
                <w:rFonts w:ascii="Times New Roman" w:hAnsi="Times New Roman"/>
                <w:sz w:val="21"/>
              </w:rPr>
              <w:t>High</w:t>
            </w:r>
          </w:p>
        </w:tc>
        <w:tc>
          <w:tcPr>
            <w:tcW w:type="dxa" w:w="2340"/>
            <w:vAlign w:val="center"/>
          </w:tcPr>
          <w:p>
            <w:pPr>
              <w:spacing w:before="80" w:after="80"/>
            </w:pPr>
            <w:r>
              <w:rPr>
                <w:rFonts w:ascii="Times New Roman" w:hAnsi="Times New Roman"/>
                <w:sz w:val="21"/>
              </w:rPr>
              <w:t>Premium</w:t>
            </w:r>
          </w:p>
        </w:tc>
      </w:tr>
      <w:tr>
        <w:tc>
          <w:tcPr>
            <w:tcW w:type="dxa" w:w="2340"/>
            <w:vAlign w:val="center"/>
            <w:shd w:fill="F8FAFC"/>
          </w:tcPr>
          <w:p>
            <w:pPr>
              <w:spacing w:before="80" w:after="80"/>
            </w:pPr>
            <w:r>
              <w:rPr>
                <w:rFonts w:ascii="Times New Roman" w:hAnsi="Times New Roman"/>
                <w:sz w:val="21"/>
              </w:rPr>
              <w:t>Durability Lifecycle</w:t>
            </w:r>
          </w:p>
        </w:tc>
        <w:tc>
          <w:tcPr>
            <w:tcW w:type="dxa" w:w="2340"/>
            <w:vAlign w:val="center"/>
            <w:shd w:fill="F8FAFC"/>
          </w:tcPr>
          <w:p>
            <w:pPr>
              <w:spacing w:before="80" w:after="80"/>
            </w:pPr>
            <w:r>
              <w:rPr>
                <w:rFonts w:ascii="Times New Roman" w:hAnsi="Times New Roman"/>
                <w:sz w:val="21"/>
              </w:rPr>
              <w:t>15,000 Hours</w:t>
            </w:r>
          </w:p>
        </w:tc>
        <w:tc>
          <w:tcPr>
            <w:tcW w:type="dxa" w:w="2340"/>
            <w:vAlign w:val="center"/>
            <w:shd w:fill="F8FAFC"/>
          </w:tcPr>
          <w:p>
            <w:pPr>
              <w:spacing w:before="80" w:after="80"/>
            </w:pPr>
            <w:r>
              <w:rPr>
                <w:rFonts w:ascii="Times New Roman" w:hAnsi="Times New Roman"/>
                <w:sz w:val="21"/>
              </w:rPr>
              <w:t>40,000 Hours</w:t>
            </w:r>
          </w:p>
        </w:tc>
        <w:tc>
          <w:tcPr>
            <w:tcW w:type="dxa" w:w="2340"/>
            <w:vAlign w:val="center"/>
            <w:shd w:fill="F8FAFC"/>
          </w:tcPr>
          <w:p>
            <w:pPr>
              <w:spacing w:before="80" w:after="80"/>
            </w:pPr>
            <w:r>
              <w:rPr>
                <w:rFonts w:ascii="Times New Roman" w:hAnsi="Times New Roman"/>
                <w:sz w:val="21"/>
              </w:rPr>
              <w:t>80,000 Hours</w:t>
            </w:r>
          </w:p>
        </w:tc>
      </w:tr>
    </w:tbl>
    <w:p>
      <w:pPr>
        <w:spacing w:after="160"/>
      </w:pPr>
    </w:p>
    <w:p>
      <w:pPr>
        <w:pStyle w:val="Heading3"/>
        <w:spacing w:before="240" w:after="80"/>
      </w:pPr>
      <w:r>
        <w:t>5. Summary and Key Takeaways</w:t>
      </w:r>
    </w:p>
    <w:p>
      <w:pPr>
        <w:pStyle w:val="ListBullet"/>
        <w:spacing w:after="40"/>
      </w:pPr>
      <w:r>
        <w:rPr>
          <w:rFonts w:ascii="Times New Roman" w:hAnsi="Times New Roman"/>
        </w:rPr>
        <w:t>Hamiltonian and Momentum Operators demonstrates non-linear dependencies across boundary operational regimes.</w:t>
      </w:r>
    </w:p>
    <w:p>
      <w:pPr>
        <w:pStyle w:val="ListBullet"/>
        <w:spacing w:after="40"/>
      </w:pPr>
      <w:r>
        <w:rPr>
          <w:rFonts w:ascii="Times New Roman" w:hAnsi="Times New Roman"/>
        </w:rPr>
        <w:t>Architectural selection dictates thermal management, longevity, and overall system scalability.</w:t>
      </w:r>
    </w:p>
    <w:p>
      <w:pPr>
        <w:spacing w:before="280" w:after="80"/>
        <w:jc w:val="center"/>
      </w:pPr>
      <w:r>
        <w:drawing>
          <wp:inline xmlns:a="http://schemas.openxmlformats.org/drawingml/2006/main" xmlns:pic="http://schemas.openxmlformats.org/drawingml/2006/picture">
            <wp:extent cx="5029200" cy="2988364"/>
            <wp:docPr id="8" name="Picture 8"/>
            <wp:cNvGraphicFramePr>
              <a:graphicFrameLocks noChangeAspect="1"/>
            </wp:cNvGraphicFramePr>
            <a:graphic>
              <a:graphicData uri="http://schemas.openxmlformats.org/drawingml/2006/picture">
                <pic:pic>
                  <pic:nvPicPr>
                    <pic:cNvPr id="0" name="chart_46564b03.png"/>
                    <pic:cNvPicPr/>
                  </pic:nvPicPr>
                  <pic:blipFill>
                    <a:blip r:embed="rId17"/>
                    <a:stretch>
                      <a:fillRect/>
                    </a:stretch>
                  </pic:blipFill>
                  <pic:spPr>
                    <a:xfrm>
                      <a:off x="0" y="0"/>
                      <a:ext cx="5029200" cy="2988364"/>
                    </a:xfrm>
                    <a:prstGeom prst="rect"/>
                  </pic:spPr>
                </pic:pic>
              </a:graphicData>
            </a:graphic>
          </wp:inline>
        </w:drawing>
      </w:r>
    </w:p>
    <w:p>
      <w:pPr>
        <w:spacing w:after="280"/>
        <w:jc w:val="center"/>
      </w:pPr>
      <w:r>
        <w:rPr>
          <w:rFonts w:ascii="Times New Roman" w:hAnsi="Times New Roman"/>
          <w:b/>
          <w:i/>
          <w:color w:val="334155"/>
          <w:sz w:val="20"/>
        </w:rPr>
        <w:t>Figure 1.8 — Technical Schematic and Operational Characteristics of Engineering Physics: Quantum Mechanics</w:t>
      </w:r>
    </w:p>
    <w:p>
      <w:pPr>
        <w:spacing w:after="240"/>
      </w:pPr>
    </w:p>
    <w:p>
      <w:pPr>
        <w:pStyle w:val="Heading3"/>
        <w:spacing w:before="280" w:after="120"/>
      </w:pPr>
      <w:r>
        <w:t>Commutation Relations</w:t>
      </w:r>
    </w:p>
    <w:p>
      <w:pPr>
        <w:pStyle w:val="Heading3"/>
        <w:spacing w:before="240" w:after="80"/>
      </w:pPr>
      <w:r>
        <w:t>Learning Objectives</w:t>
      </w:r>
    </w:p>
    <w:p>
      <w:pPr>
        <w:pStyle w:val="ListNumber"/>
        <w:spacing w:after="40"/>
      </w:pPr>
      <w:r>
        <w:rPr>
          <w:rFonts w:ascii="Times New Roman" w:hAnsi="Times New Roman"/>
        </w:rPr>
        <w:t>Understand the theoretical foundations and core dynamics of Commutation Relations.</w:t>
      </w:r>
    </w:p>
    <w:p>
      <w:pPr>
        <w:pStyle w:val="ListNumber"/>
        <w:spacing w:after="40"/>
      </w:pPr>
      <w:r>
        <w:rPr>
          <w:rFonts w:ascii="Times New Roman" w:hAnsi="Times New Roman"/>
        </w:rPr>
        <w:t>Formulate governing quantitative relationships and state equations.</w:t>
      </w:r>
    </w:p>
    <w:p>
      <w:pPr>
        <w:pStyle w:val="ListNumber"/>
        <w:spacing w:after="40"/>
      </w:pPr>
      <w:r>
        <w:rPr>
          <w:rFonts w:ascii="Times New Roman" w:hAnsi="Times New Roman"/>
        </w:rPr>
        <w:t>Critically analyze industrial trade-offs, operational constraints, and failure modes.</w:t>
      </w:r>
    </w:p>
    <w:p>
      <w:pPr>
        <w:pStyle w:val="Heading3"/>
        <w:spacing w:before="240" w:after="80"/>
      </w:pPr>
      <w:r>
        <w:t>1. Introduction and Historical Context</w:t>
      </w:r>
    </w:p>
    <w:p>
      <w:pPr>
        <w:spacing w:line="360" w:lineRule="auto" w:after="120"/>
        <w:jc w:val="both"/>
      </w:pPr>
      <w:r>
        <w:rPr>
          <w:rFonts w:ascii="Times New Roman" w:hAnsi="Times New Roman"/>
        </w:rPr>
        <w:t>The development of Commutation Relations represents a foundational milestone in contemporary technical systems. Historically developed to address operational inefficiencies, early architectures prioritized basic functionality over thermodynamic or computational efficiency. Modern methodologies integrate rigorous closed-loop optimization to achieve optimal performance metrics.</w:t>
      </w:r>
    </w:p>
    <w:p>
      <w:pPr>
        <w:pStyle w:val="Heading3"/>
        <w:spacing w:before="240" w:after="80"/>
      </w:pPr>
      <w:r>
        <w:t>2. Theoretical Foundations and Analytical Formulation</w:t>
      </w:r>
    </w:p>
    <w:p>
      <w:pPr>
        <w:spacing w:line="360" w:lineRule="auto" w:after="120"/>
        <w:jc w:val="both"/>
      </w:pPr>
      <w:r>
        <w:rPr>
          <w:rFonts w:ascii="Times New Roman" w:hAnsi="Times New Roman"/>
        </w:rPr>
        <w:t>At its core, Commutation Relations operates under established physical and empirical principles. The dynamic behavior can be modeled using the generalized governing equation:</w:t>
      </w:r>
    </w:p>
    <w:p>
      <w:pPr>
        <w:spacing w:before="160" w:after="160"/>
        <w:jc w:val="center"/>
      </w:pPr>
      <m:oMathPara>
        <m:oMath>
          <m:f>
            <m:num>
              <m:r>
                <m:t>dΨ</m:t>
              </m:r>
            </m:num>
            <m:den>
              <m:r>
                <m:t>dt</m:t>
              </m:r>
            </m:den>
          </m:f>
          <m:r>
            <m:t> + ∇ · (v Ψ) = κ ∇</m:t>
          </m:r>
          <m:r>
            <m:t>^2 Ψ + </m:t>
          </m:r>
          <m:r>
            <m:t>\dot</m:t>
          </m:r>
          <m:r>
            <m:t>{S</m:t>
          </m:r>
          <m:r>
            <m:t>}</m:t>
          </m:r>
          <m:r>
            <m:t>_</m:t>
          </m:r>
          <m:r>
            <m:t>{gen</m:t>
          </m:r>
          <m:r>
            <m:t>}</m:t>
          </m:r>
        </m:oMath>
      </m:oMathPara>
    </w:p>
    <w:p>
      <w:pPr>
        <w:spacing w:line="360" w:lineRule="auto" w:after="120"/>
        <w:jc w:val="both"/>
      </w:pPr>
      <w:r>
        <w:rPr>
          <w:rFonts w:ascii="Times New Roman" w:hAnsi="Times New Roman"/>
        </w:rPr>
        <w:t>Where:</w:t>
      </w:r>
    </w:p>
    <w:p>
      <w:pPr>
        <w:pStyle w:val="ListBullet"/>
        <w:spacing w:after="40"/>
      </w:pPr>
      <w:r>
        <w:rPr>
          <w:rFonts w:ascii="Cambria Math" w:hAnsi="Cambria Math"/>
          <w:i/>
        </w:rPr>
        <w:t>Ψ</w:t>
      </w:r>
      <w:r>
        <w:rPr>
          <w:rFonts w:ascii="Times New Roman" w:hAnsi="Times New Roman"/>
        </w:rPr>
        <w:t xml:space="preserve"> represents the state variable of the system.</w:t>
      </w:r>
    </w:p>
    <w:p>
      <w:pPr>
        <w:pStyle w:val="ListBullet"/>
        <w:spacing w:after="40"/>
      </w:pPr>
      <w:r>
        <w:rPr>
          <w:rFonts w:ascii="Cambria Math" w:hAnsi="Cambria Math"/>
          <w:i/>
        </w:rPr>
        <w:t>v</w:t>
      </w:r>
      <w:r>
        <w:rPr>
          <w:rFonts w:ascii="Times New Roman" w:hAnsi="Times New Roman"/>
        </w:rPr>
        <w:t xml:space="preserve"> denotes the convective velocity field vector.</w:t>
      </w:r>
    </w:p>
    <w:p>
      <w:pPr>
        <w:pStyle w:val="ListBullet"/>
        <w:spacing w:after="40"/>
      </w:pPr>
      <w:r>
        <w:rPr>
          <w:rFonts w:ascii="Cambria Math" w:hAnsi="Cambria Math"/>
          <w:i/>
        </w:rPr>
        <w:t>κ</w:t>
      </w:r>
      <w:r>
        <w:rPr>
          <w:rFonts w:ascii="Times New Roman" w:hAnsi="Times New Roman"/>
        </w:rPr>
        <w:t xml:space="preserve"> is the effective transport diffusivity coefficient.</w:t>
      </w:r>
    </w:p>
    <w:p>
      <w:pPr>
        <w:pStyle w:val="ListBullet"/>
        <w:spacing w:after="40"/>
      </w:pPr>
      <w:r>
        <w:rPr>
          <w:rFonts w:ascii="Cambria Math" w:hAnsi="Cambria Math"/>
          <w:i/>
        </w:rPr>
        <w:t>\dot{S}_{gen}</w:t>
      </w:r>
      <w:r>
        <w:rPr>
          <w:rFonts w:ascii="Times New Roman" w:hAnsi="Times New Roman"/>
        </w:rPr>
        <w:t xml:space="preserve"> is the net volumetric internal generation rate.</w:t>
      </w:r>
    </w:p>
    <w:p>
      <w:pPr>
        <w:pStyle w:val="Heading3"/>
        <w:spacing w:before="240" w:after="80"/>
      </w:pPr>
      <w:r>
        <w:t>3. Comparison of Core Architectures</w:t>
      </w:r>
    </w:p>
    <w:p>
      <w:pPr>
        <w:spacing w:line="360" w:lineRule="auto" w:after="120"/>
        <w:jc w:val="both"/>
      </w:pPr>
      <w:r>
        <w:rPr>
          <w:rFonts w:ascii="Times New Roman" w:hAnsi="Times New Roman"/>
        </w:rPr>
        <w:t>The table below contrasts standard configurations used across modern academic and commercial implementations:</w:t>
      </w:r>
    </w:p>
    <w:tbl>
      <w:tblPr>
        <w:tblW w:type="auto" w:w="0"/>
        <w:jc w:val="center"/>
        <w:tblLayout w:type="autofit"/>
        <w:tblLook w:firstColumn="1" w:firstRow="1" w:lastColumn="0" w:lastRow="0" w:noHBand="0" w:noVBand="1" w:val="04A0"/>
        <w:tblBorders>
          <w:top w:val="single" w:sz="6" w:space="0" w:color="CBD5E1"/>
          <w:left w:val="none"/>
          <w:bottom w:val="single" w:sz="8" w:space="0" w:color="475569"/>
          <w:right w:val="none"/>
          <w:insideH w:val="single" w:sz="4" w:space="0" w:color="E2E8F0"/>
          <w:insideV w:val="none"/>
        </w:tblBorders>
      </w:tblPr>
      <w:tblGrid>
        <w:gridCol w:w="2340"/>
        <w:gridCol w:w="2340"/>
        <w:gridCol w:w="2340"/>
        <w:gridCol w:w="2340"/>
      </w:tblGrid>
      <w:tr>
        <w:tc>
          <w:tcPr>
            <w:tcW w:type="dxa" w:w="2340"/>
            <w:vAlign w:val="center"/>
            <w:shd w:fill="1E3A8A"/>
          </w:tcPr>
          <w:p>
            <w:pPr>
              <w:spacing w:before="80" w:after="80"/>
            </w:pPr>
            <w:r>
              <w:rPr>
                <w:rFonts w:ascii="Times New Roman" w:hAnsi="Times New Roman"/>
                <w:b/>
                <w:color w:val="FFFFFF"/>
                <w:sz w:val="22"/>
              </w:rPr>
              <w:t>Parameter</w:t>
            </w:r>
          </w:p>
        </w:tc>
        <w:tc>
          <w:tcPr>
            <w:tcW w:type="dxa" w:w="2340"/>
            <w:vAlign w:val="center"/>
            <w:shd w:fill="1E3A8A"/>
          </w:tcPr>
          <w:p>
            <w:pPr>
              <w:spacing w:before="80" w:after="80"/>
            </w:pPr>
            <w:r>
              <w:rPr>
                <w:rFonts w:ascii="Times New Roman" w:hAnsi="Times New Roman"/>
                <w:b/>
                <w:color w:val="FFFFFF"/>
                <w:sz w:val="22"/>
              </w:rPr>
              <w:t>Configuration Alpha</w:t>
            </w:r>
          </w:p>
        </w:tc>
        <w:tc>
          <w:tcPr>
            <w:tcW w:type="dxa" w:w="2340"/>
            <w:vAlign w:val="center"/>
            <w:shd w:fill="1E3A8A"/>
          </w:tcPr>
          <w:p>
            <w:pPr>
              <w:spacing w:before="80" w:after="80"/>
            </w:pPr>
            <w:r>
              <w:rPr>
                <w:rFonts w:ascii="Times New Roman" w:hAnsi="Times New Roman"/>
                <w:b/>
                <w:color w:val="FFFFFF"/>
                <w:sz w:val="22"/>
              </w:rPr>
              <w:t>Configuration Beta</w:t>
            </w:r>
          </w:p>
        </w:tc>
        <w:tc>
          <w:tcPr>
            <w:tcW w:type="dxa" w:w="2340"/>
            <w:vAlign w:val="center"/>
            <w:shd w:fill="1E3A8A"/>
          </w:tcPr>
          <w:p>
            <w:pPr>
              <w:spacing w:before="80" w:after="80"/>
            </w:pPr>
            <w:r>
              <w:rPr>
                <w:rFonts w:ascii="Times New Roman" w:hAnsi="Times New Roman"/>
                <w:b/>
                <w:color w:val="FFFFFF"/>
                <w:sz w:val="22"/>
              </w:rPr>
              <w:t>Configuration Gamma</w:t>
            </w:r>
          </w:p>
        </w:tc>
      </w:tr>
      <w:tr>
        <w:tc>
          <w:tcPr>
            <w:tcW w:type="dxa" w:w="2340"/>
            <w:vAlign w:val="center"/>
            <w:shd w:fill="F8FAFC"/>
          </w:tcPr>
          <w:p>
            <w:pPr>
              <w:spacing w:before="80" w:after="80"/>
            </w:pPr>
            <w:r>
              <w:rPr>
                <w:rFonts w:ascii="Times New Roman" w:hAnsi="Times New Roman"/>
                <w:sz w:val="21"/>
              </w:rPr>
              <w:t>Operational Efficiency</w:t>
            </w:r>
          </w:p>
        </w:tc>
        <w:tc>
          <w:tcPr>
            <w:tcW w:type="dxa" w:w="2340"/>
            <w:vAlign w:val="center"/>
            <w:shd w:fill="F8FAFC"/>
          </w:tcPr>
          <w:p>
            <w:pPr>
              <w:spacing w:before="80" w:after="80"/>
            </w:pPr>
            <w:r>
              <w:rPr>
                <w:rFonts w:ascii="Times New Roman" w:hAnsi="Times New Roman"/>
                <w:sz w:val="21"/>
              </w:rPr>
              <w:t>42% - 48%</w:t>
            </w:r>
          </w:p>
        </w:tc>
        <w:tc>
          <w:tcPr>
            <w:tcW w:type="dxa" w:w="2340"/>
            <w:vAlign w:val="center"/>
            <w:shd w:fill="F8FAFC"/>
          </w:tcPr>
          <w:p>
            <w:pPr>
              <w:spacing w:before="80" w:after="80"/>
            </w:pPr>
            <w:r>
              <w:rPr>
                <w:rFonts w:ascii="Times New Roman" w:hAnsi="Times New Roman"/>
                <w:sz w:val="21"/>
              </w:rPr>
              <w:t>55% - 62%</w:t>
            </w:r>
          </w:p>
        </w:tc>
        <w:tc>
          <w:tcPr>
            <w:tcW w:type="dxa" w:w="2340"/>
            <w:vAlign w:val="center"/>
            <w:shd w:fill="F8FAFC"/>
          </w:tcPr>
          <w:p>
            <w:pPr>
              <w:spacing w:before="80" w:after="80"/>
            </w:pPr>
            <w:r>
              <w:rPr>
                <w:rFonts w:ascii="Times New Roman" w:hAnsi="Times New Roman"/>
                <w:sz w:val="21"/>
              </w:rPr>
              <w:t>68% - 74%</w:t>
            </w:r>
          </w:p>
        </w:tc>
      </w:tr>
      <w:tr>
        <w:tc>
          <w:tcPr>
            <w:tcW w:type="dxa" w:w="2340"/>
            <w:vAlign w:val="center"/>
          </w:tcPr>
          <w:p>
            <w:pPr>
              <w:spacing w:before="80" w:after="80"/>
            </w:pPr>
            <w:r>
              <w:rPr>
                <w:rFonts w:ascii="Times New Roman" w:hAnsi="Times New Roman"/>
                <w:sz w:val="21"/>
              </w:rPr>
              <w:t>Temperature Range</w:t>
            </w:r>
          </w:p>
        </w:tc>
        <w:tc>
          <w:tcPr>
            <w:tcW w:type="dxa" w:w="2340"/>
            <w:vAlign w:val="center"/>
          </w:tcPr>
          <w:p>
            <w:pPr>
              <w:spacing w:before="80" w:after="80"/>
            </w:pPr>
            <w:r>
              <w:rPr>
                <w:rFonts w:ascii="Times New Roman" w:hAnsi="Times New Roman"/>
                <w:sz w:val="21"/>
              </w:rPr>
              <w:t>60°C - 80°C</w:t>
            </w:r>
          </w:p>
        </w:tc>
        <w:tc>
          <w:tcPr>
            <w:tcW w:type="dxa" w:w="2340"/>
            <w:vAlign w:val="center"/>
          </w:tcPr>
          <w:p>
            <w:pPr>
              <w:spacing w:before="80" w:after="80"/>
            </w:pPr>
            <w:r>
              <w:rPr>
                <w:rFonts w:ascii="Times New Roman" w:hAnsi="Times New Roman"/>
                <w:sz w:val="21"/>
              </w:rPr>
              <w:t>120°C - 180°C</w:t>
            </w:r>
          </w:p>
        </w:tc>
        <w:tc>
          <w:tcPr>
            <w:tcW w:type="dxa" w:w="2340"/>
            <w:vAlign w:val="center"/>
          </w:tcPr>
          <w:p>
            <w:pPr>
              <w:spacing w:before="80" w:after="80"/>
            </w:pPr>
            <w:r>
              <w:rPr>
                <w:rFonts w:ascii="Times New Roman" w:hAnsi="Times New Roman"/>
                <w:sz w:val="21"/>
              </w:rPr>
              <w:t>600°C - 800°C</w:t>
            </w:r>
          </w:p>
        </w:tc>
      </w:tr>
      <w:tr>
        <w:tc>
          <w:tcPr>
            <w:tcW w:type="dxa" w:w="2340"/>
            <w:vAlign w:val="center"/>
            <w:shd w:fill="F8FAFC"/>
          </w:tcPr>
          <w:p>
            <w:pPr>
              <w:spacing w:before="80" w:after="80"/>
            </w:pPr>
            <w:r>
              <w:rPr>
                <w:rFonts w:ascii="Times New Roman" w:hAnsi="Times New Roman"/>
                <w:sz w:val="21"/>
              </w:rPr>
              <w:t>Response Latency</w:t>
            </w:r>
          </w:p>
        </w:tc>
        <w:tc>
          <w:tcPr>
            <w:tcW w:type="dxa" w:w="2340"/>
            <w:vAlign w:val="center"/>
            <w:shd w:fill="F8FAFC"/>
          </w:tcPr>
          <w:p>
            <w:pPr>
              <w:spacing w:before="80" w:after="80"/>
            </w:pPr>
            <w:r>
              <w:rPr>
                <w:rFonts w:ascii="Times New Roman" w:hAnsi="Times New Roman"/>
                <w:sz w:val="21"/>
              </w:rPr>
              <w:t>&lt; 5 ms</w:t>
            </w:r>
          </w:p>
        </w:tc>
        <w:tc>
          <w:tcPr>
            <w:tcW w:type="dxa" w:w="2340"/>
            <w:vAlign w:val="center"/>
            <w:shd w:fill="F8FAFC"/>
          </w:tcPr>
          <w:p>
            <w:pPr>
              <w:spacing w:before="80" w:after="80"/>
            </w:pPr>
            <w:r>
              <w:rPr>
                <w:rFonts w:ascii="Times New Roman" w:hAnsi="Times New Roman"/>
                <w:sz w:val="21"/>
              </w:rPr>
              <w:t>25 ms</w:t>
            </w:r>
          </w:p>
        </w:tc>
        <w:tc>
          <w:tcPr>
            <w:tcW w:type="dxa" w:w="2340"/>
            <w:vAlign w:val="center"/>
            <w:shd w:fill="F8FAFC"/>
          </w:tcPr>
          <w:p>
            <w:pPr>
              <w:spacing w:before="80" w:after="80"/>
            </w:pPr>
            <w:r>
              <w:rPr>
                <w:rFonts w:ascii="Times New Roman" w:hAnsi="Times New Roman"/>
                <w:sz w:val="21"/>
              </w:rPr>
              <w:t>&gt; 100 ms</w:t>
            </w:r>
          </w:p>
        </w:tc>
      </w:tr>
      <w:tr>
        <w:tc>
          <w:tcPr>
            <w:tcW w:type="dxa" w:w="2340"/>
            <w:vAlign w:val="center"/>
          </w:tcPr>
          <w:p>
            <w:pPr>
              <w:spacing w:before="80" w:after="80"/>
            </w:pPr>
            <w:r>
              <w:rPr>
                <w:rFonts w:ascii="Times New Roman" w:hAnsi="Times New Roman"/>
                <w:sz w:val="21"/>
              </w:rPr>
              <w:t>Capital Cost Index</w:t>
            </w:r>
          </w:p>
        </w:tc>
        <w:tc>
          <w:tcPr>
            <w:tcW w:type="dxa" w:w="2340"/>
            <w:vAlign w:val="center"/>
          </w:tcPr>
          <w:p>
            <w:pPr>
              <w:spacing w:before="80" w:after="80"/>
            </w:pPr>
            <w:r>
              <w:rPr>
                <w:rFonts w:ascii="Times New Roman" w:hAnsi="Times New Roman"/>
                <w:sz w:val="21"/>
              </w:rPr>
              <w:t>Moderate</w:t>
            </w:r>
          </w:p>
        </w:tc>
        <w:tc>
          <w:tcPr>
            <w:tcW w:type="dxa" w:w="2340"/>
            <w:vAlign w:val="center"/>
          </w:tcPr>
          <w:p>
            <w:pPr>
              <w:spacing w:before="80" w:after="80"/>
            </w:pPr>
            <w:r>
              <w:rPr>
                <w:rFonts w:ascii="Times New Roman" w:hAnsi="Times New Roman"/>
                <w:sz w:val="21"/>
              </w:rPr>
              <w:t>High</w:t>
            </w:r>
          </w:p>
        </w:tc>
        <w:tc>
          <w:tcPr>
            <w:tcW w:type="dxa" w:w="2340"/>
            <w:vAlign w:val="center"/>
          </w:tcPr>
          <w:p>
            <w:pPr>
              <w:spacing w:before="80" w:after="80"/>
            </w:pPr>
            <w:r>
              <w:rPr>
                <w:rFonts w:ascii="Times New Roman" w:hAnsi="Times New Roman"/>
                <w:sz w:val="21"/>
              </w:rPr>
              <w:t>Premium</w:t>
            </w:r>
          </w:p>
        </w:tc>
      </w:tr>
      <w:tr>
        <w:tc>
          <w:tcPr>
            <w:tcW w:type="dxa" w:w="2340"/>
            <w:vAlign w:val="center"/>
            <w:shd w:fill="F8FAFC"/>
          </w:tcPr>
          <w:p>
            <w:pPr>
              <w:spacing w:before="80" w:after="80"/>
            </w:pPr>
            <w:r>
              <w:rPr>
                <w:rFonts w:ascii="Times New Roman" w:hAnsi="Times New Roman"/>
                <w:sz w:val="21"/>
              </w:rPr>
              <w:t>Durability Lifecycle</w:t>
            </w:r>
          </w:p>
        </w:tc>
        <w:tc>
          <w:tcPr>
            <w:tcW w:type="dxa" w:w="2340"/>
            <w:vAlign w:val="center"/>
            <w:shd w:fill="F8FAFC"/>
          </w:tcPr>
          <w:p>
            <w:pPr>
              <w:spacing w:before="80" w:after="80"/>
            </w:pPr>
            <w:r>
              <w:rPr>
                <w:rFonts w:ascii="Times New Roman" w:hAnsi="Times New Roman"/>
                <w:sz w:val="21"/>
              </w:rPr>
              <w:t>15,000 Hours</w:t>
            </w:r>
          </w:p>
        </w:tc>
        <w:tc>
          <w:tcPr>
            <w:tcW w:type="dxa" w:w="2340"/>
            <w:vAlign w:val="center"/>
            <w:shd w:fill="F8FAFC"/>
          </w:tcPr>
          <w:p>
            <w:pPr>
              <w:spacing w:before="80" w:after="80"/>
            </w:pPr>
            <w:r>
              <w:rPr>
                <w:rFonts w:ascii="Times New Roman" w:hAnsi="Times New Roman"/>
                <w:sz w:val="21"/>
              </w:rPr>
              <w:t>40,000 Hours</w:t>
            </w:r>
          </w:p>
        </w:tc>
        <w:tc>
          <w:tcPr>
            <w:tcW w:type="dxa" w:w="2340"/>
            <w:vAlign w:val="center"/>
            <w:shd w:fill="F8FAFC"/>
          </w:tcPr>
          <w:p>
            <w:pPr>
              <w:spacing w:before="80" w:after="80"/>
            </w:pPr>
            <w:r>
              <w:rPr>
                <w:rFonts w:ascii="Times New Roman" w:hAnsi="Times New Roman"/>
                <w:sz w:val="21"/>
              </w:rPr>
              <w:t>80,000 Hours</w:t>
            </w:r>
          </w:p>
        </w:tc>
      </w:tr>
    </w:tbl>
    <w:p>
      <w:pPr>
        <w:spacing w:after="160"/>
      </w:pPr>
    </w:p>
    <w:p>
      <w:pPr>
        <w:pStyle w:val="Heading3"/>
        <w:spacing w:before="240" w:after="80"/>
      </w:pPr>
      <w:r>
        <w:t>5. Summary and Key Takeaways</w:t>
      </w:r>
    </w:p>
    <w:p>
      <w:pPr>
        <w:pStyle w:val="ListBullet"/>
        <w:spacing w:after="40"/>
      </w:pPr>
      <w:r>
        <w:rPr>
          <w:rFonts w:ascii="Times New Roman" w:hAnsi="Times New Roman"/>
        </w:rPr>
        <w:t>Commutation Relations demonstrates non-linear dependencies across boundary operational regimes.</w:t>
      </w:r>
    </w:p>
    <w:p>
      <w:pPr>
        <w:pStyle w:val="ListBullet"/>
        <w:spacing w:after="40"/>
      </w:pPr>
      <w:r>
        <w:rPr>
          <w:rFonts w:ascii="Times New Roman" w:hAnsi="Times New Roman"/>
        </w:rPr>
        <w:t>Architectural selection dictates thermal management, longevity, and overall system scalability.</w:t>
      </w:r>
    </w:p>
    <w:p>
      <w:pPr>
        <w:spacing w:before="280" w:after="80"/>
        <w:jc w:val="center"/>
      </w:pPr>
      <w:r>
        <w:drawing>
          <wp:inline xmlns:a="http://schemas.openxmlformats.org/drawingml/2006/main" xmlns:pic="http://schemas.openxmlformats.org/drawingml/2006/picture">
            <wp:extent cx="5029200" cy="2988364"/>
            <wp:docPr id="9" name="Picture 9"/>
            <wp:cNvGraphicFramePr>
              <a:graphicFrameLocks noChangeAspect="1"/>
            </wp:cNvGraphicFramePr>
            <a:graphic>
              <a:graphicData uri="http://schemas.openxmlformats.org/drawingml/2006/picture">
                <pic:pic>
                  <pic:nvPicPr>
                    <pic:cNvPr id="0" name="chart_96541718.png"/>
                    <pic:cNvPicPr/>
                  </pic:nvPicPr>
                  <pic:blipFill>
                    <a:blip r:embed="rId18"/>
                    <a:stretch>
                      <a:fillRect/>
                    </a:stretch>
                  </pic:blipFill>
                  <pic:spPr>
                    <a:xfrm>
                      <a:off x="0" y="0"/>
                      <a:ext cx="5029200" cy="2988364"/>
                    </a:xfrm>
                    <a:prstGeom prst="rect"/>
                  </pic:spPr>
                </pic:pic>
              </a:graphicData>
            </a:graphic>
          </wp:inline>
        </w:drawing>
      </w:r>
    </w:p>
    <w:p>
      <w:pPr>
        <w:spacing w:after="280"/>
        <w:jc w:val="center"/>
      </w:pPr>
      <w:r>
        <w:rPr>
          <w:rFonts w:ascii="Times New Roman" w:hAnsi="Times New Roman"/>
          <w:b/>
          <w:i/>
          <w:color w:val="334155"/>
          <w:sz w:val="20"/>
        </w:rPr>
        <w:t>Figure 1.9 — Technical Schematic and Operational Characteristics of Engineering Physics: Quantum Mechanics</w:t>
      </w:r>
    </w:p>
    <w:p>
      <w:pPr>
        <w:spacing w:after="240"/>
      </w:pPr>
    </w:p>
    <w:p>
      <w:pPr>
        <w:pStyle w:val="Heading2"/>
        <w:spacing w:before="400" w:after="160"/>
      </w:pPr>
      <w:r>
        <w:t>Time-dependent Schrödinger Equation</w:t>
      </w:r>
    </w:p>
    <w:p>
      <w:pPr>
        <w:pStyle w:val="Heading3"/>
        <w:spacing w:before="280" w:after="120"/>
      </w:pPr>
      <w:r>
        <w:t>One-Dimensional Wave Equation Formulation</w:t>
      </w:r>
    </w:p>
    <w:p>
      <w:pPr>
        <w:pStyle w:val="Heading3"/>
        <w:spacing w:before="240" w:after="80"/>
      </w:pPr>
      <w:r>
        <w:t>Learning Objectives</w:t>
      </w:r>
    </w:p>
    <w:p>
      <w:pPr>
        <w:pStyle w:val="ListNumber"/>
        <w:spacing w:after="40"/>
      </w:pPr>
      <w:r>
        <w:rPr>
          <w:rFonts w:ascii="Times New Roman" w:hAnsi="Times New Roman"/>
        </w:rPr>
        <w:t>Understand the theoretical foundations and core dynamics of One-Dimensional Wave Equation Formulation.</w:t>
      </w:r>
    </w:p>
    <w:p>
      <w:pPr>
        <w:pStyle w:val="ListNumber"/>
        <w:spacing w:after="40"/>
      </w:pPr>
      <w:r>
        <w:rPr>
          <w:rFonts w:ascii="Times New Roman" w:hAnsi="Times New Roman"/>
        </w:rPr>
        <w:t>Formulate governing quantitative relationships and state equations.</w:t>
      </w:r>
    </w:p>
    <w:p>
      <w:pPr>
        <w:pStyle w:val="ListNumber"/>
        <w:spacing w:after="40"/>
      </w:pPr>
      <w:r>
        <w:rPr>
          <w:rFonts w:ascii="Times New Roman" w:hAnsi="Times New Roman"/>
        </w:rPr>
        <w:t>Critically analyze industrial trade-offs, operational constraints, and failure modes.</w:t>
      </w:r>
    </w:p>
    <w:p>
      <w:pPr>
        <w:pStyle w:val="Heading3"/>
        <w:spacing w:before="240" w:after="80"/>
      </w:pPr>
      <w:r>
        <w:t>1. Introduction and Historical Context</w:t>
      </w:r>
    </w:p>
    <w:p>
      <w:pPr>
        <w:spacing w:line="360" w:lineRule="auto" w:after="120"/>
        <w:jc w:val="both"/>
      </w:pPr>
      <w:r>
        <w:rPr>
          <w:rFonts w:ascii="Times New Roman" w:hAnsi="Times New Roman"/>
        </w:rPr>
        <w:t>The development of One-Dimensional Wave Equation Formulation represents a foundational milestone in contemporary technical systems. Historically developed to address operational inefficiencies, early architectures prioritized basic functionality over thermodynamic or computational efficiency. Modern methodologies integrate rigorous closed-loop optimization to achieve optimal performance metrics.</w:t>
      </w:r>
    </w:p>
    <w:p>
      <w:pPr>
        <w:pStyle w:val="Heading3"/>
        <w:spacing w:before="240" w:after="80"/>
      </w:pPr>
      <w:r>
        <w:t>2. Theoretical Foundations and Analytical Formulation</w:t>
      </w:r>
    </w:p>
    <w:p>
      <w:pPr>
        <w:spacing w:line="360" w:lineRule="auto" w:after="120"/>
        <w:jc w:val="both"/>
      </w:pPr>
      <w:r>
        <w:rPr>
          <w:rFonts w:ascii="Times New Roman" w:hAnsi="Times New Roman"/>
        </w:rPr>
        <w:t>At its core, One-Dimensional Wave Equation Formulation operates under established physical and empirical principles. The dynamic behavior can be modeled using the generalized governing equation:</w:t>
      </w:r>
    </w:p>
    <w:p>
      <w:pPr>
        <w:spacing w:before="160" w:after="160"/>
        <w:jc w:val="center"/>
      </w:pPr>
      <m:oMathPara>
        <m:oMath>
          <m:f>
            <m:num>
              <m:r>
                <m:t>dΨ</m:t>
              </m:r>
            </m:num>
            <m:den>
              <m:r>
                <m:t>dt</m:t>
              </m:r>
            </m:den>
          </m:f>
          <m:r>
            <m:t> + ∇ · (v Ψ) = κ ∇</m:t>
          </m:r>
          <m:r>
            <m:t>^2 Ψ + </m:t>
          </m:r>
          <m:r>
            <m:t>\dot</m:t>
          </m:r>
          <m:r>
            <m:t>{S</m:t>
          </m:r>
          <m:r>
            <m:t>}</m:t>
          </m:r>
          <m:r>
            <m:t>_</m:t>
          </m:r>
          <m:r>
            <m:t>{gen</m:t>
          </m:r>
          <m:r>
            <m:t>}</m:t>
          </m:r>
        </m:oMath>
      </m:oMathPara>
    </w:p>
    <w:p>
      <w:pPr>
        <w:spacing w:line="360" w:lineRule="auto" w:after="120"/>
        <w:jc w:val="both"/>
      </w:pPr>
      <w:r>
        <w:rPr>
          <w:rFonts w:ascii="Times New Roman" w:hAnsi="Times New Roman"/>
        </w:rPr>
        <w:t>Where:</w:t>
      </w:r>
    </w:p>
    <w:p>
      <w:pPr>
        <w:pStyle w:val="ListBullet"/>
        <w:spacing w:after="40"/>
      </w:pPr>
      <w:r>
        <w:rPr>
          <w:rFonts w:ascii="Cambria Math" w:hAnsi="Cambria Math"/>
          <w:i/>
        </w:rPr>
        <w:t>Ψ</w:t>
      </w:r>
      <w:r>
        <w:rPr>
          <w:rFonts w:ascii="Times New Roman" w:hAnsi="Times New Roman"/>
        </w:rPr>
        <w:t xml:space="preserve"> represents the state variable of the system.</w:t>
      </w:r>
    </w:p>
    <w:p>
      <w:pPr>
        <w:pStyle w:val="ListBullet"/>
        <w:spacing w:after="40"/>
      </w:pPr>
      <w:r>
        <w:rPr>
          <w:rFonts w:ascii="Cambria Math" w:hAnsi="Cambria Math"/>
          <w:i/>
        </w:rPr>
        <w:t>v</w:t>
      </w:r>
      <w:r>
        <w:rPr>
          <w:rFonts w:ascii="Times New Roman" w:hAnsi="Times New Roman"/>
        </w:rPr>
        <w:t xml:space="preserve"> denotes the convective velocity field vector.</w:t>
      </w:r>
    </w:p>
    <w:p>
      <w:pPr>
        <w:pStyle w:val="ListBullet"/>
        <w:spacing w:after="40"/>
      </w:pPr>
      <w:r>
        <w:rPr>
          <w:rFonts w:ascii="Cambria Math" w:hAnsi="Cambria Math"/>
          <w:i/>
        </w:rPr>
        <w:t>κ</w:t>
      </w:r>
      <w:r>
        <w:rPr>
          <w:rFonts w:ascii="Times New Roman" w:hAnsi="Times New Roman"/>
        </w:rPr>
        <w:t xml:space="preserve"> is the effective transport diffusivity coefficient.</w:t>
      </w:r>
    </w:p>
    <w:p>
      <w:pPr>
        <w:pStyle w:val="ListBullet"/>
        <w:spacing w:after="40"/>
      </w:pPr>
      <w:r>
        <w:rPr>
          <w:rFonts w:ascii="Cambria Math" w:hAnsi="Cambria Math"/>
          <w:i/>
        </w:rPr>
        <w:t>\dot{S}_{gen}</w:t>
      </w:r>
      <w:r>
        <w:rPr>
          <w:rFonts w:ascii="Times New Roman" w:hAnsi="Times New Roman"/>
        </w:rPr>
        <w:t xml:space="preserve"> is the net volumetric internal generation rate.</w:t>
      </w:r>
    </w:p>
    <w:p>
      <w:pPr>
        <w:pStyle w:val="Heading3"/>
        <w:spacing w:before="240" w:after="80"/>
      </w:pPr>
      <w:r>
        <w:t>3. Comparison of Core Architectures</w:t>
      </w:r>
    </w:p>
    <w:p>
      <w:pPr>
        <w:spacing w:line="360" w:lineRule="auto" w:after="120"/>
        <w:jc w:val="both"/>
      </w:pPr>
      <w:r>
        <w:rPr>
          <w:rFonts w:ascii="Times New Roman" w:hAnsi="Times New Roman"/>
        </w:rPr>
        <w:t>The table below contrasts standard configurations used across modern academic and commercial implementations:</w:t>
      </w:r>
    </w:p>
    <w:tbl>
      <w:tblPr>
        <w:tblW w:type="auto" w:w="0"/>
        <w:jc w:val="center"/>
        <w:tblLayout w:type="autofit"/>
        <w:tblLook w:firstColumn="1" w:firstRow="1" w:lastColumn="0" w:lastRow="0" w:noHBand="0" w:noVBand="1" w:val="04A0"/>
        <w:tblBorders>
          <w:top w:val="single" w:sz="6" w:space="0" w:color="CBD5E1"/>
          <w:left w:val="none"/>
          <w:bottom w:val="single" w:sz="8" w:space="0" w:color="475569"/>
          <w:right w:val="none"/>
          <w:insideH w:val="single" w:sz="4" w:space="0" w:color="E2E8F0"/>
          <w:insideV w:val="none"/>
        </w:tblBorders>
      </w:tblPr>
      <w:tblGrid>
        <w:gridCol w:w="2340"/>
        <w:gridCol w:w="2340"/>
        <w:gridCol w:w="2340"/>
        <w:gridCol w:w="2340"/>
      </w:tblGrid>
      <w:tr>
        <w:tc>
          <w:tcPr>
            <w:tcW w:type="dxa" w:w="2340"/>
            <w:vAlign w:val="center"/>
            <w:shd w:fill="1E3A8A"/>
          </w:tcPr>
          <w:p>
            <w:pPr>
              <w:spacing w:before="80" w:after="80"/>
            </w:pPr>
            <w:r>
              <w:rPr>
                <w:rFonts w:ascii="Times New Roman" w:hAnsi="Times New Roman"/>
                <w:b/>
                <w:color w:val="FFFFFF"/>
                <w:sz w:val="22"/>
              </w:rPr>
              <w:t>Parameter</w:t>
            </w:r>
          </w:p>
        </w:tc>
        <w:tc>
          <w:tcPr>
            <w:tcW w:type="dxa" w:w="2340"/>
            <w:vAlign w:val="center"/>
            <w:shd w:fill="1E3A8A"/>
          </w:tcPr>
          <w:p>
            <w:pPr>
              <w:spacing w:before="80" w:after="80"/>
            </w:pPr>
            <w:r>
              <w:rPr>
                <w:rFonts w:ascii="Times New Roman" w:hAnsi="Times New Roman"/>
                <w:b/>
                <w:color w:val="FFFFFF"/>
                <w:sz w:val="22"/>
              </w:rPr>
              <w:t>Configuration Alpha</w:t>
            </w:r>
          </w:p>
        </w:tc>
        <w:tc>
          <w:tcPr>
            <w:tcW w:type="dxa" w:w="2340"/>
            <w:vAlign w:val="center"/>
            <w:shd w:fill="1E3A8A"/>
          </w:tcPr>
          <w:p>
            <w:pPr>
              <w:spacing w:before="80" w:after="80"/>
            </w:pPr>
            <w:r>
              <w:rPr>
                <w:rFonts w:ascii="Times New Roman" w:hAnsi="Times New Roman"/>
                <w:b/>
                <w:color w:val="FFFFFF"/>
                <w:sz w:val="22"/>
              </w:rPr>
              <w:t>Configuration Beta</w:t>
            </w:r>
          </w:p>
        </w:tc>
        <w:tc>
          <w:tcPr>
            <w:tcW w:type="dxa" w:w="2340"/>
            <w:vAlign w:val="center"/>
            <w:shd w:fill="1E3A8A"/>
          </w:tcPr>
          <w:p>
            <w:pPr>
              <w:spacing w:before="80" w:after="80"/>
            </w:pPr>
            <w:r>
              <w:rPr>
                <w:rFonts w:ascii="Times New Roman" w:hAnsi="Times New Roman"/>
                <w:b/>
                <w:color w:val="FFFFFF"/>
                <w:sz w:val="22"/>
              </w:rPr>
              <w:t>Configuration Gamma</w:t>
            </w:r>
          </w:p>
        </w:tc>
      </w:tr>
      <w:tr>
        <w:tc>
          <w:tcPr>
            <w:tcW w:type="dxa" w:w="2340"/>
            <w:vAlign w:val="center"/>
            <w:shd w:fill="F8FAFC"/>
          </w:tcPr>
          <w:p>
            <w:pPr>
              <w:spacing w:before="80" w:after="80"/>
            </w:pPr>
            <w:r>
              <w:rPr>
                <w:rFonts w:ascii="Times New Roman" w:hAnsi="Times New Roman"/>
                <w:sz w:val="21"/>
              </w:rPr>
              <w:t>Operational Efficiency</w:t>
            </w:r>
          </w:p>
        </w:tc>
        <w:tc>
          <w:tcPr>
            <w:tcW w:type="dxa" w:w="2340"/>
            <w:vAlign w:val="center"/>
            <w:shd w:fill="F8FAFC"/>
          </w:tcPr>
          <w:p>
            <w:pPr>
              <w:spacing w:before="80" w:after="80"/>
            </w:pPr>
            <w:r>
              <w:rPr>
                <w:rFonts w:ascii="Times New Roman" w:hAnsi="Times New Roman"/>
                <w:sz w:val="21"/>
              </w:rPr>
              <w:t>42% - 48%</w:t>
            </w:r>
          </w:p>
        </w:tc>
        <w:tc>
          <w:tcPr>
            <w:tcW w:type="dxa" w:w="2340"/>
            <w:vAlign w:val="center"/>
            <w:shd w:fill="F8FAFC"/>
          </w:tcPr>
          <w:p>
            <w:pPr>
              <w:spacing w:before="80" w:after="80"/>
            </w:pPr>
            <w:r>
              <w:rPr>
                <w:rFonts w:ascii="Times New Roman" w:hAnsi="Times New Roman"/>
                <w:sz w:val="21"/>
              </w:rPr>
              <w:t>55% - 62%</w:t>
            </w:r>
          </w:p>
        </w:tc>
        <w:tc>
          <w:tcPr>
            <w:tcW w:type="dxa" w:w="2340"/>
            <w:vAlign w:val="center"/>
            <w:shd w:fill="F8FAFC"/>
          </w:tcPr>
          <w:p>
            <w:pPr>
              <w:spacing w:before="80" w:after="80"/>
            </w:pPr>
            <w:r>
              <w:rPr>
                <w:rFonts w:ascii="Times New Roman" w:hAnsi="Times New Roman"/>
                <w:sz w:val="21"/>
              </w:rPr>
              <w:t>68% - 74%</w:t>
            </w:r>
          </w:p>
        </w:tc>
      </w:tr>
      <w:tr>
        <w:tc>
          <w:tcPr>
            <w:tcW w:type="dxa" w:w="2340"/>
            <w:vAlign w:val="center"/>
          </w:tcPr>
          <w:p>
            <w:pPr>
              <w:spacing w:before="80" w:after="80"/>
            </w:pPr>
            <w:r>
              <w:rPr>
                <w:rFonts w:ascii="Times New Roman" w:hAnsi="Times New Roman"/>
                <w:sz w:val="21"/>
              </w:rPr>
              <w:t>Temperature Range</w:t>
            </w:r>
          </w:p>
        </w:tc>
        <w:tc>
          <w:tcPr>
            <w:tcW w:type="dxa" w:w="2340"/>
            <w:vAlign w:val="center"/>
          </w:tcPr>
          <w:p>
            <w:pPr>
              <w:spacing w:before="80" w:after="80"/>
            </w:pPr>
            <w:r>
              <w:rPr>
                <w:rFonts w:ascii="Times New Roman" w:hAnsi="Times New Roman"/>
                <w:sz w:val="21"/>
              </w:rPr>
              <w:t>60°C - 80°C</w:t>
            </w:r>
          </w:p>
        </w:tc>
        <w:tc>
          <w:tcPr>
            <w:tcW w:type="dxa" w:w="2340"/>
            <w:vAlign w:val="center"/>
          </w:tcPr>
          <w:p>
            <w:pPr>
              <w:spacing w:before="80" w:after="80"/>
            </w:pPr>
            <w:r>
              <w:rPr>
                <w:rFonts w:ascii="Times New Roman" w:hAnsi="Times New Roman"/>
                <w:sz w:val="21"/>
              </w:rPr>
              <w:t>120°C - 180°C</w:t>
            </w:r>
          </w:p>
        </w:tc>
        <w:tc>
          <w:tcPr>
            <w:tcW w:type="dxa" w:w="2340"/>
            <w:vAlign w:val="center"/>
          </w:tcPr>
          <w:p>
            <w:pPr>
              <w:spacing w:before="80" w:after="80"/>
            </w:pPr>
            <w:r>
              <w:rPr>
                <w:rFonts w:ascii="Times New Roman" w:hAnsi="Times New Roman"/>
                <w:sz w:val="21"/>
              </w:rPr>
              <w:t>600°C - 800°C</w:t>
            </w:r>
          </w:p>
        </w:tc>
      </w:tr>
      <w:tr>
        <w:tc>
          <w:tcPr>
            <w:tcW w:type="dxa" w:w="2340"/>
            <w:vAlign w:val="center"/>
            <w:shd w:fill="F8FAFC"/>
          </w:tcPr>
          <w:p>
            <w:pPr>
              <w:spacing w:before="80" w:after="80"/>
            </w:pPr>
            <w:r>
              <w:rPr>
                <w:rFonts w:ascii="Times New Roman" w:hAnsi="Times New Roman"/>
                <w:sz w:val="21"/>
              </w:rPr>
              <w:t>Response Latency</w:t>
            </w:r>
          </w:p>
        </w:tc>
        <w:tc>
          <w:tcPr>
            <w:tcW w:type="dxa" w:w="2340"/>
            <w:vAlign w:val="center"/>
            <w:shd w:fill="F8FAFC"/>
          </w:tcPr>
          <w:p>
            <w:pPr>
              <w:spacing w:before="80" w:after="80"/>
            </w:pPr>
            <w:r>
              <w:rPr>
                <w:rFonts w:ascii="Times New Roman" w:hAnsi="Times New Roman"/>
                <w:sz w:val="21"/>
              </w:rPr>
              <w:t>&lt; 5 ms</w:t>
            </w:r>
          </w:p>
        </w:tc>
        <w:tc>
          <w:tcPr>
            <w:tcW w:type="dxa" w:w="2340"/>
            <w:vAlign w:val="center"/>
            <w:shd w:fill="F8FAFC"/>
          </w:tcPr>
          <w:p>
            <w:pPr>
              <w:spacing w:before="80" w:after="80"/>
            </w:pPr>
            <w:r>
              <w:rPr>
                <w:rFonts w:ascii="Times New Roman" w:hAnsi="Times New Roman"/>
                <w:sz w:val="21"/>
              </w:rPr>
              <w:t>25 ms</w:t>
            </w:r>
          </w:p>
        </w:tc>
        <w:tc>
          <w:tcPr>
            <w:tcW w:type="dxa" w:w="2340"/>
            <w:vAlign w:val="center"/>
            <w:shd w:fill="F8FAFC"/>
          </w:tcPr>
          <w:p>
            <w:pPr>
              <w:spacing w:before="80" w:after="80"/>
            </w:pPr>
            <w:r>
              <w:rPr>
                <w:rFonts w:ascii="Times New Roman" w:hAnsi="Times New Roman"/>
                <w:sz w:val="21"/>
              </w:rPr>
              <w:t>&gt; 100 ms</w:t>
            </w:r>
          </w:p>
        </w:tc>
      </w:tr>
      <w:tr>
        <w:tc>
          <w:tcPr>
            <w:tcW w:type="dxa" w:w="2340"/>
            <w:vAlign w:val="center"/>
          </w:tcPr>
          <w:p>
            <w:pPr>
              <w:spacing w:before="80" w:after="80"/>
            </w:pPr>
            <w:r>
              <w:rPr>
                <w:rFonts w:ascii="Times New Roman" w:hAnsi="Times New Roman"/>
                <w:sz w:val="21"/>
              </w:rPr>
              <w:t>Capital Cost Index</w:t>
            </w:r>
          </w:p>
        </w:tc>
        <w:tc>
          <w:tcPr>
            <w:tcW w:type="dxa" w:w="2340"/>
            <w:vAlign w:val="center"/>
          </w:tcPr>
          <w:p>
            <w:pPr>
              <w:spacing w:before="80" w:after="80"/>
            </w:pPr>
            <w:r>
              <w:rPr>
                <w:rFonts w:ascii="Times New Roman" w:hAnsi="Times New Roman"/>
                <w:sz w:val="21"/>
              </w:rPr>
              <w:t>Moderate</w:t>
            </w:r>
          </w:p>
        </w:tc>
        <w:tc>
          <w:tcPr>
            <w:tcW w:type="dxa" w:w="2340"/>
            <w:vAlign w:val="center"/>
          </w:tcPr>
          <w:p>
            <w:pPr>
              <w:spacing w:before="80" w:after="80"/>
            </w:pPr>
            <w:r>
              <w:rPr>
                <w:rFonts w:ascii="Times New Roman" w:hAnsi="Times New Roman"/>
                <w:sz w:val="21"/>
              </w:rPr>
              <w:t>High</w:t>
            </w:r>
          </w:p>
        </w:tc>
        <w:tc>
          <w:tcPr>
            <w:tcW w:type="dxa" w:w="2340"/>
            <w:vAlign w:val="center"/>
          </w:tcPr>
          <w:p>
            <w:pPr>
              <w:spacing w:before="80" w:after="80"/>
            </w:pPr>
            <w:r>
              <w:rPr>
                <w:rFonts w:ascii="Times New Roman" w:hAnsi="Times New Roman"/>
                <w:sz w:val="21"/>
              </w:rPr>
              <w:t>Premium</w:t>
            </w:r>
          </w:p>
        </w:tc>
      </w:tr>
      <w:tr>
        <w:tc>
          <w:tcPr>
            <w:tcW w:type="dxa" w:w="2340"/>
            <w:vAlign w:val="center"/>
            <w:shd w:fill="F8FAFC"/>
          </w:tcPr>
          <w:p>
            <w:pPr>
              <w:spacing w:before="80" w:after="80"/>
            </w:pPr>
            <w:r>
              <w:rPr>
                <w:rFonts w:ascii="Times New Roman" w:hAnsi="Times New Roman"/>
                <w:sz w:val="21"/>
              </w:rPr>
              <w:t>Durability Lifecycle</w:t>
            </w:r>
          </w:p>
        </w:tc>
        <w:tc>
          <w:tcPr>
            <w:tcW w:type="dxa" w:w="2340"/>
            <w:vAlign w:val="center"/>
            <w:shd w:fill="F8FAFC"/>
          </w:tcPr>
          <w:p>
            <w:pPr>
              <w:spacing w:before="80" w:after="80"/>
            </w:pPr>
            <w:r>
              <w:rPr>
                <w:rFonts w:ascii="Times New Roman" w:hAnsi="Times New Roman"/>
                <w:sz w:val="21"/>
              </w:rPr>
              <w:t>15,000 Hours</w:t>
            </w:r>
          </w:p>
        </w:tc>
        <w:tc>
          <w:tcPr>
            <w:tcW w:type="dxa" w:w="2340"/>
            <w:vAlign w:val="center"/>
            <w:shd w:fill="F8FAFC"/>
          </w:tcPr>
          <w:p>
            <w:pPr>
              <w:spacing w:before="80" w:after="80"/>
            </w:pPr>
            <w:r>
              <w:rPr>
                <w:rFonts w:ascii="Times New Roman" w:hAnsi="Times New Roman"/>
                <w:sz w:val="21"/>
              </w:rPr>
              <w:t>40,000 Hours</w:t>
            </w:r>
          </w:p>
        </w:tc>
        <w:tc>
          <w:tcPr>
            <w:tcW w:type="dxa" w:w="2340"/>
            <w:vAlign w:val="center"/>
            <w:shd w:fill="F8FAFC"/>
          </w:tcPr>
          <w:p>
            <w:pPr>
              <w:spacing w:before="80" w:after="80"/>
            </w:pPr>
            <w:r>
              <w:rPr>
                <w:rFonts w:ascii="Times New Roman" w:hAnsi="Times New Roman"/>
                <w:sz w:val="21"/>
              </w:rPr>
              <w:t>80,000 Hours</w:t>
            </w:r>
          </w:p>
        </w:tc>
      </w:tr>
    </w:tbl>
    <w:p>
      <w:pPr>
        <w:spacing w:after="160"/>
      </w:pPr>
    </w:p>
    <w:p>
      <w:pPr>
        <w:pStyle w:val="Heading3"/>
        <w:spacing w:before="240" w:after="80"/>
      </w:pPr>
      <w:r>
        <w:t>5. Summary and Key Takeaways</w:t>
      </w:r>
    </w:p>
    <w:p>
      <w:pPr>
        <w:pStyle w:val="ListBullet"/>
        <w:spacing w:after="40"/>
      </w:pPr>
      <w:r>
        <w:rPr>
          <w:rFonts w:ascii="Times New Roman" w:hAnsi="Times New Roman"/>
        </w:rPr>
        <w:t>One-Dimensional Wave Equation Formulation demonstrates non-linear dependencies across boundary operational regimes.</w:t>
      </w:r>
    </w:p>
    <w:p>
      <w:pPr>
        <w:pStyle w:val="ListBullet"/>
        <w:spacing w:after="40"/>
      </w:pPr>
      <w:r>
        <w:rPr>
          <w:rFonts w:ascii="Times New Roman" w:hAnsi="Times New Roman"/>
        </w:rPr>
        <w:t>Architectural selection dictates thermal management, longevity, and overall system scalability.</w:t>
      </w:r>
    </w:p>
    <w:p>
      <w:pPr>
        <w:pStyle w:val="Heading4"/>
        <w:spacing w:before="160" w:after="80"/>
      </w:pPr>
      <w:r>
        <w:t>Formal Analytical Derivation of One-Dimensional Wave Equation Formulation</w:t>
      </w:r>
    </w:p>
    <w:p>
      <w:pPr>
        <w:pStyle w:val="Heading3"/>
        <w:spacing w:before="240" w:after="80"/>
      </w:pPr>
      <w:r>
        <w:t>Analytical Formulation and Derivation: One-Dimensional Wave Equation Formulation</w:t>
      </w:r>
    </w:p>
    <w:p>
      <w:pPr>
        <w:spacing w:line="360" w:lineRule="auto" w:after="120"/>
        <w:jc w:val="both"/>
      </w:pPr>
      <w:r>
        <w:rPr>
          <w:rFonts w:ascii="Times New Roman" w:hAnsi="Times New Roman"/>
        </w:rPr>
        <w:t>To rigorously establish the governing state relationship for Time-dependent Schrödinger Equation, we begin from the continuous conservation equation:</w:t>
      </w:r>
    </w:p>
    <w:p>
      <w:pPr>
        <w:spacing w:before="160" w:after="160"/>
        <w:jc w:val="center"/>
      </w:pPr>
      <m:oMathPara>
        <m:oMath>
          <m:f>
            <m:num>
              <m:r>
                <m:t>∂ Φ</m:t>
              </m:r>
            </m:num>
            <m:den>
              <m:r>
                <m:t>∂ t</m:t>
              </m:r>
            </m:den>
          </m:f>
          <m:r>
            <m:t> + ∇ · (v Φ) = </m:t>
          </m:r>
          <m:r>
            <m:t>\mathcal</m:t>
          </m:r>
          <m:r>
            <m:t>{D</m:t>
          </m:r>
          <m:r>
            <m:t>} ∇</m:t>
          </m:r>
          <m:r>
            <m:t>^2 Φ + </m:t>
          </m:r>
          <m:r>
            <m:t>\mathcal</m:t>
          </m:r>
          <m:r>
            <m:t>{S</m:t>
          </m:r>
          <m:r>
            <m:t>}</m:t>
          </m:r>
        </m:oMath>
      </m:oMathPara>
    </w:p>
    <w:p>
      <w:pPr>
        <w:spacing w:line="360" w:lineRule="auto" w:after="120"/>
        <w:jc w:val="both"/>
      </w:pPr>
      <w:r>
        <w:rPr>
          <w:rFonts w:ascii="Times New Roman" w:hAnsi="Times New Roman"/>
        </w:rPr>
        <w:t>Under steady-state laminar conditions with homogeneous isotropic transport (</w:t>
      </w:r>
      <w:r>
        <w:rPr>
          <w:rFonts w:ascii="Cambria Math" w:hAnsi="Cambria Math"/>
          <w:i/>
        </w:rPr>
        <w:t>\mathcal{D} = const</w:t>
      </w:r>
      <w:r>
        <w:rPr>
          <w:rFonts w:ascii="Times New Roman" w:hAnsi="Times New Roman"/>
        </w:rPr>
        <w:t>) and negligible internal source terms (</w:t>
      </w:r>
      <w:r>
        <w:rPr>
          <w:rFonts w:ascii="Cambria Math" w:hAnsi="Cambria Math"/>
          <w:i/>
        </w:rPr>
        <w:t>\mathcal{S} = 0</w:t>
      </w:r>
      <w:r>
        <w:rPr>
          <w:rFonts w:ascii="Times New Roman" w:hAnsi="Times New Roman"/>
        </w:rPr>
        <w:t>), the divergence balance reduces to:</w:t>
      </w:r>
    </w:p>
    <w:p>
      <w:pPr>
        <w:spacing w:before="160" w:after="160"/>
        <w:jc w:val="center"/>
      </w:pPr>
      <m:oMathPara>
        <m:oMath>
          <m:sSup>
            <m:e>
              <m:r>
                <m:t>∇</m:t>
              </m:r>
            </m:e>
            <m:sup>
              <m:r>
                <m:t>2</m:t>
              </m:r>
            </m:sup>
          </m:sSup>
          <m:r>
            <m:t> Φ = 0</m:t>
          </m:r>
        </m:oMath>
      </m:oMathPara>
    </w:p>
    <w:p>
      <w:pPr>
        <w:spacing w:line="360" w:lineRule="auto" w:after="120"/>
        <w:jc w:val="both"/>
      </w:pPr>
      <w:r>
        <w:rPr>
          <w:rFonts w:ascii="Times New Roman" w:hAnsi="Times New Roman"/>
        </w:rPr>
        <w:t xml:space="preserve">Applying the orthogonal boundary conditions on the closed domain </w:t>
      </w:r>
      <w:r>
        <w:rPr>
          <w:rFonts w:ascii="Cambria Math" w:hAnsi="Cambria Math"/>
          <w:i/>
        </w:rPr>
        <w:t>Ω</w:t>
      </w:r>
      <w:r>
        <w:rPr>
          <w:rFonts w:ascii="Times New Roman" w:hAnsi="Times New Roman"/>
        </w:rPr>
        <w:t xml:space="preserve"> with surface boundary </w:t>
      </w:r>
      <w:r>
        <w:rPr>
          <w:rFonts w:ascii="Cambria Math" w:hAnsi="Cambria Math"/>
          <w:i/>
        </w:rPr>
        <w:t>∂ Ω</w:t>
      </w:r>
      <w:r>
        <w:rPr>
          <w:rFonts w:ascii="Times New Roman" w:hAnsi="Times New Roman"/>
        </w:rPr>
        <w:t>:</w:t>
      </w:r>
    </w:p>
    <w:p>
      <w:pPr>
        <w:spacing w:before="160" w:after="160"/>
        <w:jc w:val="center"/>
      </w:pPr>
      <m:oMathPara>
        <m:oMath>
          <m:r>
            <m:t>Φ(r)|</m:t>
          </m:r>
          <m:r>
            <m:t>_</m:t>
          </m:r>
          <m:r>
            <m:t>{∂ Ω</m:t>
          </m:r>
          <m:r>
            <m:t>} = Φ</m:t>
          </m:r>
          <m:r>
            <m:t>_0</m:t>
          </m:r>
        </m:oMath>
      </m:oMathPara>
    </w:p>
    <w:p>
      <w:pPr>
        <w:spacing w:line="360" w:lineRule="auto" w:after="120"/>
        <w:jc w:val="both"/>
      </w:pPr>
      <w:r>
        <w:rPr>
          <w:rFonts w:ascii="Times New Roman" w:hAnsi="Times New Roman"/>
        </w:rPr>
        <w:t>Integrating across the characteristic dimension yields the final governing relationship:</w:t>
      </w:r>
    </w:p>
    <w:p>
      <w:pPr>
        <w:spacing w:before="160" w:after="160"/>
        <w:jc w:val="center"/>
      </w:pPr>
      <m:oMathPara>
        <m:oMath>
          <m:r>
            <m:t>Φ(r) = Φ</m:t>
          </m:r>
          <m:r>
            <m:t>_0 (1 - </m:t>
          </m:r>
          <m:f>
            <m:num>
              <m:r>
                <m:t>r</m:t>
              </m:r>
            </m:num>
            <m:den>
              <m:r>
                <m:t>R</m:t>
              </m:r>
            </m:den>
          </m:f>
          <m:r>
            <m:t>)</m:t>
          </m:r>
        </m:oMath>
      </m:oMathPara>
    </w:p>
    <w:p>
      <w:pPr>
        <w:spacing w:line="360" w:lineRule="auto" w:after="120"/>
        <w:jc w:val="both"/>
      </w:pPr>
      <w:r>
        <w:rPr>
          <w:rFonts w:ascii="Times New Roman" w:hAnsi="Times New Roman"/>
          <w:b/>
        </w:rPr>
        <w:t>Physical Interpretation:</w:t>
      </w:r>
      <w:r>
        <w:rPr>
          <w:rFonts w:ascii="Times New Roman" w:hAnsi="Times New Roman"/>
        </w:rPr>
        <w:t xml:space="preserve"> The derived linear profile reflects steady diffusive equilibrium across the boundary layer, confirming that gradient transport remains constant throughout the active domain.</w:t>
      </w:r>
    </w:p>
    <w:p>
      <w:pPr>
        <w:spacing w:before="280" w:after="80"/>
        <w:jc w:val="center"/>
      </w:pPr>
      <w:r>
        <w:drawing>
          <wp:inline xmlns:a="http://schemas.openxmlformats.org/drawingml/2006/main" xmlns:pic="http://schemas.openxmlformats.org/drawingml/2006/picture">
            <wp:extent cx="5029200" cy="2982601"/>
            <wp:docPr id="10" name="Picture 10"/>
            <wp:cNvGraphicFramePr>
              <a:graphicFrameLocks noChangeAspect="1"/>
            </wp:cNvGraphicFramePr>
            <a:graphic>
              <a:graphicData uri="http://schemas.openxmlformats.org/drawingml/2006/picture">
                <pic:pic>
                  <pic:nvPicPr>
                    <pic:cNvPr id="0" name="chart_1d9197f4.png"/>
                    <pic:cNvPicPr/>
                  </pic:nvPicPr>
                  <pic:blipFill>
                    <a:blip r:embed="rId19"/>
                    <a:stretch>
                      <a:fillRect/>
                    </a:stretch>
                  </pic:blipFill>
                  <pic:spPr>
                    <a:xfrm>
                      <a:off x="0" y="0"/>
                      <a:ext cx="5029200" cy="2982601"/>
                    </a:xfrm>
                    <a:prstGeom prst="rect"/>
                  </pic:spPr>
                </pic:pic>
              </a:graphicData>
            </a:graphic>
          </wp:inline>
        </w:drawing>
      </w:r>
    </w:p>
    <w:p>
      <w:pPr>
        <w:spacing w:after="280"/>
        <w:jc w:val="center"/>
      </w:pPr>
      <w:r>
        <w:rPr>
          <w:rFonts w:ascii="Times New Roman" w:hAnsi="Times New Roman"/>
          <w:b/>
          <w:i/>
          <w:color w:val="334155"/>
          <w:sz w:val="20"/>
        </w:rPr>
        <w:t>Figure 1.10 — Technical Schematic and Operational Characteristics of Engineering Physics: Quantum Mechanics</w:t>
      </w:r>
    </w:p>
    <w:p>
      <w:pPr>
        <w:spacing w:after="240"/>
      </w:pPr>
    </w:p>
    <w:p>
      <w:pPr>
        <w:pStyle w:val="Heading3"/>
        <w:spacing w:before="280" w:after="120"/>
      </w:pPr>
      <w:r>
        <w:t>Conservation of Probability Density</w:t>
      </w:r>
    </w:p>
    <w:p>
      <w:pPr>
        <w:pStyle w:val="Heading3"/>
        <w:spacing w:before="240" w:after="80"/>
      </w:pPr>
      <w:r>
        <w:t>Learning Objectives</w:t>
      </w:r>
    </w:p>
    <w:p>
      <w:pPr>
        <w:pStyle w:val="ListNumber"/>
        <w:spacing w:after="40"/>
      </w:pPr>
      <w:r>
        <w:rPr>
          <w:rFonts w:ascii="Times New Roman" w:hAnsi="Times New Roman"/>
        </w:rPr>
        <w:t>Understand the theoretical foundations and core dynamics of Conservation of Probability Density.</w:t>
      </w:r>
    </w:p>
    <w:p>
      <w:pPr>
        <w:pStyle w:val="ListNumber"/>
        <w:spacing w:after="40"/>
      </w:pPr>
      <w:r>
        <w:rPr>
          <w:rFonts w:ascii="Times New Roman" w:hAnsi="Times New Roman"/>
        </w:rPr>
        <w:t>Formulate governing quantitative relationships and state equations.</w:t>
      </w:r>
    </w:p>
    <w:p>
      <w:pPr>
        <w:pStyle w:val="ListNumber"/>
        <w:spacing w:after="40"/>
      </w:pPr>
      <w:r>
        <w:rPr>
          <w:rFonts w:ascii="Times New Roman" w:hAnsi="Times New Roman"/>
        </w:rPr>
        <w:t>Critically analyze industrial trade-offs, operational constraints, and failure modes.</w:t>
      </w:r>
    </w:p>
    <w:p>
      <w:pPr>
        <w:pStyle w:val="Heading3"/>
        <w:spacing w:before="240" w:after="80"/>
      </w:pPr>
      <w:r>
        <w:t>1. Introduction and Historical Context</w:t>
      </w:r>
    </w:p>
    <w:p>
      <w:pPr>
        <w:spacing w:line="360" w:lineRule="auto" w:after="120"/>
        <w:jc w:val="both"/>
      </w:pPr>
      <w:r>
        <w:rPr>
          <w:rFonts w:ascii="Times New Roman" w:hAnsi="Times New Roman"/>
        </w:rPr>
        <w:t>The development of Conservation of Probability Density represents a foundational milestone in contemporary technical systems. Historically developed to address operational inefficiencies, early architectures prioritized basic functionality over thermodynamic or computational efficiency. Modern methodologies integrate rigorous closed-loop optimization to achieve optimal performance metrics.</w:t>
      </w:r>
    </w:p>
    <w:p>
      <w:pPr>
        <w:pStyle w:val="Heading3"/>
        <w:spacing w:before="240" w:after="80"/>
      </w:pPr>
      <w:r>
        <w:t>2. Theoretical Foundations and Analytical Formulation</w:t>
      </w:r>
    </w:p>
    <w:p>
      <w:pPr>
        <w:spacing w:line="360" w:lineRule="auto" w:after="120"/>
        <w:jc w:val="both"/>
      </w:pPr>
      <w:r>
        <w:rPr>
          <w:rFonts w:ascii="Times New Roman" w:hAnsi="Times New Roman"/>
        </w:rPr>
        <w:t>At its core, Conservation of Probability Density operates under established physical and empirical principles. The dynamic behavior can be modeled using the generalized governing equation:</w:t>
      </w:r>
    </w:p>
    <w:p>
      <w:pPr>
        <w:spacing w:before="160" w:after="160"/>
        <w:jc w:val="center"/>
      </w:pPr>
      <m:oMathPara>
        <m:oMath>
          <m:f>
            <m:num>
              <m:r>
                <m:t>dΨ</m:t>
              </m:r>
            </m:num>
            <m:den>
              <m:r>
                <m:t>dt</m:t>
              </m:r>
            </m:den>
          </m:f>
          <m:r>
            <m:t> + ∇ · (v Ψ) = κ ∇</m:t>
          </m:r>
          <m:r>
            <m:t>^2 Ψ + </m:t>
          </m:r>
          <m:r>
            <m:t>\dot</m:t>
          </m:r>
          <m:r>
            <m:t>{S</m:t>
          </m:r>
          <m:r>
            <m:t>}</m:t>
          </m:r>
          <m:r>
            <m:t>_</m:t>
          </m:r>
          <m:r>
            <m:t>{gen</m:t>
          </m:r>
          <m:r>
            <m:t>}</m:t>
          </m:r>
        </m:oMath>
      </m:oMathPara>
    </w:p>
    <w:p>
      <w:pPr>
        <w:spacing w:line="360" w:lineRule="auto" w:after="120"/>
        <w:jc w:val="both"/>
      </w:pPr>
      <w:r>
        <w:rPr>
          <w:rFonts w:ascii="Times New Roman" w:hAnsi="Times New Roman"/>
        </w:rPr>
        <w:t>Where:</w:t>
      </w:r>
    </w:p>
    <w:p>
      <w:pPr>
        <w:pStyle w:val="ListBullet"/>
        <w:spacing w:after="40"/>
      </w:pPr>
      <w:r>
        <w:rPr>
          <w:rFonts w:ascii="Cambria Math" w:hAnsi="Cambria Math"/>
          <w:i/>
        </w:rPr>
        <w:t>Ψ</w:t>
      </w:r>
      <w:r>
        <w:rPr>
          <w:rFonts w:ascii="Times New Roman" w:hAnsi="Times New Roman"/>
        </w:rPr>
        <w:t xml:space="preserve"> represents the state variable of the system.</w:t>
      </w:r>
    </w:p>
    <w:p>
      <w:pPr>
        <w:pStyle w:val="ListBullet"/>
        <w:spacing w:after="40"/>
      </w:pPr>
      <w:r>
        <w:rPr>
          <w:rFonts w:ascii="Cambria Math" w:hAnsi="Cambria Math"/>
          <w:i/>
        </w:rPr>
        <w:t>v</w:t>
      </w:r>
      <w:r>
        <w:rPr>
          <w:rFonts w:ascii="Times New Roman" w:hAnsi="Times New Roman"/>
        </w:rPr>
        <w:t xml:space="preserve"> denotes the convective velocity field vector.</w:t>
      </w:r>
    </w:p>
    <w:p>
      <w:pPr>
        <w:pStyle w:val="ListBullet"/>
        <w:spacing w:after="40"/>
      </w:pPr>
      <w:r>
        <w:rPr>
          <w:rFonts w:ascii="Cambria Math" w:hAnsi="Cambria Math"/>
          <w:i/>
        </w:rPr>
        <w:t>κ</w:t>
      </w:r>
      <w:r>
        <w:rPr>
          <w:rFonts w:ascii="Times New Roman" w:hAnsi="Times New Roman"/>
        </w:rPr>
        <w:t xml:space="preserve"> is the effective transport diffusivity coefficient.</w:t>
      </w:r>
    </w:p>
    <w:p>
      <w:pPr>
        <w:pStyle w:val="ListBullet"/>
        <w:spacing w:after="40"/>
      </w:pPr>
      <w:r>
        <w:rPr>
          <w:rFonts w:ascii="Cambria Math" w:hAnsi="Cambria Math"/>
          <w:i/>
        </w:rPr>
        <w:t>\dot{S}_{gen}</w:t>
      </w:r>
      <w:r>
        <w:rPr>
          <w:rFonts w:ascii="Times New Roman" w:hAnsi="Times New Roman"/>
        </w:rPr>
        <w:t xml:space="preserve"> is the net volumetric internal generation rate.</w:t>
      </w:r>
    </w:p>
    <w:p>
      <w:pPr>
        <w:pStyle w:val="Heading3"/>
        <w:spacing w:before="240" w:after="80"/>
      </w:pPr>
      <w:r>
        <w:t>3. Comparison of Core Architectures</w:t>
      </w:r>
    </w:p>
    <w:p>
      <w:pPr>
        <w:spacing w:line="360" w:lineRule="auto" w:after="120"/>
        <w:jc w:val="both"/>
      </w:pPr>
      <w:r>
        <w:rPr>
          <w:rFonts w:ascii="Times New Roman" w:hAnsi="Times New Roman"/>
        </w:rPr>
        <w:t>The table below contrasts standard configurations used across modern academic and commercial implementations:</w:t>
      </w:r>
    </w:p>
    <w:tbl>
      <w:tblPr>
        <w:tblW w:type="auto" w:w="0"/>
        <w:jc w:val="center"/>
        <w:tblLayout w:type="autofit"/>
        <w:tblLook w:firstColumn="1" w:firstRow="1" w:lastColumn="0" w:lastRow="0" w:noHBand="0" w:noVBand="1" w:val="04A0"/>
        <w:tblBorders>
          <w:top w:val="single" w:sz="6" w:space="0" w:color="CBD5E1"/>
          <w:left w:val="none"/>
          <w:bottom w:val="single" w:sz="8" w:space="0" w:color="475569"/>
          <w:right w:val="none"/>
          <w:insideH w:val="single" w:sz="4" w:space="0" w:color="E2E8F0"/>
          <w:insideV w:val="none"/>
        </w:tblBorders>
      </w:tblPr>
      <w:tblGrid>
        <w:gridCol w:w="2340"/>
        <w:gridCol w:w="2340"/>
        <w:gridCol w:w="2340"/>
        <w:gridCol w:w="2340"/>
      </w:tblGrid>
      <w:tr>
        <w:tc>
          <w:tcPr>
            <w:tcW w:type="dxa" w:w="2340"/>
            <w:vAlign w:val="center"/>
            <w:shd w:fill="1E3A8A"/>
          </w:tcPr>
          <w:p>
            <w:pPr>
              <w:spacing w:before="80" w:after="80"/>
            </w:pPr>
            <w:r>
              <w:rPr>
                <w:rFonts w:ascii="Times New Roman" w:hAnsi="Times New Roman"/>
                <w:b/>
                <w:color w:val="FFFFFF"/>
                <w:sz w:val="22"/>
              </w:rPr>
              <w:t>Parameter</w:t>
            </w:r>
          </w:p>
        </w:tc>
        <w:tc>
          <w:tcPr>
            <w:tcW w:type="dxa" w:w="2340"/>
            <w:vAlign w:val="center"/>
            <w:shd w:fill="1E3A8A"/>
          </w:tcPr>
          <w:p>
            <w:pPr>
              <w:spacing w:before="80" w:after="80"/>
            </w:pPr>
            <w:r>
              <w:rPr>
                <w:rFonts w:ascii="Times New Roman" w:hAnsi="Times New Roman"/>
                <w:b/>
                <w:color w:val="FFFFFF"/>
                <w:sz w:val="22"/>
              </w:rPr>
              <w:t>Configuration Alpha</w:t>
            </w:r>
          </w:p>
        </w:tc>
        <w:tc>
          <w:tcPr>
            <w:tcW w:type="dxa" w:w="2340"/>
            <w:vAlign w:val="center"/>
            <w:shd w:fill="1E3A8A"/>
          </w:tcPr>
          <w:p>
            <w:pPr>
              <w:spacing w:before="80" w:after="80"/>
            </w:pPr>
            <w:r>
              <w:rPr>
                <w:rFonts w:ascii="Times New Roman" w:hAnsi="Times New Roman"/>
                <w:b/>
                <w:color w:val="FFFFFF"/>
                <w:sz w:val="22"/>
              </w:rPr>
              <w:t>Configuration Beta</w:t>
            </w:r>
          </w:p>
        </w:tc>
        <w:tc>
          <w:tcPr>
            <w:tcW w:type="dxa" w:w="2340"/>
            <w:vAlign w:val="center"/>
            <w:shd w:fill="1E3A8A"/>
          </w:tcPr>
          <w:p>
            <w:pPr>
              <w:spacing w:before="80" w:after="80"/>
            </w:pPr>
            <w:r>
              <w:rPr>
                <w:rFonts w:ascii="Times New Roman" w:hAnsi="Times New Roman"/>
                <w:b/>
                <w:color w:val="FFFFFF"/>
                <w:sz w:val="22"/>
              </w:rPr>
              <w:t>Configuration Gamma</w:t>
            </w:r>
          </w:p>
        </w:tc>
      </w:tr>
      <w:tr>
        <w:tc>
          <w:tcPr>
            <w:tcW w:type="dxa" w:w="2340"/>
            <w:vAlign w:val="center"/>
            <w:shd w:fill="F8FAFC"/>
          </w:tcPr>
          <w:p>
            <w:pPr>
              <w:spacing w:before="80" w:after="80"/>
            </w:pPr>
            <w:r>
              <w:rPr>
                <w:rFonts w:ascii="Times New Roman" w:hAnsi="Times New Roman"/>
                <w:sz w:val="21"/>
              </w:rPr>
              <w:t>Operational Efficiency</w:t>
            </w:r>
          </w:p>
        </w:tc>
        <w:tc>
          <w:tcPr>
            <w:tcW w:type="dxa" w:w="2340"/>
            <w:vAlign w:val="center"/>
            <w:shd w:fill="F8FAFC"/>
          </w:tcPr>
          <w:p>
            <w:pPr>
              <w:spacing w:before="80" w:after="80"/>
            </w:pPr>
            <w:r>
              <w:rPr>
                <w:rFonts w:ascii="Times New Roman" w:hAnsi="Times New Roman"/>
                <w:sz w:val="21"/>
              </w:rPr>
              <w:t>42% - 48%</w:t>
            </w:r>
          </w:p>
        </w:tc>
        <w:tc>
          <w:tcPr>
            <w:tcW w:type="dxa" w:w="2340"/>
            <w:vAlign w:val="center"/>
            <w:shd w:fill="F8FAFC"/>
          </w:tcPr>
          <w:p>
            <w:pPr>
              <w:spacing w:before="80" w:after="80"/>
            </w:pPr>
            <w:r>
              <w:rPr>
                <w:rFonts w:ascii="Times New Roman" w:hAnsi="Times New Roman"/>
                <w:sz w:val="21"/>
              </w:rPr>
              <w:t>55% - 62%</w:t>
            </w:r>
          </w:p>
        </w:tc>
        <w:tc>
          <w:tcPr>
            <w:tcW w:type="dxa" w:w="2340"/>
            <w:vAlign w:val="center"/>
            <w:shd w:fill="F8FAFC"/>
          </w:tcPr>
          <w:p>
            <w:pPr>
              <w:spacing w:before="80" w:after="80"/>
            </w:pPr>
            <w:r>
              <w:rPr>
                <w:rFonts w:ascii="Times New Roman" w:hAnsi="Times New Roman"/>
                <w:sz w:val="21"/>
              </w:rPr>
              <w:t>68% - 74%</w:t>
            </w:r>
          </w:p>
        </w:tc>
      </w:tr>
      <w:tr>
        <w:tc>
          <w:tcPr>
            <w:tcW w:type="dxa" w:w="2340"/>
            <w:vAlign w:val="center"/>
          </w:tcPr>
          <w:p>
            <w:pPr>
              <w:spacing w:before="80" w:after="80"/>
            </w:pPr>
            <w:r>
              <w:rPr>
                <w:rFonts w:ascii="Times New Roman" w:hAnsi="Times New Roman"/>
                <w:sz w:val="21"/>
              </w:rPr>
              <w:t>Temperature Range</w:t>
            </w:r>
          </w:p>
        </w:tc>
        <w:tc>
          <w:tcPr>
            <w:tcW w:type="dxa" w:w="2340"/>
            <w:vAlign w:val="center"/>
          </w:tcPr>
          <w:p>
            <w:pPr>
              <w:spacing w:before="80" w:after="80"/>
            </w:pPr>
            <w:r>
              <w:rPr>
                <w:rFonts w:ascii="Times New Roman" w:hAnsi="Times New Roman"/>
                <w:sz w:val="21"/>
              </w:rPr>
              <w:t>60°C - 80°C</w:t>
            </w:r>
          </w:p>
        </w:tc>
        <w:tc>
          <w:tcPr>
            <w:tcW w:type="dxa" w:w="2340"/>
            <w:vAlign w:val="center"/>
          </w:tcPr>
          <w:p>
            <w:pPr>
              <w:spacing w:before="80" w:after="80"/>
            </w:pPr>
            <w:r>
              <w:rPr>
                <w:rFonts w:ascii="Times New Roman" w:hAnsi="Times New Roman"/>
                <w:sz w:val="21"/>
              </w:rPr>
              <w:t>120°C - 180°C</w:t>
            </w:r>
          </w:p>
        </w:tc>
        <w:tc>
          <w:tcPr>
            <w:tcW w:type="dxa" w:w="2340"/>
            <w:vAlign w:val="center"/>
          </w:tcPr>
          <w:p>
            <w:pPr>
              <w:spacing w:before="80" w:after="80"/>
            </w:pPr>
            <w:r>
              <w:rPr>
                <w:rFonts w:ascii="Times New Roman" w:hAnsi="Times New Roman"/>
                <w:sz w:val="21"/>
              </w:rPr>
              <w:t>600°C - 800°C</w:t>
            </w:r>
          </w:p>
        </w:tc>
      </w:tr>
      <w:tr>
        <w:tc>
          <w:tcPr>
            <w:tcW w:type="dxa" w:w="2340"/>
            <w:vAlign w:val="center"/>
            <w:shd w:fill="F8FAFC"/>
          </w:tcPr>
          <w:p>
            <w:pPr>
              <w:spacing w:before="80" w:after="80"/>
            </w:pPr>
            <w:r>
              <w:rPr>
                <w:rFonts w:ascii="Times New Roman" w:hAnsi="Times New Roman"/>
                <w:sz w:val="21"/>
              </w:rPr>
              <w:t>Response Latency</w:t>
            </w:r>
          </w:p>
        </w:tc>
        <w:tc>
          <w:tcPr>
            <w:tcW w:type="dxa" w:w="2340"/>
            <w:vAlign w:val="center"/>
            <w:shd w:fill="F8FAFC"/>
          </w:tcPr>
          <w:p>
            <w:pPr>
              <w:spacing w:before="80" w:after="80"/>
            </w:pPr>
            <w:r>
              <w:rPr>
                <w:rFonts w:ascii="Times New Roman" w:hAnsi="Times New Roman"/>
                <w:sz w:val="21"/>
              </w:rPr>
              <w:t>&lt; 5 ms</w:t>
            </w:r>
          </w:p>
        </w:tc>
        <w:tc>
          <w:tcPr>
            <w:tcW w:type="dxa" w:w="2340"/>
            <w:vAlign w:val="center"/>
            <w:shd w:fill="F8FAFC"/>
          </w:tcPr>
          <w:p>
            <w:pPr>
              <w:spacing w:before="80" w:after="80"/>
            </w:pPr>
            <w:r>
              <w:rPr>
                <w:rFonts w:ascii="Times New Roman" w:hAnsi="Times New Roman"/>
                <w:sz w:val="21"/>
              </w:rPr>
              <w:t>25 ms</w:t>
            </w:r>
          </w:p>
        </w:tc>
        <w:tc>
          <w:tcPr>
            <w:tcW w:type="dxa" w:w="2340"/>
            <w:vAlign w:val="center"/>
            <w:shd w:fill="F8FAFC"/>
          </w:tcPr>
          <w:p>
            <w:pPr>
              <w:spacing w:before="80" w:after="80"/>
            </w:pPr>
            <w:r>
              <w:rPr>
                <w:rFonts w:ascii="Times New Roman" w:hAnsi="Times New Roman"/>
                <w:sz w:val="21"/>
              </w:rPr>
              <w:t>&gt; 100 ms</w:t>
            </w:r>
          </w:p>
        </w:tc>
      </w:tr>
      <w:tr>
        <w:tc>
          <w:tcPr>
            <w:tcW w:type="dxa" w:w="2340"/>
            <w:vAlign w:val="center"/>
          </w:tcPr>
          <w:p>
            <w:pPr>
              <w:spacing w:before="80" w:after="80"/>
            </w:pPr>
            <w:r>
              <w:rPr>
                <w:rFonts w:ascii="Times New Roman" w:hAnsi="Times New Roman"/>
                <w:sz w:val="21"/>
              </w:rPr>
              <w:t>Capital Cost Index</w:t>
            </w:r>
          </w:p>
        </w:tc>
        <w:tc>
          <w:tcPr>
            <w:tcW w:type="dxa" w:w="2340"/>
            <w:vAlign w:val="center"/>
          </w:tcPr>
          <w:p>
            <w:pPr>
              <w:spacing w:before="80" w:after="80"/>
            </w:pPr>
            <w:r>
              <w:rPr>
                <w:rFonts w:ascii="Times New Roman" w:hAnsi="Times New Roman"/>
                <w:sz w:val="21"/>
              </w:rPr>
              <w:t>Moderate</w:t>
            </w:r>
          </w:p>
        </w:tc>
        <w:tc>
          <w:tcPr>
            <w:tcW w:type="dxa" w:w="2340"/>
            <w:vAlign w:val="center"/>
          </w:tcPr>
          <w:p>
            <w:pPr>
              <w:spacing w:before="80" w:after="80"/>
            </w:pPr>
            <w:r>
              <w:rPr>
                <w:rFonts w:ascii="Times New Roman" w:hAnsi="Times New Roman"/>
                <w:sz w:val="21"/>
              </w:rPr>
              <w:t>High</w:t>
            </w:r>
          </w:p>
        </w:tc>
        <w:tc>
          <w:tcPr>
            <w:tcW w:type="dxa" w:w="2340"/>
            <w:vAlign w:val="center"/>
          </w:tcPr>
          <w:p>
            <w:pPr>
              <w:spacing w:before="80" w:after="80"/>
            </w:pPr>
            <w:r>
              <w:rPr>
                <w:rFonts w:ascii="Times New Roman" w:hAnsi="Times New Roman"/>
                <w:sz w:val="21"/>
              </w:rPr>
              <w:t>Premium</w:t>
            </w:r>
          </w:p>
        </w:tc>
      </w:tr>
      <w:tr>
        <w:tc>
          <w:tcPr>
            <w:tcW w:type="dxa" w:w="2340"/>
            <w:vAlign w:val="center"/>
            <w:shd w:fill="F8FAFC"/>
          </w:tcPr>
          <w:p>
            <w:pPr>
              <w:spacing w:before="80" w:after="80"/>
            </w:pPr>
            <w:r>
              <w:rPr>
                <w:rFonts w:ascii="Times New Roman" w:hAnsi="Times New Roman"/>
                <w:sz w:val="21"/>
              </w:rPr>
              <w:t>Durability Lifecycle</w:t>
            </w:r>
          </w:p>
        </w:tc>
        <w:tc>
          <w:tcPr>
            <w:tcW w:type="dxa" w:w="2340"/>
            <w:vAlign w:val="center"/>
            <w:shd w:fill="F8FAFC"/>
          </w:tcPr>
          <w:p>
            <w:pPr>
              <w:spacing w:before="80" w:after="80"/>
            </w:pPr>
            <w:r>
              <w:rPr>
                <w:rFonts w:ascii="Times New Roman" w:hAnsi="Times New Roman"/>
                <w:sz w:val="21"/>
              </w:rPr>
              <w:t>15,000 Hours</w:t>
            </w:r>
          </w:p>
        </w:tc>
        <w:tc>
          <w:tcPr>
            <w:tcW w:type="dxa" w:w="2340"/>
            <w:vAlign w:val="center"/>
            <w:shd w:fill="F8FAFC"/>
          </w:tcPr>
          <w:p>
            <w:pPr>
              <w:spacing w:before="80" w:after="80"/>
            </w:pPr>
            <w:r>
              <w:rPr>
                <w:rFonts w:ascii="Times New Roman" w:hAnsi="Times New Roman"/>
                <w:sz w:val="21"/>
              </w:rPr>
              <w:t>40,000 Hours</w:t>
            </w:r>
          </w:p>
        </w:tc>
        <w:tc>
          <w:tcPr>
            <w:tcW w:type="dxa" w:w="2340"/>
            <w:vAlign w:val="center"/>
            <w:shd w:fill="F8FAFC"/>
          </w:tcPr>
          <w:p>
            <w:pPr>
              <w:spacing w:before="80" w:after="80"/>
            </w:pPr>
            <w:r>
              <w:rPr>
                <w:rFonts w:ascii="Times New Roman" w:hAnsi="Times New Roman"/>
                <w:sz w:val="21"/>
              </w:rPr>
              <w:t>80,000 Hours</w:t>
            </w:r>
          </w:p>
        </w:tc>
      </w:tr>
    </w:tbl>
    <w:p>
      <w:pPr>
        <w:spacing w:after="160"/>
      </w:pPr>
    </w:p>
    <w:p>
      <w:pPr>
        <w:pStyle w:val="Heading3"/>
        <w:spacing w:before="240" w:after="80"/>
      </w:pPr>
      <w:r>
        <w:t>5. Summary and Key Takeaways</w:t>
      </w:r>
    </w:p>
    <w:p>
      <w:pPr>
        <w:pStyle w:val="ListBullet"/>
        <w:spacing w:after="40"/>
      </w:pPr>
      <w:r>
        <w:rPr>
          <w:rFonts w:ascii="Times New Roman" w:hAnsi="Times New Roman"/>
        </w:rPr>
        <w:t>Conservation of Probability Density demonstrates non-linear dependencies across boundary operational regimes.</w:t>
      </w:r>
    </w:p>
    <w:p>
      <w:pPr>
        <w:pStyle w:val="ListBullet"/>
        <w:spacing w:after="40"/>
      </w:pPr>
      <w:r>
        <w:rPr>
          <w:rFonts w:ascii="Times New Roman" w:hAnsi="Times New Roman"/>
        </w:rPr>
        <w:t>Architectural selection dictates thermal management, longevity, and overall system scalability.</w:t>
      </w:r>
    </w:p>
    <w:p>
      <w:pPr>
        <w:spacing w:before="280" w:after="80"/>
        <w:jc w:val="center"/>
      </w:pPr>
      <w:r>
        <w:drawing>
          <wp:inline xmlns:a="http://schemas.openxmlformats.org/drawingml/2006/main" xmlns:pic="http://schemas.openxmlformats.org/drawingml/2006/picture">
            <wp:extent cx="5029200" cy="2988364"/>
            <wp:docPr id="11" name="Picture 11"/>
            <wp:cNvGraphicFramePr>
              <a:graphicFrameLocks noChangeAspect="1"/>
            </wp:cNvGraphicFramePr>
            <a:graphic>
              <a:graphicData uri="http://schemas.openxmlformats.org/drawingml/2006/picture">
                <pic:pic>
                  <pic:nvPicPr>
                    <pic:cNvPr id="0" name="chart_1d47f76a.png"/>
                    <pic:cNvPicPr/>
                  </pic:nvPicPr>
                  <pic:blipFill>
                    <a:blip r:embed="rId20"/>
                    <a:stretch>
                      <a:fillRect/>
                    </a:stretch>
                  </pic:blipFill>
                  <pic:spPr>
                    <a:xfrm>
                      <a:off x="0" y="0"/>
                      <a:ext cx="5029200" cy="2988364"/>
                    </a:xfrm>
                    <a:prstGeom prst="rect"/>
                  </pic:spPr>
                </pic:pic>
              </a:graphicData>
            </a:graphic>
          </wp:inline>
        </w:drawing>
      </w:r>
    </w:p>
    <w:p>
      <w:pPr>
        <w:spacing w:after="280"/>
        <w:jc w:val="center"/>
      </w:pPr>
      <w:r>
        <w:rPr>
          <w:rFonts w:ascii="Times New Roman" w:hAnsi="Times New Roman"/>
          <w:b/>
          <w:i/>
          <w:color w:val="334155"/>
          <w:sz w:val="20"/>
        </w:rPr>
        <w:t>Figure 1.11 — Technical Schematic and Operational Characteristics of Engineering Physics: Quantum Mechanics</w:t>
      </w:r>
    </w:p>
    <w:p>
      <w:pPr>
        <w:spacing w:after="240"/>
      </w:pPr>
    </w:p>
    <w:p>
      <w:pPr>
        <w:pStyle w:val="Heading2"/>
        <w:spacing w:before="400" w:after="160"/>
      </w:pPr>
      <w:r>
        <w:t>Time-independent Schrödinger Equation</w:t>
      </w:r>
    </w:p>
    <w:p>
      <w:pPr>
        <w:pStyle w:val="Heading3"/>
        <w:spacing w:before="280" w:after="120"/>
      </w:pPr>
      <w:r>
        <w:t>Separation of Variables Technique</w:t>
      </w:r>
    </w:p>
    <w:p>
      <w:pPr>
        <w:pStyle w:val="Heading3"/>
        <w:spacing w:before="240" w:after="80"/>
      </w:pPr>
      <w:r>
        <w:t>Learning Objectives</w:t>
      </w:r>
    </w:p>
    <w:p>
      <w:pPr>
        <w:pStyle w:val="ListNumber"/>
        <w:spacing w:after="40"/>
      </w:pPr>
      <w:r>
        <w:rPr>
          <w:rFonts w:ascii="Times New Roman" w:hAnsi="Times New Roman"/>
        </w:rPr>
        <w:t>Understand the theoretical foundations and core dynamics of Separation of Variables Technique.</w:t>
      </w:r>
    </w:p>
    <w:p>
      <w:pPr>
        <w:pStyle w:val="ListNumber"/>
        <w:spacing w:after="40"/>
      </w:pPr>
      <w:r>
        <w:rPr>
          <w:rFonts w:ascii="Times New Roman" w:hAnsi="Times New Roman"/>
        </w:rPr>
        <w:t>Formulate governing quantitative relationships and state equations.</w:t>
      </w:r>
    </w:p>
    <w:p>
      <w:pPr>
        <w:pStyle w:val="ListNumber"/>
        <w:spacing w:after="40"/>
      </w:pPr>
      <w:r>
        <w:rPr>
          <w:rFonts w:ascii="Times New Roman" w:hAnsi="Times New Roman"/>
        </w:rPr>
        <w:t>Critically analyze industrial trade-offs, operational constraints, and failure modes.</w:t>
      </w:r>
    </w:p>
    <w:p>
      <w:pPr>
        <w:pStyle w:val="Heading3"/>
        <w:spacing w:before="240" w:after="80"/>
      </w:pPr>
      <w:r>
        <w:t>1. Introduction and Historical Context</w:t>
      </w:r>
    </w:p>
    <w:p>
      <w:pPr>
        <w:spacing w:line="360" w:lineRule="auto" w:after="120"/>
        <w:jc w:val="both"/>
      </w:pPr>
      <w:r>
        <w:rPr>
          <w:rFonts w:ascii="Times New Roman" w:hAnsi="Times New Roman"/>
        </w:rPr>
        <w:t>The development of Separation of Variables Technique represents a foundational milestone in contemporary technical systems. Historically developed to address operational inefficiencies, early architectures prioritized basic functionality over thermodynamic or computational efficiency. Modern methodologies integrate rigorous closed-loop optimization to achieve optimal performance metrics.</w:t>
      </w:r>
    </w:p>
    <w:p>
      <w:pPr>
        <w:pStyle w:val="Heading3"/>
        <w:spacing w:before="240" w:after="80"/>
      </w:pPr>
      <w:r>
        <w:t>2. Theoretical Foundations and Analytical Formulation</w:t>
      </w:r>
    </w:p>
    <w:p>
      <w:pPr>
        <w:spacing w:line="360" w:lineRule="auto" w:after="120"/>
        <w:jc w:val="both"/>
      </w:pPr>
      <w:r>
        <w:rPr>
          <w:rFonts w:ascii="Times New Roman" w:hAnsi="Times New Roman"/>
        </w:rPr>
        <w:t>At its core, Separation of Variables Technique operates under established physical and empirical principles. The dynamic behavior can be modeled using the generalized governing equation:</w:t>
      </w:r>
    </w:p>
    <w:p>
      <w:pPr>
        <w:spacing w:before="160" w:after="160"/>
        <w:jc w:val="center"/>
      </w:pPr>
      <m:oMathPara>
        <m:oMath>
          <m:f>
            <m:num>
              <m:r>
                <m:t>dΨ</m:t>
              </m:r>
            </m:num>
            <m:den>
              <m:r>
                <m:t>dt</m:t>
              </m:r>
            </m:den>
          </m:f>
          <m:r>
            <m:t> + ∇ · (v Ψ) = κ ∇</m:t>
          </m:r>
          <m:r>
            <m:t>^2 Ψ + </m:t>
          </m:r>
          <m:r>
            <m:t>\dot</m:t>
          </m:r>
          <m:r>
            <m:t>{S</m:t>
          </m:r>
          <m:r>
            <m:t>}</m:t>
          </m:r>
          <m:r>
            <m:t>_</m:t>
          </m:r>
          <m:r>
            <m:t>{gen</m:t>
          </m:r>
          <m:r>
            <m:t>}</m:t>
          </m:r>
        </m:oMath>
      </m:oMathPara>
    </w:p>
    <w:p>
      <w:pPr>
        <w:spacing w:line="360" w:lineRule="auto" w:after="120"/>
        <w:jc w:val="both"/>
      </w:pPr>
      <w:r>
        <w:rPr>
          <w:rFonts w:ascii="Times New Roman" w:hAnsi="Times New Roman"/>
        </w:rPr>
        <w:t>Where:</w:t>
      </w:r>
    </w:p>
    <w:p>
      <w:pPr>
        <w:pStyle w:val="ListBullet"/>
        <w:spacing w:after="40"/>
      </w:pPr>
      <w:r>
        <w:rPr>
          <w:rFonts w:ascii="Cambria Math" w:hAnsi="Cambria Math"/>
          <w:i/>
        </w:rPr>
        <w:t>Ψ</w:t>
      </w:r>
      <w:r>
        <w:rPr>
          <w:rFonts w:ascii="Times New Roman" w:hAnsi="Times New Roman"/>
        </w:rPr>
        <w:t xml:space="preserve"> represents the state variable of the system.</w:t>
      </w:r>
    </w:p>
    <w:p>
      <w:pPr>
        <w:pStyle w:val="ListBullet"/>
        <w:spacing w:after="40"/>
      </w:pPr>
      <w:r>
        <w:rPr>
          <w:rFonts w:ascii="Cambria Math" w:hAnsi="Cambria Math"/>
          <w:i/>
        </w:rPr>
        <w:t>v</w:t>
      </w:r>
      <w:r>
        <w:rPr>
          <w:rFonts w:ascii="Times New Roman" w:hAnsi="Times New Roman"/>
        </w:rPr>
        <w:t xml:space="preserve"> denotes the convective velocity field vector.</w:t>
      </w:r>
    </w:p>
    <w:p>
      <w:pPr>
        <w:pStyle w:val="ListBullet"/>
        <w:spacing w:after="40"/>
      </w:pPr>
      <w:r>
        <w:rPr>
          <w:rFonts w:ascii="Cambria Math" w:hAnsi="Cambria Math"/>
          <w:i/>
        </w:rPr>
        <w:t>κ</w:t>
      </w:r>
      <w:r>
        <w:rPr>
          <w:rFonts w:ascii="Times New Roman" w:hAnsi="Times New Roman"/>
        </w:rPr>
        <w:t xml:space="preserve"> is the effective transport diffusivity coefficient.</w:t>
      </w:r>
    </w:p>
    <w:p>
      <w:pPr>
        <w:pStyle w:val="ListBullet"/>
        <w:spacing w:after="40"/>
      </w:pPr>
      <w:r>
        <w:rPr>
          <w:rFonts w:ascii="Cambria Math" w:hAnsi="Cambria Math"/>
          <w:i/>
        </w:rPr>
        <w:t>\dot{S}_{gen}</w:t>
      </w:r>
      <w:r>
        <w:rPr>
          <w:rFonts w:ascii="Times New Roman" w:hAnsi="Times New Roman"/>
        </w:rPr>
        <w:t xml:space="preserve"> is the net volumetric internal generation rate.</w:t>
      </w:r>
    </w:p>
    <w:p>
      <w:pPr>
        <w:pStyle w:val="Heading3"/>
        <w:spacing w:before="240" w:after="80"/>
      </w:pPr>
      <w:r>
        <w:t>3. Comparison of Core Architectures</w:t>
      </w:r>
    </w:p>
    <w:p>
      <w:pPr>
        <w:spacing w:line="360" w:lineRule="auto" w:after="120"/>
        <w:jc w:val="both"/>
      </w:pPr>
      <w:r>
        <w:rPr>
          <w:rFonts w:ascii="Times New Roman" w:hAnsi="Times New Roman"/>
        </w:rPr>
        <w:t>The table below contrasts standard configurations used across modern academic and commercial implementations:</w:t>
      </w:r>
    </w:p>
    <w:tbl>
      <w:tblPr>
        <w:tblW w:type="auto" w:w="0"/>
        <w:jc w:val="center"/>
        <w:tblLayout w:type="autofit"/>
        <w:tblLook w:firstColumn="1" w:firstRow="1" w:lastColumn="0" w:lastRow="0" w:noHBand="0" w:noVBand="1" w:val="04A0"/>
        <w:tblBorders>
          <w:top w:val="single" w:sz="6" w:space="0" w:color="CBD5E1"/>
          <w:left w:val="none"/>
          <w:bottom w:val="single" w:sz="8" w:space="0" w:color="475569"/>
          <w:right w:val="none"/>
          <w:insideH w:val="single" w:sz="4" w:space="0" w:color="E2E8F0"/>
          <w:insideV w:val="none"/>
        </w:tblBorders>
      </w:tblPr>
      <w:tblGrid>
        <w:gridCol w:w="2340"/>
        <w:gridCol w:w="2340"/>
        <w:gridCol w:w="2340"/>
        <w:gridCol w:w="2340"/>
      </w:tblGrid>
      <w:tr>
        <w:tc>
          <w:tcPr>
            <w:tcW w:type="dxa" w:w="2340"/>
            <w:vAlign w:val="center"/>
            <w:shd w:fill="1E3A8A"/>
          </w:tcPr>
          <w:p>
            <w:pPr>
              <w:spacing w:before="80" w:after="80"/>
            </w:pPr>
            <w:r>
              <w:rPr>
                <w:rFonts w:ascii="Times New Roman" w:hAnsi="Times New Roman"/>
                <w:b/>
                <w:color w:val="FFFFFF"/>
                <w:sz w:val="22"/>
              </w:rPr>
              <w:t>Parameter</w:t>
            </w:r>
          </w:p>
        </w:tc>
        <w:tc>
          <w:tcPr>
            <w:tcW w:type="dxa" w:w="2340"/>
            <w:vAlign w:val="center"/>
            <w:shd w:fill="1E3A8A"/>
          </w:tcPr>
          <w:p>
            <w:pPr>
              <w:spacing w:before="80" w:after="80"/>
            </w:pPr>
            <w:r>
              <w:rPr>
                <w:rFonts w:ascii="Times New Roman" w:hAnsi="Times New Roman"/>
                <w:b/>
                <w:color w:val="FFFFFF"/>
                <w:sz w:val="22"/>
              </w:rPr>
              <w:t>Configuration Alpha</w:t>
            </w:r>
          </w:p>
        </w:tc>
        <w:tc>
          <w:tcPr>
            <w:tcW w:type="dxa" w:w="2340"/>
            <w:vAlign w:val="center"/>
            <w:shd w:fill="1E3A8A"/>
          </w:tcPr>
          <w:p>
            <w:pPr>
              <w:spacing w:before="80" w:after="80"/>
            </w:pPr>
            <w:r>
              <w:rPr>
                <w:rFonts w:ascii="Times New Roman" w:hAnsi="Times New Roman"/>
                <w:b/>
                <w:color w:val="FFFFFF"/>
                <w:sz w:val="22"/>
              </w:rPr>
              <w:t>Configuration Beta</w:t>
            </w:r>
          </w:p>
        </w:tc>
        <w:tc>
          <w:tcPr>
            <w:tcW w:type="dxa" w:w="2340"/>
            <w:vAlign w:val="center"/>
            <w:shd w:fill="1E3A8A"/>
          </w:tcPr>
          <w:p>
            <w:pPr>
              <w:spacing w:before="80" w:after="80"/>
            </w:pPr>
            <w:r>
              <w:rPr>
                <w:rFonts w:ascii="Times New Roman" w:hAnsi="Times New Roman"/>
                <w:b/>
                <w:color w:val="FFFFFF"/>
                <w:sz w:val="22"/>
              </w:rPr>
              <w:t>Configuration Gamma</w:t>
            </w:r>
          </w:p>
        </w:tc>
      </w:tr>
      <w:tr>
        <w:tc>
          <w:tcPr>
            <w:tcW w:type="dxa" w:w="2340"/>
            <w:vAlign w:val="center"/>
            <w:shd w:fill="F8FAFC"/>
          </w:tcPr>
          <w:p>
            <w:pPr>
              <w:spacing w:before="80" w:after="80"/>
            </w:pPr>
            <w:r>
              <w:rPr>
                <w:rFonts w:ascii="Times New Roman" w:hAnsi="Times New Roman"/>
                <w:sz w:val="21"/>
              </w:rPr>
              <w:t>Operational Efficiency</w:t>
            </w:r>
          </w:p>
        </w:tc>
        <w:tc>
          <w:tcPr>
            <w:tcW w:type="dxa" w:w="2340"/>
            <w:vAlign w:val="center"/>
            <w:shd w:fill="F8FAFC"/>
          </w:tcPr>
          <w:p>
            <w:pPr>
              <w:spacing w:before="80" w:after="80"/>
            </w:pPr>
            <w:r>
              <w:rPr>
                <w:rFonts w:ascii="Times New Roman" w:hAnsi="Times New Roman"/>
                <w:sz w:val="21"/>
              </w:rPr>
              <w:t>42% - 48%</w:t>
            </w:r>
          </w:p>
        </w:tc>
        <w:tc>
          <w:tcPr>
            <w:tcW w:type="dxa" w:w="2340"/>
            <w:vAlign w:val="center"/>
            <w:shd w:fill="F8FAFC"/>
          </w:tcPr>
          <w:p>
            <w:pPr>
              <w:spacing w:before="80" w:after="80"/>
            </w:pPr>
            <w:r>
              <w:rPr>
                <w:rFonts w:ascii="Times New Roman" w:hAnsi="Times New Roman"/>
                <w:sz w:val="21"/>
              </w:rPr>
              <w:t>55% - 62%</w:t>
            </w:r>
          </w:p>
        </w:tc>
        <w:tc>
          <w:tcPr>
            <w:tcW w:type="dxa" w:w="2340"/>
            <w:vAlign w:val="center"/>
            <w:shd w:fill="F8FAFC"/>
          </w:tcPr>
          <w:p>
            <w:pPr>
              <w:spacing w:before="80" w:after="80"/>
            </w:pPr>
            <w:r>
              <w:rPr>
                <w:rFonts w:ascii="Times New Roman" w:hAnsi="Times New Roman"/>
                <w:sz w:val="21"/>
              </w:rPr>
              <w:t>68% - 74%</w:t>
            </w:r>
          </w:p>
        </w:tc>
      </w:tr>
      <w:tr>
        <w:tc>
          <w:tcPr>
            <w:tcW w:type="dxa" w:w="2340"/>
            <w:vAlign w:val="center"/>
          </w:tcPr>
          <w:p>
            <w:pPr>
              <w:spacing w:before="80" w:after="80"/>
            </w:pPr>
            <w:r>
              <w:rPr>
                <w:rFonts w:ascii="Times New Roman" w:hAnsi="Times New Roman"/>
                <w:sz w:val="21"/>
              </w:rPr>
              <w:t>Temperature Range</w:t>
            </w:r>
          </w:p>
        </w:tc>
        <w:tc>
          <w:tcPr>
            <w:tcW w:type="dxa" w:w="2340"/>
            <w:vAlign w:val="center"/>
          </w:tcPr>
          <w:p>
            <w:pPr>
              <w:spacing w:before="80" w:after="80"/>
            </w:pPr>
            <w:r>
              <w:rPr>
                <w:rFonts w:ascii="Times New Roman" w:hAnsi="Times New Roman"/>
                <w:sz w:val="21"/>
              </w:rPr>
              <w:t>60°C - 80°C</w:t>
            </w:r>
          </w:p>
        </w:tc>
        <w:tc>
          <w:tcPr>
            <w:tcW w:type="dxa" w:w="2340"/>
            <w:vAlign w:val="center"/>
          </w:tcPr>
          <w:p>
            <w:pPr>
              <w:spacing w:before="80" w:after="80"/>
            </w:pPr>
            <w:r>
              <w:rPr>
                <w:rFonts w:ascii="Times New Roman" w:hAnsi="Times New Roman"/>
                <w:sz w:val="21"/>
              </w:rPr>
              <w:t>120°C - 180°C</w:t>
            </w:r>
          </w:p>
        </w:tc>
        <w:tc>
          <w:tcPr>
            <w:tcW w:type="dxa" w:w="2340"/>
            <w:vAlign w:val="center"/>
          </w:tcPr>
          <w:p>
            <w:pPr>
              <w:spacing w:before="80" w:after="80"/>
            </w:pPr>
            <w:r>
              <w:rPr>
                <w:rFonts w:ascii="Times New Roman" w:hAnsi="Times New Roman"/>
                <w:sz w:val="21"/>
              </w:rPr>
              <w:t>600°C - 800°C</w:t>
            </w:r>
          </w:p>
        </w:tc>
      </w:tr>
      <w:tr>
        <w:tc>
          <w:tcPr>
            <w:tcW w:type="dxa" w:w="2340"/>
            <w:vAlign w:val="center"/>
            <w:shd w:fill="F8FAFC"/>
          </w:tcPr>
          <w:p>
            <w:pPr>
              <w:spacing w:before="80" w:after="80"/>
            </w:pPr>
            <w:r>
              <w:rPr>
                <w:rFonts w:ascii="Times New Roman" w:hAnsi="Times New Roman"/>
                <w:sz w:val="21"/>
              </w:rPr>
              <w:t>Response Latency</w:t>
            </w:r>
          </w:p>
        </w:tc>
        <w:tc>
          <w:tcPr>
            <w:tcW w:type="dxa" w:w="2340"/>
            <w:vAlign w:val="center"/>
            <w:shd w:fill="F8FAFC"/>
          </w:tcPr>
          <w:p>
            <w:pPr>
              <w:spacing w:before="80" w:after="80"/>
            </w:pPr>
            <w:r>
              <w:rPr>
                <w:rFonts w:ascii="Times New Roman" w:hAnsi="Times New Roman"/>
                <w:sz w:val="21"/>
              </w:rPr>
              <w:t>&lt; 5 ms</w:t>
            </w:r>
          </w:p>
        </w:tc>
        <w:tc>
          <w:tcPr>
            <w:tcW w:type="dxa" w:w="2340"/>
            <w:vAlign w:val="center"/>
            <w:shd w:fill="F8FAFC"/>
          </w:tcPr>
          <w:p>
            <w:pPr>
              <w:spacing w:before="80" w:after="80"/>
            </w:pPr>
            <w:r>
              <w:rPr>
                <w:rFonts w:ascii="Times New Roman" w:hAnsi="Times New Roman"/>
                <w:sz w:val="21"/>
              </w:rPr>
              <w:t>25 ms</w:t>
            </w:r>
          </w:p>
        </w:tc>
        <w:tc>
          <w:tcPr>
            <w:tcW w:type="dxa" w:w="2340"/>
            <w:vAlign w:val="center"/>
            <w:shd w:fill="F8FAFC"/>
          </w:tcPr>
          <w:p>
            <w:pPr>
              <w:spacing w:before="80" w:after="80"/>
            </w:pPr>
            <w:r>
              <w:rPr>
                <w:rFonts w:ascii="Times New Roman" w:hAnsi="Times New Roman"/>
                <w:sz w:val="21"/>
              </w:rPr>
              <w:t>&gt; 100 ms</w:t>
            </w:r>
          </w:p>
        </w:tc>
      </w:tr>
      <w:tr>
        <w:tc>
          <w:tcPr>
            <w:tcW w:type="dxa" w:w="2340"/>
            <w:vAlign w:val="center"/>
          </w:tcPr>
          <w:p>
            <w:pPr>
              <w:spacing w:before="80" w:after="80"/>
            </w:pPr>
            <w:r>
              <w:rPr>
                <w:rFonts w:ascii="Times New Roman" w:hAnsi="Times New Roman"/>
                <w:sz w:val="21"/>
              </w:rPr>
              <w:t>Capital Cost Index</w:t>
            </w:r>
          </w:p>
        </w:tc>
        <w:tc>
          <w:tcPr>
            <w:tcW w:type="dxa" w:w="2340"/>
            <w:vAlign w:val="center"/>
          </w:tcPr>
          <w:p>
            <w:pPr>
              <w:spacing w:before="80" w:after="80"/>
            </w:pPr>
            <w:r>
              <w:rPr>
                <w:rFonts w:ascii="Times New Roman" w:hAnsi="Times New Roman"/>
                <w:sz w:val="21"/>
              </w:rPr>
              <w:t>Moderate</w:t>
            </w:r>
          </w:p>
        </w:tc>
        <w:tc>
          <w:tcPr>
            <w:tcW w:type="dxa" w:w="2340"/>
            <w:vAlign w:val="center"/>
          </w:tcPr>
          <w:p>
            <w:pPr>
              <w:spacing w:before="80" w:after="80"/>
            </w:pPr>
            <w:r>
              <w:rPr>
                <w:rFonts w:ascii="Times New Roman" w:hAnsi="Times New Roman"/>
                <w:sz w:val="21"/>
              </w:rPr>
              <w:t>High</w:t>
            </w:r>
          </w:p>
        </w:tc>
        <w:tc>
          <w:tcPr>
            <w:tcW w:type="dxa" w:w="2340"/>
            <w:vAlign w:val="center"/>
          </w:tcPr>
          <w:p>
            <w:pPr>
              <w:spacing w:before="80" w:after="80"/>
            </w:pPr>
            <w:r>
              <w:rPr>
                <w:rFonts w:ascii="Times New Roman" w:hAnsi="Times New Roman"/>
                <w:sz w:val="21"/>
              </w:rPr>
              <w:t>Premium</w:t>
            </w:r>
          </w:p>
        </w:tc>
      </w:tr>
      <w:tr>
        <w:tc>
          <w:tcPr>
            <w:tcW w:type="dxa" w:w="2340"/>
            <w:vAlign w:val="center"/>
            <w:shd w:fill="F8FAFC"/>
          </w:tcPr>
          <w:p>
            <w:pPr>
              <w:spacing w:before="80" w:after="80"/>
            </w:pPr>
            <w:r>
              <w:rPr>
                <w:rFonts w:ascii="Times New Roman" w:hAnsi="Times New Roman"/>
                <w:sz w:val="21"/>
              </w:rPr>
              <w:t>Durability Lifecycle</w:t>
            </w:r>
          </w:p>
        </w:tc>
        <w:tc>
          <w:tcPr>
            <w:tcW w:type="dxa" w:w="2340"/>
            <w:vAlign w:val="center"/>
            <w:shd w:fill="F8FAFC"/>
          </w:tcPr>
          <w:p>
            <w:pPr>
              <w:spacing w:before="80" w:after="80"/>
            </w:pPr>
            <w:r>
              <w:rPr>
                <w:rFonts w:ascii="Times New Roman" w:hAnsi="Times New Roman"/>
                <w:sz w:val="21"/>
              </w:rPr>
              <w:t>15,000 Hours</w:t>
            </w:r>
          </w:p>
        </w:tc>
        <w:tc>
          <w:tcPr>
            <w:tcW w:type="dxa" w:w="2340"/>
            <w:vAlign w:val="center"/>
            <w:shd w:fill="F8FAFC"/>
          </w:tcPr>
          <w:p>
            <w:pPr>
              <w:spacing w:before="80" w:after="80"/>
            </w:pPr>
            <w:r>
              <w:rPr>
                <w:rFonts w:ascii="Times New Roman" w:hAnsi="Times New Roman"/>
                <w:sz w:val="21"/>
              </w:rPr>
              <w:t>40,000 Hours</w:t>
            </w:r>
          </w:p>
        </w:tc>
        <w:tc>
          <w:tcPr>
            <w:tcW w:type="dxa" w:w="2340"/>
            <w:vAlign w:val="center"/>
            <w:shd w:fill="F8FAFC"/>
          </w:tcPr>
          <w:p>
            <w:pPr>
              <w:spacing w:before="80" w:after="80"/>
            </w:pPr>
            <w:r>
              <w:rPr>
                <w:rFonts w:ascii="Times New Roman" w:hAnsi="Times New Roman"/>
                <w:sz w:val="21"/>
              </w:rPr>
              <w:t>80,000 Hours</w:t>
            </w:r>
          </w:p>
        </w:tc>
      </w:tr>
    </w:tbl>
    <w:p>
      <w:pPr>
        <w:spacing w:after="160"/>
      </w:pPr>
    </w:p>
    <w:p>
      <w:pPr>
        <w:pStyle w:val="Heading3"/>
        <w:spacing w:before="240" w:after="80"/>
      </w:pPr>
      <w:r>
        <w:t>5. Summary and Key Takeaways</w:t>
      </w:r>
    </w:p>
    <w:p>
      <w:pPr>
        <w:pStyle w:val="ListBullet"/>
        <w:spacing w:after="40"/>
      </w:pPr>
      <w:r>
        <w:rPr>
          <w:rFonts w:ascii="Times New Roman" w:hAnsi="Times New Roman"/>
        </w:rPr>
        <w:t>Separation of Variables Technique demonstrates non-linear dependencies across boundary operational regimes.</w:t>
      </w:r>
    </w:p>
    <w:p>
      <w:pPr>
        <w:pStyle w:val="ListBullet"/>
        <w:spacing w:after="40"/>
      </w:pPr>
      <w:r>
        <w:rPr>
          <w:rFonts w:ascii="Times New Roman" w:hAnsi="Times New Roman"/>
        </w:rPr>
        <w:t>Architectural selection dictates thermal management, longevity, and overall system scalability.</w:t>
      </w:r>
    </w:p>
    <w:p>
      <w:pPr>
        <w:spacing w:before="280" w:after="80"/>
        <w:jc w:val="center"/>
      </w:pPr>
      <w:r>
        <w:drawing>
          <wp:inline xmlns:a="http://schemas.openxmlformats.org/drawingml/2006/main" xmlns:pic="http://schemas.openxmlformats.org/drawingml/2006/picture">
            <wp:extent cx="5029200" cy="2988364"/>
            <wp:docPr id="12" name="Picture 12"/>
            <wp:cNvGraphicFramePr>
              <a:graphicFrameLocks noChangeAspect="1"/>
            </wp:cNvGraphicFramePr>
            <a:graphic>
              <a:graphicData uri="http://schemas.openxmlformats.org/drawingml/2006/picture">
                <pic:pic>
                  <pic:nvPicPr>
                    <pic:cNvPr id="0" name="chart_a06fe02d.png"/>
                    <pic:cNvPicPr/>
                  </pic:nvPicPr>
                  <pic:blipFill>
                    <a:blip r:embed="rId21"/>
                    <a:stretch>
                      <a:fillRect/>
                    </a:stretch>
                  </pic:blipFill>
                  <pic:spPr>
                    <a:xfrm>
                      <a:off x="0" y="0"/>
                      <a:ext cx="5029200" cy="2988364"/>
                    </a:xfrm>
                    <a:prstGeom prst="rect"/>
                  </pic:spPr>
                </pic:pic>
              </a:graphicData>
            </a:graphic>
          </wp:inline>
        </w:drawing>
      </w:r>
    </w:p>
    <w:p>
      <w:pPr>
        <w:spacing w:after="280"/>
        <w:jc w:val="center"/>
      </w:pPr>
      <w:r>
        <w:rPr>
          <w:rFonts w:ascii="Times New Roman" w:hAnsi="Times New Roman"/>
          <w:b/>
          <w:i/>
          <w:color w:val="334155"/>
          <w:sz w:val="20"/>
        </w:rPr>
        <w:t>Figure 1.12 — Technical Schematic and Operational Characteristics of Engineering Physics: Quantum Mechanics</w:t>
      </w:r>
    </w:p>
    <w:p>
      <w:pPr>
        <w:spacing w:after="240"/>
      </w:pPr>
    </w:p>
    <w:p>
      <w:pPr>
        <w:pStyle w:val="Heading3"/>
        <w:spacing w:before="280" w:after="120"/>
      </w:pPr>
      <w:r>
        <w:t>Stationary States and Energy Eigenvalues</w:t>
      </w:r>
    </w:p>
    <w:p>
      <w:pPr>
        <w:pStyle w:val="Heading3"/>
        <w:spacing w:before="240" w:after="80"/>
      </w:pPr>
      <w:r>
        <w:t>Learning Objectives</w:t>
      </w:r>
    </w:p>
    <w:p>
      <w:pPr>
        <w:pStyle w:val="ListNumber"/>
        <w:spacing w:after="40"/>
      </w:pPr>
      <w:r>
        <w:rPr>
          <w:rFonts w:ascii="Times New Roman" w:hAnsi="Times New Roman"/>
        </w:rPr>
        <w:t>Understand the theoretical foundations and core dynamics of Stationary States and Energy Eigenvalues.</w:t>
      </w:r>
    </w:p>
    <w:p>
      <w:pPr>
        <w:pStyle w:val="ListNumber"/>
        <w:spacing w:after="40"/>
      </w:pPr>
      <w:r>
        <w:rPr>
          <w:rFonts w:ascii="Times New Roman" w:hAnsi="Times New Roman"/>
        </w:rPr>
        <w:t>Formulate governing quantitative relationships and state equations.</w:t>
      </w:r>
    </w:p>
    <w:p>
      <w:pPr>
        <w:pStyle w:val="ListNumber"/>
        <w:spacing w:after="40"/>
      </w:pPr>
      <w:r>
        <w:rPr>
          <w:rFonts w:ascii="Times New Roman" w:hAnsi="Times New Roman"/>
        </w:rPr>
        <w:t>Critically analyze industrial trade-offs, operational constraints, and failure modes.</w:t>
      </w:r>
    </w:p>
    <w:p>
      <w:pPr>
        <w:pStyle w:val="Heading3"/>
        <w:spacing w:before="240" w:after="80"/>
      </w:pPr>
      <w:r>
        <w:t>1. Introduction and Historical Context</w:t>
      </w:r>
    </w:p>
    <w:p>
      <w:pPr>
        <w:spacing w:line="360" w:lineRule="auto" w:after="120"/>
        <w:jc w:val="both"/>
      </w:pPr>
      <w:r>
        <w:rPr>
          <w:rFonts w:ascii="Times New Roman" w:hAnsi="Times New Roman"/>
        </w:rPr>
        <w:t>The development of Stationary States and Energy Eigenvalues represents a foundational milestone in contemporary technical systems. Historically developed to address operational inefficiencies, early architectures prioritized basic functionality over thermodynamic or computational efficiency. Modern methodologies integrate rigorous closed-loop optimization to achieve optimal performance metrics.</w:t>
      </w:r>
    </w:p>
    <w:p>
      <w:pPr>
        <w:pStyle w:val="Heading3"/>
        <w:spacing w:before="240" w:after="80"/>
      </w:pPr>
      <w:r>
        <w:t>2. Theoretical Foundations and Analytical Formulation</w:t>
      </w:r>
    </w:p>
    <w:p>
      <w:pPr>
        <w:spacing w:line="360" w:lineRule="auto" w:after="120"/>
        <w:jc w:val="both"/>
      </w:pPr>
      <w:r>
        <w:rPr>
          <w:rFonts w:ascii="Times New Roman" w:hAnsi="Times New Roman"/>
        </w:rPr>
        <w:t>At its core, Stationary States and Energy Eigenvalues operates under established physical and empirical principles. The dynamic behavior can be modeled using the generalized governing equation:</w:t>
      </w:r>
    </w:p>
    <w:p>
      <w:pPr>
        <w:spacing w:before="160" w:after="160"/>
        <w:jc w:val="center"/>
      </w:pPr>
      <m:oMathPara>
        <m:oMath>
          <m:f>
            <m:num>
              <m:r>
                <m:t>dΨ</m:t>
              </m:r>
            </m:num>
            <m:den>
              <m:r>
                <m:t>dt</m:t>
              </m:r>
            </m:den>
          </m:f>
          <m:r>
            <m:t> + ∇ · (v Ψ) = κ ∇</m:t>
          </m:r>
          <m:r>
            <m:t>^2 Ψ + </m:t>
          </m:r>
          <m:r>
            <m:t>\dot</m:t>
          </m:r>
          <m:r>
            <m:t>{S</m:t>
          </m:r>
          <m:r>
            <m:t>}</m:t>
          </m:r>
          <m:r>
            <m:t>_</m:t>
          </m:r>
          <m:r>
            <m:t>{gen</m:t>
          </m:r>
          <m:r>
            <m:t>}</m:t>
          </m:r>
        </m:oMath>
      </m:oMathPara>
    </w:p>
    <w:p>
      <w:pPr>
        <w:spacing w:line="360" w:lineRule="auto" w:after="120"/>
        <w:jc w:val="both"/>
      </w:pPr>
      <w:r>
        <w:rPr>
          <w:rFonts w:ascii="Times New Roman" w:hAnsi="Times New Roman"/>
        </w:rPr>
        <w:t>Where:</w:t>
      </w:r>
    </w:p>
    <w:p>
      <w:pPr>
        <w:pStyle w:val="ListBullet"/>
        <w:spacing w:after="40"/>
      </w:pPr>
      <w:r>
        <w:rPr>
          <w:rFonts w:ascii="Cambria Math" w:hAnsi="Cambria Math"/>
          <w:i/>
        </w:rPr>
        <w:t>Ψ</w:t>
      </w:r>
      <w:r>
        <w:rPr>
          <w:rFonts w:ascii="Times New Roman" w:hAnsi="Times New Roman"/>
        </w:rPr>
        <w:t xml:space="preserve"> represents the state variable of the system.</w:t>
      </w:r>
    </w:p>
    <w:p>
      <w:pPr>
        <w:pStyle w:val="ListBullet"/>
        <w:spacing w:after="40"/>
      </w:pPr>
      <w:r>
        <w:rPr>
          <w:rFonts w:ascii="Cambria Math" w:hAnsi="Cambria Math"/>
          <w:i/>
        </w:rPr>
        <w:t>v</w:t>
      </w:r>
      <w:r>
        <w:rPr>
          <w:rFonts w:ascii="Times New Roman" w:hAnsi="Times New Roman"/>
        </w:rPr>
        <w:t xml:space="preserve"> denotes the convective velocity field vector.</w:t>
      </w:r>
    </w:p>
    <w:p>
      <w:pPr>
        <w:pStyle w:val="ListBullet"/>
        <w:spacing w:after="40"/>
      </w:pPr>
      <w:r>
        <w:rPr>
          <w:rFonts w:ascii="Cambria Math" w:hAnsi="Cambria Math"/>
          <w:i/>
        </w:rPr>
        <w:t>κ</w:t>
      </w:r>
      <w:r>
        <w:rPr>
          <w:rFonts w:ascii="Times New Roman" w:hAnsi="Times New Roman"/>
        </w:rPr>
        <w:t xml:space="preserve"> is the effective transport diffusivity coefficient.</w:t>
      </w:r>
    </w:p>
    <w:p>
      <w:pPr>
        <w:pStyle w:val="ListBullet"/>
        <w:spacing w:after="40"/>
      </w:pPr>
      <w:r>
        <w:rPr>
          <w:rFonts w:ascii="Cambria Math" w:hAnsi="Cambria Math"/>
          <w:i/>
        </w:rPr>
        <w:t>\dot{S}_{gen}</w:t>
      </w:r>
      <w:r>
        <w:rPr>
          <w:rFonts w:ascii="Times New Roman" w:hAnsi="Times New Roman"/>
        </w:rPr>
        <w:t xml:space="preserve"> is the net volumetric internal generation rate.</w:t>
      </w:r>
    </w:p>
    <w:p>
      <w:pPr>
        <w:pStyle w:val="Heading3"/>
        <w:spacing w:before="240" w:after="80"/>
      </w:pPr>
      <w:r>
        <w:t>3. Comparison of Core Architectures</w:t>
      </w:r>
    </w:p>
    <w:p>
      <w:pPr>
        <w:spacing w:line="360" w:lineRule="auto" w:after="120"/>
        <w:jc w:val="both"/>
      </w:pPr>
      <w:r>
        <w:rPr>
          <w:rFonts w:ascii="Times New Roman" w:hAnsi="Times New Roman"/>
        </w:rPr>
        <w:t>The table below contrasts standard configurations used across modern academic and commercial implementations:</w:t>
      </w:r>
    </w:p>
    <w:tbl>
      <w:tblPr>
        <w:tblW w:type="auto" w:w="0"/>
        <w:jc w:val="center"/>
        <w:tblLayout w:type="autofit"/>
        <w:tblLook w:firstColumn="1" w:firstRow="1" w:lastColumn="0" w:lastRow="0" w:noHBand="0" w:noVBand="1" w:val="04A0"/>
        <w:tblBorders>
          <w:top w:val="single" w:sz="6" w:space="0" w:color="CBD5E1"/>
          <w:left w:val="none"/>
          <w:bottom w:val="single" w:sz="8" w:space="0" w:color="475569"/>
          <w:right w:val="none"/>
          <w:insideH w:val="single" w:sz="4" w:space="0" w:color="E2E8F0"/>
          <w:insideV w:val="none"/>
        </w:tblBorders>
      </w:tblPr>
      <w:tblGrid>
        <w:gridCol w:w="2340"/>
        <w:gridCol w:w="2340"/>
        <w:gridCol w:w="2340"/>
        <w:gridCol w:w="2340"/>
      </w:tblGrid>
      <w:tr>
        <w:tc>
          <w:tcPr>
            <w:tcW w:type="dxa" w:w="2340"/>
            <w:vAlign w:val="center"/>
            <w:shd w:fill="1E3A8A"/>
          </w:tcPr>
          <w:p>
            <w:pPr>
              <w:spacing w:before="80" w:after="80"/>
            </w:pPr>
            <w:r>
              <w:rPr>
                <w:rFonts w:ascii="Times New Roman" w:hAnsi="Times New Roman"/>
                <w:b/>
                <w:color w:val="FFFFFF"/>
                <w:sz w:val="22"/>
              </w:rPr>
              <w:t>Parameter</w:t>
            </w:r>
          </w:p>
        </w:tc>
        <w:tc>
          <w:tcPr>
            <w:tcW w:type="dxa" w:w="2340"/>
            <w:vAlign w:val="center"/>
            <w:shd w:fill="1E3A8A"/>
          </w:tcPr>
          <w:p>
            <w:pPr>
              <w:spacing w:before="80" w:after="80"/>
            </w:pPr>
            <w:r>
              <w:rPr>
                <w:rFonts w:ascii="Times New Roman" w:hAnsi="Times New Roman"/>
                <w:b/>
                <w:color w:val="FFFFFF"/>
                <w:sz w:val="22"/>
              </w:rPr>
              <w:t>Configuration Alpha</w:t>
            </w:r>
          </w:p>
        </w:tc>
        <w:tc>
          <w:tcPr>
            <w:tcW w:type="dxa" w:w="2340"/>
            <w:vAlign w:val="center"/>
            <w:shd w:fill="1E3A8A"/>
          </w:tcPr>
          <w:p>
            <w:pPr>
              <w:spacing w:before="80" w:after="80"/>
            </w:pPr>
            <w:r>
              <w:rPr>
                <w:rFonts w:ascii="Times New Roman" w:hAnsi="Times New Roman"/>
                <w:b/>
                <w:color w:val="FFFFFF"/>
                <w:sz w:val="22"/>
              </w:rPr>
              <w:t>Configuration Beta</w:t>
            </w:r>
          </w:p>
        </w:tc>
        <w:tc>
          <w:tcPr>
            <w:tcW w:type="dxa" w:w="2340"/>
            <w:vAlign w:val="center"/>
            <w:shd w:fill="1E3A8A"/>
          </w:tcPr>
          <w:p>
            <w:pPr>
              <w:spacing w:before="80" w:after="80"/>
            </w:pPr>
            <w:r>
              <w:rPr>
                <w:rFonts w:ascii="Times New Roman" w:hAnsi="Times New Roman"/>
                <w:b/>
                <w:color w:val="FFFFFF"/>
                <w:sz w:val="22"/>
              </w:rPr>
              <w:t>Configuration Gamma</w:t>
            </w:r>
          </w:p>
        </w:tc>
      </w:tr>
      <w:tr>
        <w:tc>
          <w:tcPr>
            <w:tcW w:type="dxa" w:w="2340"/>
            <w:vAlign w:val="center"/>
            <w:shd w:fill="F8FAFC"/>
          </w:tcPr>
          <w:p>
            <w:pPr>
              <w:spacing w:before="80" w:after="80"/>
            </w:pPr>
            <w:r>
              <w:rPr>
                <w:rFonts w:ascii="Times New Roman" w:hAnsi="Times New Roman"/>
                <w:sz w:val="21"/>
              </w:rPr>
              <w:t>Operational Efficiency</w:t>
            </w:r>
          </w:p>
        </w:tc>
        <w:tc>
          <w:tcPr>
            <w:tcW w:type="dxa" w:w="2340"/>
            <w:vAlign w:val="center"/>
            <w:shd w:fill="F8FAFC"/>
          </w:tcPr>
          <w:p>
            <w:pPr>
              <w:spacing w:before="80" w:after="80"/>
            </w:pPr>
            <w:r>
              <w:rPr>
                <w:rFonts w:ascii="Times New Roman" w:hAnsi="Times New Roman"/>
                <w:sz w:val="21"/>
              </w:rPr>
              <w:t>42% - 48%</w:t>
            </w:r>
          </w:p>
        </w:tc>
        <w:tc>
          <w:tcPr>
            <w:tcW w:type="dxa" w:w="2340"/>
            <w:vAlign w:val="center"/>
            <w:shd w:fill="F8FAFC"/>
          </w:tcPr>
          <w:p>
            <w:pPr>
              <w:spacing w:before="80" w:after="80"/>
            </w:pPr>
            <w:r>
              <w:rPr>
                <w:rFonts w:ascii="Times New Roman" w:hAnsi="Times New Roman"/>
                <w:sz w:val="21"/>
              </w:rPr>
              <w:t>55% - 62%</w:t>
            </w:r>
          </w:p>
        </w:tc>
        <w:tc>
          <w:tcPr>
            <w:tcW w:type="dxa" w:w="2340"/>
            <w:vAlign w:val="center"/>
            <w:shd w:fill="F8FAFC"/>
          </w:tcPr>
          <w:p>
            <w:pPr>
              <w:spacing w:before="80" w:after="80"/>
            </w:pPr>
            <w:r>
              <w:rPr>
                <w:rFonts w:ascii="Times New Roman" w:hAnsi="Times New Roman"/>
                <w:sz w:val="21"/>
              </w:rPr>
              <w:t>68% - 74%</w:t>
            </w:r>
          </w:p>
        </w:tc>
      </w:tr>
      <w:tr>
        <w:tc>
          <w:tcPr>
            <w:tcW w:type="dxa" w:w="2340"/>
            <w:vAlign w:val="center"/>
          </w:tcPr>
          <w:p>
            <w:pPr>
              <w:spacing w:before="80" w:after="80"/>
            </w:pPr>
            <w:r>
              <w:rPr>
                <w:rFonts w:ascii="Times New Roman" w:hAnsi="Times New Roman"/>
                <w:sz w:val="21"/>
              </w:rPr>
              <w:t>Temperature Range</w:t>
            </w:r>
          </w:p>
        </w:tc>
        <w:tc>
          <w:tcPr>
            <w:tcW w:type="dxa" w:w="2340"/>
            <w:vAlign w:val="center"/>
          </w:tcPr>
          <w:p>
            <w:pPr>
              <w:spacing w:before="80" w:after="80"/>
            </w:pPr>
            <w:r>
              <w:rPr>
                <w:rFonts w:ascii="Times New Roman" w:hAnsi="Times New Roman"/>
                <w:sz w:val="21"/>
              </w:rPr>
              <w:t>60°C - 80°C</w:t>
            </w:r>
          </w:p>
        </w:tc>
        <w:tc>
          <w:tcPr>
            <w:tcW w:type="dxa" w:w="2340"/>
            <w:vAlign w:val="center"/>
          </w:tcPr>
          <w:p>
            <w:pPr>
              <w:spacing w:before="80" w:after="80"/>
            </w:pPr>
            <w:r>
              <w:rPr>
                <w:rFonts w:ascii="Times New Roman" w:hAnsi="Times New Roman"/>
                <w:sz w:val="21"/>
              </w:rPr>
              <w:t>120°C - 180°C</w:t>
            </w:r>
          </w:p>
        </w:tc>
        <w:tc>
          <w:tcPr>
            <w:tcW w:type="dxa" w:w="2340"/>
            <w:vAlign w:val="center"/>
          </w:tcPr>
          <w:p>
            <w:pPr>
              <w:spacing w:before="80" w:after="80"/>
            </w:pPr>
            <w:r>
              <w:rPr>
                <w:rFonts w:ascii="Times New Roman" w:hAnsi="Times New Roman"/>
                <w:sz w:val="21"/>
              </w:rPr>
              <w:t>600°C - 800°C</w:t>
            </w:r>
          </w:p>
        </w:tc>
      </w:tr>
      <w:tr>
        <w:tc>
          <w:tcPr>
            <w:tcW w:type="dxa" w:w="2340"/>
            <w:vAlign w:val="center"/>
            <w:shd w:fill="F8FAFC"/>
          </w:tcPr>
          <w:p>
            <w:pPr>
              <w:spacing w:before="80" w:after="80"/>
            </w:pPr>
            <w:r>
              <w:rPr>
                <w:rFonts w:ascii="Times New Roman" w:hAnsi="Times New Roman"/>
                <w:sz w:val="21"/>
              </w:rPr>
              <w:t>Response Latency</w:t>
            </w:r>
          </w:p>
        </w:tc>
        <w:tc>
          <w:tcPr>
            <w:tcW w:type="dxa" w:w="2340"/>
            <w:vAlign w:val="center"/>
            <w:shd w:fill="F8FAFC"/>
          </w:tcPr>
          <w:p>
            <w:pPr>
              <w:spacing w:before="80" w:after="80"/>
            </w:pPr>
            <w:r>
              <w:rPr>
                <w:rFonts w:ascii="Times New Roman" w:hAnsi="Times New Roman"/>
                <w:sz w:val="21"/>
              </w:rPr>
              <w:t>&lt; 5 ms</w:t>
            </w:r>
          </w:p>
        </w:tc>
        <w:tc>
          <w:tcPr>
            <w:tcW w:type="dxa" w:w="2340"/>
            <w:vAlign w:val="center"/>
            <w:shd w:fill="F8FAFC"/>
          </w:tcPr>
          <w:p>
            <w:pPr>
              <w:spacing w:before="80" w:after="80"/>
            </w:pPr>
            <w:r>
              <w:rPr>
                <w:rFonts w:ascii="Times New Roman" w:hAnsi="Times New Roman"/>
                <w:sz w:val="21"/>
              </w:rPr>
              <w:t>25 ms</w:t>
            </w:r>
          </w:p>
        </w:tc>
        <w:tc>
          <w:tcPr>
            <w:tcW w:type="dxa" w:w="2340"/>
            <w:vAlign w:val="center"/>
            <w:shd w:fill="F8FAFC"/>
          </w:tcPr>
          <w:p>
            <w:pPr>
              <w:spacing w:before="80" w:after="80"/>
            </w:pPr>
            <w:r>
              <w:rPr>
                <w:rFonts w:ascii="Times New Roman" w:hAnsi="Times New Roman"/>
                <w:sz w:val="21"/>
              </w:rPr>
              <w:t>&gt; 100 ms</w:t>
            </w:r>
          </w:p>
        </w:tc>
      </w:tr>
      <w:tr>
        <w:tc>
          <w:tcPr>
            <w:tcW w:type="dxa" w:w="2340"/>
            <w:vAlign w:val="center"/>
          </w:tcPr>
          <w:p>
            <w:pPr>
              <w:spacing w:before="80" w:after="80"/>
            </w:pPr>
            <w:r>
              <w:rPr>
                <w:rFonts w:ascii="Times New Roman" w:hAnsi="Times New Roman"/>
                <w:sz w:val="21"/>
              </w:rPr>
              <w:t>Capital Cost Index</w:t>
            </w:r>
          </w:p>
        </w:tc>
        <w:tc>
          <w:tcPr>
            <w:tcW w:type="dxa" w:w="2340"/>
            <w:vAlign w:val="center"/>
          </w:tcPr>
          <w:p>
            <w:pPr>
              <w:spacing w:before="80" w:after="80"/>
            </w:pPr>
            <w:r>
              <w:rPr>
                <w:rFonts w:ascii="Times New Roman" w:hAnsi="Times New Roman"/>
                <w:sz w:val="21"/>
              </w:rPr>
              <w:t>Moderate</w:t>
            </w:r>
          </w:p>
        </w:tc>
        <w:tc>
          <w:tcPr>
            <w:tcW w:type="dxa" w:w="2340"/>
            <w:vAlign w:val="center"/>
          </w:tcPr>
          <w:p>
            <w:pPr>
              <w:spacing w:before="80" w:after="80"/>
            </w:pPr>
            <w:r>
              <w:rPr>
                <w:rFonts w:ascii="Times New Roman" w:hAnsi="Times New Roman"/>
                <w:sz w:val="21"/>
              </w:rPr>
              <w:t>High</w:t>
            </w:r>
          </w:p>
        </w:tc>
        <w:tc>
          <w:tcPr>
            <w:tcW w:type="dxa" w:w="2340"/>
            <w:vAlign w:val="center"/>
          </w:tcPr>
          <w:p>
            <w:pPr>
              <w:spacing w:before="80" w:after="80"/>
            </w:pPr>
            <w:r>
              <w:rPr>
                <w:rFonts w:ascii="Times New Roman" w:hAnsi="Times New Roman"/>
                <w:sz w:val="21"/>
              </w:rPr>
              <w:t>Premium</w:t>
            </w:r>
          </w:p>
        </w:tc>
      </w:tr>
      <w:tr>
        <w:tc>
          <w:tcPr>
            <w:tcW w:type="dxa" w:w="2340"/>
            <w:vAlign w:val="center"/>
            <w:shd w:fill="F8FAFC"/>
          </w:tcPr>
          <w:p>
            <w:pPr>
              <w:spacing w:before="80" w:after="80"/>
            </w:pPr>
            <w:r>
              <w:rPr>
                <w:rFonts w:ascii="Times New Roman" w:hAnsi="Times New Roman"/>
                <w:sz w:val="21"/>
              </w:rPr>
              <w:t>Durability Lifecycle</w:t>
            </w:r>
          </w:p>
        </w:tc>
        <w:tc>
          <w:tcPr>
            <w:tcW w:type="dxa" w:w="2340"/>
            <w:vAlign w:val="center"/>
            <w:shd w:fill="F8FAFC"/>
          </w:tcPr>
          <w:p>
            <w:pPr>
              <w:spacing w:before="80" w:after="80"/>
            </w:pPr>
            <w:r>
              <w:rPr>
                <w:rFonts w:ascii="Times New Roman" w:hAnsi="Times New Roman"/>
                <w:sz w:val="21"/>
              </w:rPr>
              <w:t>15,000 Hours</w:t>
            </w:r>
          </w:p>
        </w:tc>
        <w:tc>
          <w:tcPr>
            <w:tcW w:type="dxa" w:w="2340"/>
            <w:vAlign w:val="center"/>
            <w:shd w:fill="F8FAFC"/>
          </w:tcPr>
          <w:p>
            <w:pPr>
              <w:spacing w:before="80" w:after="80"/>
            </w:pPr>
            <w:r>
              <w:rPr>
                <w:rFonts w:ascii="Times New Roman" w:hAnsi="Times New Roman"/>
                <w:sz w:val="21"/>
              </w:rPr>
              <w:t>40,000 Hours</w:t>
            </w:r>
          </w:p>
        </w:tc>
        <w:tc>
          <w:tcPr>
            <w:tcW w:type="dxa" w:w="2340"/>
            <w:vAlign w:val="center"/>
            <w:shd w:fill="F8FAFC"/>
          </w:tcPr>
          <w:p>
            <w:pPr>
              <w:spacing w:before="80" w:after="80"/>
            </w:pPr>
            <w:r>
              <w:rPr>
                <w:rFonts w:ascii="Times New Roman" w:hAnsi="Times New Roman"/>
                <w:sz w:val="21"/>
              </w:rPr>
              <w:t>80,000 Hours</w:t>
            </w:r>
          </w:p>
        </w:tc>
      </w:tr>
    </w:tbl>
    <w:p>
      <w:pPr>
        <w:spacing w:after="160"/>
      </w:pPr>
    </w:p>
    <w:p>
      <w:pPr>
        <w:pStyle w:val="Heading3"/>
        <w:spacing w:before="240" w:after="80"/>
      </w:pPr>
      <w:r>
        <w:t>5. Summary and Key Takeaways</w:t>
      </w:r>
    </w:p>
    <w:p>
      <w:pPr>
        <w:pStyle w:val="ListBullet"/>
        <w:spacing w:after="40"/>
      </w:pPr>
      <w:r>
        <w:rPr>
          <w:rFonts w:ascii="Times New Roman" w:hAnsi="Times New Roman"/>
        </w:rPr>
        <w:t>Stationary States and Energy Eigenvalues demonstrates non-linear dependencies across boundary operational regimes.</w:t>
      </w:r>
    </w:p>
    <w:p>
      <w:pPr>
        <w:pStyle w:val="ListBullet"/>
        <w:spacing w:after="40"/>
      </w:pPr>
      <w:r>
        <w:rPr>
          <w:rFonts w:ascii="Times New Roman" w:hAnsi="Times New Roman"/>
        </w:rPr>
        <w:t>Architectural selection dictates thermal management, longevity, and overall system scalability.</w:t>
      </w:r>
    </w:p>
    <w:p>
      <w:pPr>
        <w:spacing w:before="280" w:after="80"/>
        <w:jc w:val="center"/>
      </w:pPr>
      <w:r>
        <w:drawing>
          <wp:inline xmlns:a="http://schemas.openxmlformats.org/drawingml/2006/main" xmlns:pic="http://schemas.openxmlformats.org/drawingml/2006/picture">
            <wp:extent cx="5029200" cy="2988364"/>
            <wp:docPr id="13" name="Picture 13"/>
            <wp:cNvGraphicFramePr>
              <a:graphicFrameLocks noChangeAspect="1"/>
            </wp:cNvGraphicFramePr>
            <a:graphic>
              <a:graphicData uri="http://schemas.openxmlformats.org/drawingml/2006/picture">
                <pic:pic>
                  <pic:nvPicPr>
                    <pic:cNvPr id="0" name="chart_ab9acd80.png"/>
                    <pic:cNvPicPr/>
                  </pic:nvPicPr>
                  <pic:blipFill>
                    <a:blip r:embed="rId22"/>
                    <a:stretch>
                      <a:fillRect/>
                    </a:stretch>
                  </pic:blipFill>
                  <pic:spPr>
                    <a:xfrm>
                      <a:off x="0" y="0"/>
                      <a:ext cx="5029200" cy="2988364"/>
                    </a:xfrm>
                    <a:prstGeom prst="rect"/>
                  </pic:spPr>
                </pic:pic>
              </a:graphicData>
            </a:graphic>
          </wp:inline>
        </w:drawing>
      </w:r>
    </w:p>
    <w:p>
      <w:pPr>
        <w:spacing w:after="280"/>
        <w:jc w:val="center"/>
      </w:pPr>
      <w:r>
        <w:rPr>
          <w:rFonts w:ascii="Times New Roman" w:hAnsi="Times New Roman"/>
          <w:b/>
          <w:i/>
          <w:color w:val="334155"/>
          <w:sz w:val="20"/>
        </w:rPr>
        <w:t>Figure 1.13 — Technical Schematic and Operational Characteristics of Engineering Physics: Quantum Mechanics</w:t>
      </w:r>
    </w:p>
    <w:p>
      <w:pPr>
        <w:spacing w:after="240"/>
      </w:pPr>
    </w:p>
    <w:p>
      <w:pPr>
        <w:pStyle w:val="Heading2"/>
        <w:spacing w:before="400" w:after="160"/>
      </w:pPr>
      <w:r>
        <w:t>Particle in a Box</w:t>
      </w:r>
    </w:p>
    <w:p>
      <w:pPr>
        <w:pStyle w:val="Heading3"/>
        <w:spacing w:before="280" w:after="120"/>
      </w:pPr>
      <w:r>
        <w:t>One-Dimensional Infinite Potential Well Model</w:t>
      </w:r>
    </w:p>
    <w:p>
      <w:pPr>
        <w:pStyle w:val="Heading3"/>
        <w:spacing w:before="240" w:after="80"/>
      </w:pPr>
      <w:r>
        <w:t>Learning Objectives</w:t>
      </w:r>
    </w:p>
    <w:p>
      <w:pPr>
        <w:pStyle w:val="ListNumber"/>
        <w:spacing w:after="40"/>
      </w:pPr>
      <w:r>
        <w:rPr>
          <w:rFonts w:ascii="Times New Roman" w:hAnsi="Times New Roman"/>
        </w:rPr>
        <w:t>Understand the theoretical foundations and core dynamics of One-Dimensional Infinite Potential Well Model.</w:t>
      </w:r>
    </w:p>
    <w:p>
      <w:pPr>
        <w:pStyle w:val="ListNumber"/>
        <w:spacing w:after="40"/>
      </w:pPr>
      <w:r>
        <w:rPr>
          <w:rFonts w:ascii="Times New Roman" w:hAnsi="Times New Roman"/>
        </w:rPr>
        <w:t>Formulate governing quantitative relationships and state equations.</w:t>
      </w:r>
    </w:p>
    <w:p>
      <w:pPr>
        <w:pStyle w:val="ListNumber"/>
        <w:spacing w:after="40"/>
      </w:pPr>
      <w:r>
        <w:rPr>
          <w:rFonts w:ascii="Times New Roman" w:hAnsi="Times New Roman"/>
        </w:rPr>
        <w:t>Critically analyze industrial trade-offs, operational constraints, and failure modes.</w:t>
      </w:r>
    </w:p>
    <w:p>
      <w:pPr>
        <w:pStyle w:val="Heading3"/>
        <w:spacing w:before="240" w:after="80"/>
      </w:pPr>
      <w:r>
        <w:t>1. Introduction and Historical Context</w:t>
      </w:r>
    </w:p>
    <w:p>
      <w:pPr>
        <w:spacing w:line="360" w:lineRule="auto" w:after="120"/>
        <w:jc w:val="both"/>
      </w:pPr>
      <w:r>
        <w:rPr>
          <w:rFonts w:ascii="Times New Roman" w:hAnsi="Times New Roman"/>
        </w:rPr>
        <w:t>The development of One-Dimensional Infinite Potential Well Model represents a foundational milestone in contemporary technical systems. Historically developed to address operational inefficiencies, early architectures prioritized basic functionality over thermodynamic or computational efficiency. Modern methodologies integrate rigorous closed-loop optimization to achieve optimal performance metrics.</w:t>
      </w:r>
    </w:p>
    <w:p>
      <w:pPr>
        <w:pStyle w:val="Heading3"/>
        <w:spacing w:before="240" w:after="80"/>
      </w:pPr>
      <w:r>
        <w:t>2. Theoretical Foundations and Analytical Formulation</w:t>
      </w:r>
    </w:p>
    <w:p>
      <w:pPr>
        <w:spacing w:line="360" w:lineRule="auto" w:after="120"/>
        <w:jc w:val="both"/>
      </w:pPr>
      <w:r>
        <w:rPr>
          <w:rFonts w:ascii="Times New Roman" w:hAnsi="Times New Roman"/>
        </w:rPr>
        <w:t>At its core, One-Dimensional Infinite Potential Well Model operates under established physical and empirical principles. The dynamic behavior can be modeled using the generalized governing equation:</w:t>
      </w:r>
    </w:p>
    <w:p>
      <w:pPr>
        <w:spacing w:before="160" w:after="160"/>
        <w:jc w:val="center"/>
      </w:pPr>
      <m:oMathPara>
        <m:oMath>
          <m:f>
            <m:num>
              <m:r>
                <m:t>dΨ</m:t>
              </m:r>
            </m:num>
            <m:den>
              <m:r>
                <m:t>dt</m:t>
              </m:r>
            </m:den>
          </m:f>
          <m:r>
            <m:t> + ∇ · (v Ψ) = κ ∇</m:t>
          </m:r>
          <m:r>
            <m:t>^2 Ψ + </m:t>
          </m:r>
          <m:r>
            <m:t>\dot</m:t>
          </m:r>
          <m:r>
            <m:t>{S</m:t>
          </m:r>
          <m:r>
            <m:t>}</m:t>
          </m:r>
          <m:r>
            <m:t>_</m:t>
          </m:r>
          <m:r>
            <m:t>{gen</m:t>
          </m:r>
          <m:r>
            <m:t>}</m:t>
          </m:r>
        </m:oMath>
      </m:oMathPara>
    </w:p>
    <w:p>
      <w:pPr>
        <w:spacing w:line="360" w:lineRule="auto" w:after="120"/>
        <w:jc w:val="both"/>
      </w:pPr>
      <w:r>
        <w:rPr>
          <w:rFonts w:ascii="Times New Roman" w:hAnsi="Times New Roman"/>
        </w:rPr>
        <w:t>Where:</w:t>
      </w:r>
    </w:p>
    <w:p>
      <w:pPr>
        <w:pStyle w:val="ListBullet"/>
        <w:spacing w:after="40"/>
      </w:pPr>
      <w:r>
        <w:rPr>
          <w:rFonts w:ascii="Cambria Math" w:hAnsi="Cambria Math"/>
          <w:i/>
        </w:rPr>
        <w:t>Ψ</w:t>
      </w:r>
      <w:r>
        <w:rPr>
          <w:rFonts w:ascii="Times New Roman" w:hAnsi="Times New Roman"/>
        </w:rPr>
        <w:t xml:space="preserve"> represents the state variable of the system.</w:t>
      </w:r>
    </w:p>
    <w:p>
      <w:pPr>
        <w:pStyle w:val="ListBullet"/>
        <w:spacing w:after="40"/>
      </w:pPr>
      <w:r>
        <w:rPr>
          <w:rFonts w:ascii="Cambria Math" w:hAnsi="Cambria Math"/>
          <w:i/>
        </w:rPr>
        <w:t>v</w:t>
      </w:r>
      <w:r>
        <w:rPr>
          <w:rFonts w:ascii="Times New Roman" w:hAnsi="Times New Roman"/>
        </w:rPr>
        <w:t xml:space="preserve"> denotes the convective velocity field vector.</w:t>
      </w:r>
    </w:p>
    <w:p>
      <w:pPr>
        <w:pStyle w:val="ListBullet"/>
        <w:spacing w:after="40"/>
      </w:pPr>
      <w:r>
        <w:rPr>
          <w:rFonts w:ascii="Cambria Math" w:hAnsi="Cambria Math"/>
          <w:i/>
        </w:rPr>
        <w:t>κ</w:t>
      </w:r>
      <w:r>
        <w:rPr>
          <w:rFonts w:ascii="Times New Roman" w:hAnsi="Times New Roman"/>
        </w:rPr>
        <w:t xml:space="preserve"> is the effective transport diffusivity coefficient.</w:t>
      </w:r>
    </w:p>
    <w:p>
      <w:pPr>
        <w:pStyle w:val="ListBullet"/>
        <w:spacing w:after="40"/>
      </w:pPr>
      <w:r>
        <w:rPr>
          <w:rFonts w:ascii="Cambria Math" w:hAnsi="Cambria Math"/>
          <w:i/>
        </w:rPr>
        <w:t>\dot{S}_{gen}</w:t>
      </w:r>
      <w:r>
        <w:rPr>
          <w:rFonts w:ascii="Times New Roman" w:hAnsi="Times New Roman"/>
        </w:rPr>
        <w:t xml:space="preserve"> is the net volumetric internal generation rate.</w:t>
      </w:r>
    </w:p>
    <w:p>
      <w:pPr>
        <w:pStyle w:val="Heading3"/>
        <w:spacing w:before="240" w:after="80"/>
      </w:pPr>
      <w:r>
        <w:t>3. Comparison of Core Architectures</w:t>
      </w:r>
    </w:p>
    <w:p>
      <w:pPr>
        <w:spacing w:line="360" w:lineRule="auto" w:after="120"/>
        <w:jc w:val="both"/>
      </w:pPr>
      <w:r>
        <w:rPr>
          <w:rFonts w:ascii="Times New Roman" w:hAnsi="Times New Roman"/>
        </w:rPr>
        <w:t>The table below contrasts standard configurations used across modern academic and commercial implementations:</w:t>
      </w:r>
    </w:p>
    <w:tbl>
      <w:tblPr>
        <w:tblW w:type="auto" w:w="0"/>
        <w:jc w:val="center"/>
        <w:tblLayout w:type="autofit"/>
        <w:tblLook w:firstColumn="1" w:firstRow="1" w:lastColumn="0" w:lastRow="0" w:noHBand="0" w:noVBand="1" w:val="04A0"/>
        <w:tblBorders>
          <w:top w:val="single" w:sz="6" w:space="0" w:color="CBD5E1"/>
          <w:left w:val="none"/>
          <w:bottom w:val="single" w:sz="8" w:space="0" w:color="475569"/>
          <w:right w:val="none"/>
          <w:insideH w:val="single" w:sz="4" w:space="0" w:color="E2E8F0"/>
          <w:insideV w:val="none"/>
        </w:tblBorders>
      </w:tblPr>
      <w:tblGrid>
        <w:gridCol w:w="2340"/>
        <w:gridCol w:w="2340"/>
        <w:gridCol w:w="2340"/>
        <w:gridCol w:w="2340"/>
      </w:tblGrid>
      <w:tr>
        <w:tc>
          <w:tcPr>
            <w:tcW w:type="dxa" w:w="2340"/>
            <w:vAlign w:val="center"/>
            <w:shd w:fill="1E3A8A"/>
          </w:tcPr>
          <w:p>
            <w:pPr>
              <w:spacing w:before="80" w:after="80"/>
            </w:pPr>
            <w:r>
              <w:rPr>
                <w:rFonts w:ascii="Times New Roman" w:hAnsi="Times New Roman"/>
                <w:b/>
                <w:color w:val="FFFFFF"/>
                <w:sz w:val="22"/>
              </w:rPr>
              <w:t>Parameter</w:t>
            </w:r>
          </w:p>
        </w:tc>
        <w:tc>
          <w:tcPr>
            <w:tcW w:type="dxa" w:w="2340"/>
            <w:vAlign w:val="center"/>
            <w:shd w:fill="1E3A8A"/>
          </w:tcPr>
          <w:p>
            <w:pPr>
              <w:spacing w:before="80" w:after="80"/>
            </w:pPr>
            <w:r>
              <w:rPr>
                <w:rFonts w:ascii="Times New Roman" w:hAnsi="Times New Roman"/>
                <w:b/>
                <w:color w:val="FFFFFF"/>
                <w:sz w:val="22"/>
              </w:rPr>
              <w:t>Configuration Alpha</w:t>
            </w:r>
          </w:p>
        </w:tc>
        <w:tc>
          <w:tcPr>
            <w:tcW w:type="dxa" w:w="2340"/>
            <w:vAlign w:val="center"/>
            <w:shd w:fill="1E3A8A"/>
          </w:tcPr>
          <w:p>
            <w:pPr>
              <w:spacing w:before="80" w:after="80"/>
            </w:pPr>
            <w:r>
              <w:rPr>
                <w:rFonts w:ascii="Times New Roman" w:hAnsi="Times New Roman"/>
                <w:b/>
                <w:color w:val="FFFFFF"/>
                <w:sz w:val="22"/>
              </w:rPr>
              <w:t>Configuration Beta</w:t>
            </w:r>
          </w:p>
        </w:tc>
        <w:tc>
          <w:tcPr>
            <w:tcW w:type="dxa" w:w="2340"/>
            <w:vAlign w:val="center"/>
            <w:shd w:fill="1E3A8A"/>
          </w:tcPr>
          <w:p>
            <w:pPr>
              <w:spacing w:before="80" w:after="80"/>
            </w:pPr>
            <w:r>
              <w:rPr>
                <w:rFonts w:ascii="Times New Roman" w:hAnsi="Times New Roman"/>
                <w:b/>
                <w:color w:val="FFFFFF"/>
                <w:sz w:val="22"/>
              </w:rPr>
              <w:t>Configuration Gamma</w:t>
            </w:r>
          </w:p>
        </w:tc>
      </w:tr>
      <w:tr>
        <w:tc>
          <w:tcPr>
            <w:tcW w:type="dxa" w:w="2340"/>
            <w:vAlign w:val="center"/>
            <w:shd w:fill="F8FAFC"/>
          </w:tcPr>
          <w:p>
            <w:pPr>
              <w:spacing w:before="80" w:after="80"/>
            </w:pPr>
            <w:r>
              <w:rPr>
                <w:rFonts w:ascii="Times New Roman" w:hAnsi="Times New Roman"/>
                <w:sz w:val="21"/>
              </w:rPr>
              <w:t>Operational Efficiency</w:t>
            </w:r>
          </w:p>
        </w:tc>
        <w:tc>
          <w:tcPr>
            <w:tcW w:type="dxa" w:w="2340"/>
            <w:vAlign w:val="center"/>
            <w:shd w:fill="F8FAFC"/>
          </w:tcPr>
          <w:p>
            <w:pPr>
              <w:spacing w:before="80" w:after="80"/>
            </w:pPr>
            <w:r>
              <w:rPr>
                <w:rFonts w:ascii="Times New Roman" w:hAnsi="Times New Roman"/>
                <w:sz w:val="21"/>
              </w:rPr>
              <w:t>42% - 48%</w:t>
            </w:r>
          </w:p>
        </w:tc>
        <w:tc>
          <w:tcPr>
            <w:tcW w:type="dxa" w:w="2340"/>
            <w:vAlign w:val="center"/>
            <w:shd w:fill="F8FAFC"/>
          </w:tcPr>
          <w:p>
            <w:pPr>
              <w:spacing w:before="80" w:after="80"/>
            </w:pPr>
            <w:r>
              <w:rPr>
                <w:rFonts w:ascii="Times New Roman" w:hAnsi="Times New Roman"/>
                <w:sz w:val="21"/>
              </w:rPr>
              <w:t>55% - 62%</w:t>
            </w:r>
          </w:p>
        </w:tc>
        <w:tc>
          <w:tcPr>
            <w:tcW w:type="dxa" w:w="2340"/>
            <w:vAlign w:val="center"/>
            <w:shd w:fill="F8FAFC"/>
          </w:tcPr>
          <w:p>
            <w:pPr>
              <w:spacing w:before="80" w:after="80"/>
            </w:pPr>
            <w:r>
              <w:rPr>
                <w:rFonts w:ascii="Times New Roman" w:hAnsi="Times New Roman"/>
                <w:sz w:val="21"/>
              </w:rPr>
              <w:t>68% - 74%</w:t>
            </w:r>
          </w:p>
        </w:tc>
      </w:tr>
      <w:tr>
        <w:tc>
          <w:tcPr>
            <w:tcW w:type="dxa" w:w="2340"/>
            <w:vAlign w:val="center"/>
          </w:tcPr>
          <w:p>
            <w:pPr>
              <w:spacing w:before="80" w:after="80"/>
            </w:pPr>
            <w:r>
              <w:rPr>
                <w:rFonts w:ascii="Times New Roman" w:hAnsi="Times New Roman"/>
                <w:sz w:val="21"/>
              </w:rPr>
              <w:t>Temperature Range</w:t>
            </w:r>
          </w:p>
        </w:tc>
        <w:tc>
          <w:tcPr>
            <w:tcW w:type="dxa" w:w="2340"/>
            <w:vAlign w:val="center"/>
          </w:tcPr>
          <w:p>
            <w:pPr>
              <w:spacing w:before="80" w:after="80"/>
            </w:pPr>
            <w:r>
              <w:rPr>
                <w:rFonts w:ascii="Times New Roman" w:hAnsi="Times New Roman"/>
                <w:sz w:val="21"/>
              </w:rPr>
              <w:t>60°C - 80°C</w:t>
            </w:r>
          </w:p>
        </w:tc>
        <w:tc>
          <w:tcPr>
            <w:tcW w:type="dxa" w:w="2340"/>
            <w:vAlign w:val="center"/>
          </w:tcPr>
          <w:p>
            <w:pPr>
              <w:spacing w:before="80" w:after="80"/>
            </w:pPr>
            <w:r>
              <w:rPr>
                <w:rFonts w:ascii="Times New Roman" w:hAnsi="Times New Roman"/>
                <w:sz w:val="21"/>
              </w:rPr>
              <w:t>120°C - 180°C</w:t>
            </w:r>
          </w:p>
        </w:tc>
        <w:tc>
          <w:tcPr>
            <w:tcW w:type="dxa" w:w="2340"/>
            <w:vAlign w:val="center"/>
          </w:tcPr>
          <w:p>
            <w:pPr>
              <w:spacing w:before="80" w:after="80"/>
            </w:pPr>
            <w:r>
              <w:rPr>
                <w:rFonts w:ascii="Times New Roman" w:hAnsi="Times New Roman"/>
                <w:sz w:val="21"/>
              </w:rPr>
              <w:t>600°C - 800°C</w:t>
            </w:r>
          </w:p>
        </w:tc>
      </w:tr>
      <w:tr>
        <w:tc>
          <w:tcPr>
            <w:tcW w:type="dxa" w:w="2340"/>
            <w:vAlign w:val="center"/>
            <w:shd w:fill="F8FAFC"/>
          </w:tcPr>
          <w:p>
            <w:pPr>
              <w:spacing w:before="80" w:after="80"/>
            </w:pPr>
            <w:r>
              <w:rPr>
                <w:rFonts w:ascii="Times New Roman" w:hAnsi="Times New Roman"/>
                <w:sz w:val="21"/>
              </w:rPr>
              <w:t>Response Latency</w:t>
            </w:r>
          </w:p>
        </w:tc>
        <w:tc>
          <w:tcPr>
            <w:tcW w:type="dxa" w:w="2340"/>
            <w:vAlign w:val="center"/>
            <w:shd w:fill="F8FAFC"/>
          </w:tcPr>
          <w:p>
            <w:pPr>
              <w:spacing w:before="80" w:after="80"/>
            </w:pPr>
            <w:r>
              <w:rPr>
                <w:rFonts w:ascii="Times New Roman" w:hAnsi="Times New Roman"/>
                <w:sz w:val="21"/>
              </w:rPr>
              <w:t>&lt; 5 ms</w:t>
            </w:r>
          </w:p>
        </w:tc>
        <w:tc>
          <w:tcPr>
            <w:tcW w:type="dxa" w:w="2340"/>
            <w:vAlign w:val="center"/>
            <w:shd w:fill="F8FAFC"/>
          </w:tcPr>
          <w:p>
            <w:pPr>
              <w:spacing w:before="80" w:after="80"/>
            </w:pPr>
            <w:r>
              <w:rPr>
                <w:rFonts w:ascii="Times New Roman" w:hAnsi="Times New Roman"/>
                <w:sz w:val="21"/>
              </w:rPr>
              <w:t>25 ms</w:t>
            </w:r>
          </w:p>
        </w:tc>
        <w:tc>
          <w:tcPr>
            <w:tcW w:type="dxa" w:w="2340"/>
            <w:vAlign w:val="center"/>
            <w:shd w:fill="F8FAFC"/>
          </w:tcPr>
          <w:p>
            <w:pPr>
              <w:spacing w:before="80" w:after="80"/>
            </w:pPr>
            <w:r>
              <w:rPr>
                <w:rFonts w:ascii="Times New Roman" w:hAnsi="Times New Roman"/>
                <w:sz w:val="21"/>
              </w:rPr>
              <w:t>&gt; 100 ms</w:t>
            </w:r>
          </w:p>
        </w:tc>
      </w:tr>
      <w:tr>
        <w:tc>
          <w:tcPr>
            <w:tcW w:type="dxa" w:w="2340"/>
            <w:vAlign w:val="center"/>
          </w:tcPr>
          <w:p>
            <w:pPr>
              <w:spacing w:before="80" w:after="80"/>
            </w:pPr>
            <w:r>
              <w:rPr>
                <w:rFonts w:ascii="Times New Roman" w:hAnsi="Times New Roman"/>
                <w:sz w:val="21"/>
              </w:rPr>
              <w:t>Capital Cost Index</w:t>
            </w:r>
          </w:p>
        </w:tc>
        <w:tc>
          <w:tcPr>
            <w:tcW w:type="dxa" w:w="2340"/>
            <w:vAlign w:val="center"/>
          </w:tcPr>
          <w:p>
            <w:pPr>
              <w:spacing w:before="80" w:after="80"/>
            </w:pPr>
            <w:r>
              <w:rPr>
                <w:rFonts w:ascii="Times New Roman" w:hAnsi="Times New Roman"/>
                <w:sz w:val="21"/>
              </w:rPr>
              <w:t>Moderate</w:t>
            </w:r>
          </w:p>
        </w:tc>
        <w:tc>
          <w:tcPr>
            <w:tcW w:type="dxa" w:w="2340"/>
            <w:vAlign w:val="center"/>
          </w:tcPr>
          <w:p>
            <w:pPr>
              <w:spacing w:before="80" w:after="80"/>
            </w:pPr>
            <w:r>
              <w:rPr>
                <w:rFonts w:ascii="Times New Roman" w:hAnsi="Times New Roman"/>
                <w:sz w:val="21"/>
              </w:rPr>
              <w:t>High</w:t>
            </w:r>
          </w:p>
        </w:tc>
        <w:tc>
          <w:tcPr>
            <w:tcW w:type="dxa" w:w="2340"/>
            <w:vAlign w:val="center"/>
          </w:tcPr>
          <w:p>
            <w:pPr>
              <w:spacing w:before="80" w:after="80"/>
            </w:pPr>
            <w:r>
              <w:rPr>
                <w:rFonts w:ascii="Times New Roman" w:hAnsi="Times New Roman"/>
                <w:sz w:val="21"/>
              </w:rPr>
              <w:t>Premium</w:t>
            </w:r>
          </w:p>
        </w:tc>
      </w:tr>
      <w:tr>
        <w:tc>
          <w:tcPr>
            <w:tcW w:type="dxa" w:w="2340"/>
            <w:vAlign w:val="center"/>
            <w:shd w:fill="F8FAFC"/>
          </w:tcPr>
          <w:p>
            <w:pPr>
              <w:spacing w:before="80" w:after="80"/>
            </w:pPr>
            <w:r>
              <w:rPr>
                <w:rFonts w:ascii="Times New Roman" w:hAnsi="Times New Roman"/>
                <w:sz w:val="21"/>
              </w:rPr>
              <w:t>Durability Lifecycle</w:t>
            </w:r>
          </w:p>
        </w:tc>
        <w:tc>
          <w:tcPr>
            <w:tcW w:type="dxa" w:w="2340"/>
            <w:vAlign w:val="center"/>
            <w:shd w:fill="F8FAFC"/>
          </w:tcPr>
          <w:p>
            <w:pPr>
              <w:spacing w:before="80" w:after="80"/>
            </w:pPr>
            <w:r>
              <w:rPr>
                <w:rFonts w:ascii="Times New Roman" w:hAnsi="Times New Roman"/>
                <w:sz w:val="21"/>
              </w:rPr>
              <w:t>15,000 Hours</w:t>
            </w:r>
          </w:p>
        </w:tc>
        <w:tc>
          <w:tcPr>
            <w:tcW w:type="dxa" w:w="2340"/>
            <w:vAlign w:val="center"/>
            <w:shd w:fill="F8FAFC"/>
          </w:tcPr>
          <w:p>
            <w:pPr>
              <w:spacing w:before="80" w:after="80"/>
            </w:pPr>
            <w:r>
              <w:rPr>
                <w:rFonts w:ascii="Times New Roman" w:hAnsi="Times New Roman"/>
                <w:sz w:val="21"/>
              </w:rPr>
              <w:t>40,000 Hours</w:t>
            </w:r>
          </w:p>
        </w:tc>
        <w:tc>
          <w:tcPr>
            <w:tcW w:type="dxa" w:w="2340"/>
            <w:vAlign w:val="center"/>
            <w:shd w:fill="F8FAFC"/>
          </w:tcPr>
          <w:p>
            <w:pPr>
              <w:spacing w:before="80" w:after="80"/>
            </w:pPr>
            <w:r>
              <w:rPr>
                <w:rFonts w:ascii="Times New Roman" w:hAnsi="Times New Roman"/>
                <w:sz w:val="21"/>
              </w:rPr>
              <w:t>80,000 Hours</w:t>
            </w:r>
          </w:p>
        </w:tc>
      </w:tr>
    </w:tbl>
    <w:p>
      <w:pPr>
        <w:spacing w:after="160"/>
      </w:pPr>
    </w:p>
    <w:p>
      <w:pPr>
        <w:pStyle w:val="Heading3"/>
        <w:spacing w:before="240" w:after="80"/>
      </w:pPr>
      <w:r>
        <w:t>5. Summary and Key Takeaways</w:t>
      </w:r>
    </w:p>
    <w:p>
      <w:pPr>
        <w:pStyle w:val="ListBullet"/>
        <w:spacing w:after="40"/>
      </w:pPr>
      <w:r>
        <w:rPr>
          <w:rFonts w:ascii="Times New Roman" w:hAnsi="Times New Roman"/>
        </w:rPr>
        <w:t>One-Dimensional Infinite Potential Well Model demonstrates non-linear dependencies across boundary operational regimes.</w:t>
      </w:r>
    </w:p>
    <w:p>
      <w:pPr>
        <w:pStyle w:val="ListBullet"/>
        <w:spacing w:after="40"/>
      </w:pPr>
      <w:r>
        <w:rPr>
          <w:rFonts w:ascii="Times New Roman" w:hAnsi="Times New Roman"/>
        </w:rPr>
        <w:t>Architectural selection dictates thermal management, longevity, and overall system scalability.</w:t>
      </w:r>
    </w:p>
    <w:p>
      <w:pPr>
        <w:pStyle w:val="Heading4"/>
        <w:spacing w:before="160" w:after="80"/>
      </w:pPr>
      <w:r>
        <w:t>Formal Analytical Derivation of One-Dimensional Infinite Potential Well Model</w:t>
      </w:r>
    </w:p>
    <w:p>
      <w:pPr>
        <w:pStyle w:val="Heading3"/>
        <w:spacing w:before="240" w:after="80"/>
      </w:pPr>
      <w:r>
        <w:t>Analytical Derivation of One-Dimensional Infinite Potential Well Model</w:t>
      </w:r>
    </w:p>
    <w:p>
      <w:pPr>
        <w:spacing w:line="360" w:lineRule="auto" w:after="120"/>
        <w:jc w:val="both"/>
      </w:pPr>
      <w:r>
        <w:rPr>
          <w:rFonts w:ascii="Times New Roman" w:hAnsi="Times New Roman"/>
        </w:rPr>
        <w:t>The mathematical formulation proceeds systematically from the foundational stationary state equations through boundary constraints to the quantized spectrum.</w:t>
      </w:r>
    </w:p>
    <w:p>
      <w:pPr>
        <w:spacing w:line="360" w:lineRule="auto" w:after="120"/>
        <w:jc w:val="both"/>
      </w:pPr>
      <w:r>
        <w:rPr>
          <w:rFonts w:ascii="Times New Roman" w:hAnsi="Times New Roman"/>
        </w:rPr>
        <w:t xml:space="preserve">Consider a particle of mass </w:t>
      </w:r>
      <w:r>
        <w:rPr>
          <w:rFonts w:ascii="Cambria Math" w:hAnsi="Cambria Math"/>
          <w:i/>
        </w:rPr>
        <w:t>m</w:t>
      </w:r>
      <w:r>
        <w:rPr>
          <w:rFonts w:ascii="Times New Roman" w:hAnsi="Times New Roman"/>
        </w:rPr>
        <w:t xml:space="preserve"> confined within an infinite one-dimensional potential well defined on the spatial domain </w:t>
      </w:r>
      <w:r>
        <w:rPr>
          <w:rFonts w:ascii="Cambria Math" w:hAnsi="Cambria Math"/>
          <w:i/>
        </w:rPr>
        <w:t>0 \le x \le L</w:t>
      </w:r>
      <w:r>
        <w:rPr>
          <w:rFonts w:ascii="Times New Roman" w:hAnsi="Times New Roman"/>
        </w:rPr>
        <w:t xml:space="preserve">. Outside this domain, the potential energy </w:t>
      </w:r>
      <w:r>
        <w:rPr>
          <w:rFonts w:ascii="Cambria Math" w:hAnsi="Cambria Math"/>
          <w:i/>
        </w:rPr>
        <w:t>V(x) = ∞</w:t>
      </w:r>
      <w:r>
        <w:rPr>
          <w:rFonts w:ascii="Times New Roman" w:hAnsi="Times New Roman"/>
        </w:rPr>
        <w:t xml:space="preserve">, enforcing the boundary condition that the probability density must vanish at the walls. Inside the well where </w:t>
      </w:r>
      <w:r>
        <w:rPr>
          <w:rFonts w:ascii="Cambria Math" w:hAnsi="Cambria Math"/>
          <w:i/>
        </w:rPr>
        <w:t>V(x) = 0</w:t>
      </w:r>
      <w:r>
        <w:rPr>
          <w:rFonts w:ascii="Times New Roman" w:hAnsi="Times New Roman"/>
        </w:rPr>
        <w:t>, the time-independent Schrödinger equation simplifies to:</w:t>
      </w:r>
    </w:p>
    <w:p>
      <w:pPr>
        <w:spacing w:before="160" w:after="160"/>
        <w:jc w:val="center"/>
      </w:pPr>
      <m:oMathPara>
        <m:oMath>
          <m:f>
            <m:num>
              <m:sSup>
                <m:e>
                  <m:r>
                    <m:t>d</m:t>
                  </m:r>
                </m:e>
                <m:sup>
                  <m:r>
                    <m:t>2</m:t>
                  </m:r>
                </m:sup>
              </m:sSup>
              <m:r>
                <m:t>ψ(x)</m:t>
              </m:r>
            </m:num>
            <m:den>
              <m:r>
                <m:t>dx</m:t>
              </m:r>
              <m:r>
                <m:t>^2</m:t>
              </m:r>
            </m:den>
          </m:f>
          <m:r>
            <m:t> + </m:t>
          </m:r>
          <m:f>
            <m:num>
              <m:r>
                <m:t>2mE</m:t>
              </m:r>
            </m:num>
            <m:den>
              <m:sSup>
                <m:e>
                  <m:r>
                    <m:t>ħ</m:t>
                  </m:r>
                </m:e>
                <m:sup>
                  <m:r>
                    <m:t>2</m:t>
                  </m:r>
                </m:sup>
              </m:sSup>
            </m:den>
          </m:f>
          <m:r>
            <m:t>ψ(x) = 0</m:t>
          </m:r>
        </m:oMath>
      </m:oMathPara>
    </w:p>
    <w:p>
      <w:pPr>
        <w:spacing w:line="360" w:lineRule="auto" w:after="120"/>
        <w:jc w:val="both"/>
      </w:pPr>
      <w:r>
        <w:rPr>
          <w:rFonts w:ascii="Times New Roman" w:hAnsi="Times New Roman"/>
        </w:rPr>
        <w:t xml:space="preserve">Defining the wave vector </w:t>
      </w:r>
      <w:r>
        <w:rPr>
          <w:rFonts w:ascii="Cambria Math" w:hAnsi="Cambria Math"/>
          <w:i/>
        </w:rPr>
        <w:t>k</w:t>
      </w:r>
      <w:r>
        <w:rPr>
          <w:rFonts w:ascii="Times New Roman" w:hAnsi="Times New Roman"/>
        </w:rPr>
        <w:t xml:space="preserve"> such that </w:t>
      </w:r>
      <w:r>
        <w:rPr>
          <w:rFonts w:ascii="Cambria Math" w:hAnsi="Cambria Math"/>
          <w:i/>
        </w:rPr>
        <w:t>k^2 = \frac{2mE}{ħ^2}</w:t>
      </w:r>
      <w:r>
        <w:rPr>
          <w:rFonts w:ascii="Times New Roman" w:hAnsi="Times New Roman"/>
        </w:rPr>
        <w:t xml:space="preserve">, the governing differential equation assumes the harmonic oscillator form </w:t>
      </w:r>
      <w:r>
        <w:rPr>
          <w:rFonts w:ascii="Cambria Math" w:hAnsi="Cambria Math"/>
          <w:i/>
        </w:rPr>
        <w:t>ψ''(x) + k^2ψ(x) = 0</w:t>
      </w:r>
      <w:r>
        <w:rPr>
          <w:rFonts w:ascii="Times New Roman" w:hAnsi="Times New Roman"/>
        </w:rPr>
        <w:t>. The general solution is a linear superposition of sinusoidal eigenfunctions:</w:t>
      </w:r>
    </w:p>
    <w:p>
      <w:pPr>
        <w:spacing w:before="160" w:after="160"/>
        <w:jc w:val="center"/>
      </w:pPr>
      <m:oMathPara>
        <m:oMath>
          <m:r>
            <m:t>ψ(x) = A</m:t>
          </m:r>
          <m:r>
            <m:t>\sin(kx) + B</m:t>
          </m:r>
          <m:r>
            <m:t>\cos(kx)</m:t>
          </m:r>
        </m:oMath>
      </m:oMathPara>
    </w:p>
    <w:p>
      <w:pPr>
        <w:spacing w:line="360" w:lineRule="auto" w:after="120"/>
        <w:jc w:val="both"/>
      </w:pPr>
      <w:r>
        <w:rPr>
          <w:rFonts w:ascii="Times New Roman" w:hAnsi="Times New Roman"/>
        </w:rPr>
        <w:t xml:space="preserve">Imposing the rigid boundary condition at the left boundary wall </w:t>
      </w:r>
      <w:r>
        <w:rPr>
          <w:rFonts w:ascii="Cambria Math" w:hAnsi="Cambria Math"/>
          <w:i/>
        </w:rPr>
        <w:t>ψ(0) = 0</w:t>
      </w:r>
      <w:r>
        <w:rPr>
          <w:rFonts w:ascii="Times New Roman" w:hAnsi="Times New Roman"/>
        </w:rPr>
        <w:t xml:space="preserve">, we find </w:t>
      </w:r>
      <w:r>
        <w:rPr>
          <w:rFonts w:ascii="Cambria Math" w:hAnsi="Cambria Math"/>
          <w:i/>
        </w:rPr>
        <w:t>B = 0</w:t>
      </w:r>
      <w:r>
        <w:rPr>
          <w:rFonts w:ascii="Times New Roman" w:hAnsi="Times New Roman"/>
        </w:rPr>
        <w:t xml:space="preserve">. Applying the corresponding condition at the right boundary wall </w:t>
      </w:r>
      <w:r>
        <w:rPr>
          <w:rFonts w:ascii="Cambria Math" w:hAnsi="Cambria Math"/>
          <w:i/>
        </w:rPr>
        <w:t>ψ(L) = 0</w:t>
      </w:r>
      <w:r>
        <w:rPr>
          <w:rFonts w:ascii="Times New Roman" w:hAnsi="Times New Roman"/>
        </w:rPr>
        <w:t xml:space="preserve"> requires that </w:t>
      </w:r>
      <w:r>
        <w:rPr>
          <w:rFonts w:ascii="Cambria Math" w:hAnsi="Cambria Math"/>
          <w:i/>
        </w:rPr>
        <w:t>A\sin(kL) = 0</w:t>
      </w:r>
      <w:r>
        <w:rPr>
          <w:rFonts w:ascii="Times New Roman" w:hAnsi="Times New Roman"/>
        </w:rPr>
        <w:t>. For non-trivial solutions (</w:t>
      </w:r>
      <w:r>
        <w:rPr>
          <w:rFonts w:ascii="Cambria Math" w:hAnsi="Cambria Math"/>
          <w:i/>
        </w:rPr>
        <w:t>A \ne 0</w:t>
      </w:r>
      <w:r>
        <w:rPr>
          <w:rFonts w:ascii="Times New Roman" w:hAnsi="Times New Roman"/>
        </w:rPr>
        <w:t>), the argument must satisfy:</w:t>
      </w:r>
    </w:p>
    <w:p>
      <w:pPr>
        <w:spacing w:before="160" w:after="160"/>
        <w:jc w:val="center"/>
      </w:pPr>
      <m:oMathPara>
        <m:oMath>
          <m:r>
            <m:t>kL = nπ, </m:t>
          </m:r>
          <m:r>
            <m:t>\quad n = 1, 2, 3, </m:t>
          </m:r>
          <m:r>
            <m:t>\dots</m:t>
          </m:r>
        </m:oMath>
      </m:oMathPara>
    </w:p>
    <w:p>
      <w:pPr>
        <w:spacing w:line="360" w:lineRule="auto" w:after="120"/>
        <w:jc w:val="both"/>
      </w:pPr>
      <w:r>
        <w:rPr>
          <w:rFonts w:ascii="Times New Roman" w:hAnsi="Times New Roman"/>
        </w:rPr>
        <w:t xml:space="preserve">Normalizing the spatial wave function across the interval </w:t>
      </w:r>
      <w:r>
        <w:rPr>
          <w:rFonts w:ascii="Cambria Math" w:hAnsi="Cambria Math"/>
          <w:i/>
        </w:rPr>
        <w:t>∫_0^L |ψ(x)|^2 dx = 1</w:t>
      </w:r>
      <w:r>
        <w:rPr>
          <w:rFonts w:ascii="Times New Roman" w:hAnsi="Times New Roman"/>
        </w:rPr>
        <w:t xml:space="preserve"> determines the normalization constant </w:t>
      </w:r>
      <w:r>
        <w:rPr>
          <w:rFonts w:ascii="Cambria Math" w:hAnsi="Cambria Math"/>
          <w:i/>
        </w:rPr>
        <w:t>A = \sqrt{\frac{2}{L}}</w:t>
      </w:r>
      <w:r>
        <w:rPr>
          <w:rFonts w:ascii="Times New Roman" w:hAnsi="Times New Roman"/>
        </w:rPr>
        <w:t>. The normalized eigenfunctions are expressed as:</w:t>
      </w:r>
    </w:p>
    <w:p>
      <w:pPr>
        <w:spacing w:before="160" w:after="160"/>
        <w:jc w:val="center"/>
      </w:pPr>
      <m:oMathPara>
        <m:oMath>
          <m:sSub>
            <m:e>
              <m:r>
                <m:t>ψ</m:t>
              </m:r>
            </m:e>
            <m:sub>
              <m:r>
                <m:t>n</m:t>
              </m:r>
            </m:sub>
          </m:sSub>
          <m:r>
            <m:t>(x) = </m:t>
          </m:r>
          <m:rad>
            <m:radPr>
              <m:degHide m:val="1"/>
            </m:radPr>
            <m:deg/>
            <m:e>
              <m:f>
                <m:num>
                  <m:r>
                    <m:t>2</m:t>
                  </m:r>
                </m:num>
                <m:den>
                  <m:r>
                    <m:t>L</m:t>
                  </m:r>
                </m:den>
              </m:f>
            </m:e>
          </m:rad>
          <m:r>
            <m:t> </m:t>
          </m:r>
          <m:r>
            <m:t>\sin(</m:t>
          </m:r>
          <m:f>
            <m:num>
              <m:r>
                <m:t>nπ x</m:t>
              </m:r>
            </m:num>
            <m:den>
              <m:r>
                <m:t>L</m:t>
              </m:r>
            </m:den>
          </m:f>
          <m:r>
            <m:t>)</m:t>
          </m:r>
        </m:oMath>
      </m:oMathPara>
    </w:p>
    <w:p>
      <w:pPr>
        <w:spacing w:line="360" w:lineRule="auto" w:after="120"/>
        <w:jc w:val="both"/>
      </w:pPr>
      <w:r>
        <w:rPr>
          <w:rFonts w:ascii="Times New Roman" w:hAnsi="Times New Roman"/>
        </w:rPr>
        <w:t xml:space="preserve">Substituting </w:t>
      </w:r>
      <w:r>
        <w:rPr>
          <w:rFonts w:ascii="Cambria Math" w:hAnsi="Cambria Math"/>
          <w:i/>
        </w:rPr>
        <w:t>k = \frac{nπ}{L}</w:t>
      </w:r>
      <w:r>
        <w:rPr>
          <w:rFonts w:ascii="Times New Roman" w:hAnsi="Times New Roman"/>
        </w:rPr>
        <w:t xml:space="preserve"> back into the definition of total energy </w:t>
      </w:r>
      <w:r>
        <w:rPr>
          <w:rFonts w:ascii="Cambria Math" w:hAnsi="Cambria Math"/>
          <w:i/>
        </w:rPr>
        <w:t>E = \frac{ħ^2 k^2}{2m}</w:t>
      </w:r>
      <w:r>
        <w:rPr>
          <w:rFonts w:ascii="Times New Roman" w:hAnsi="Times New Roman"/>
        </w:rPr>
        <w:t xml:space="preserve"> yields the discrete quantized energy eigenvalues:</w:t>
      </w:r>
    </w:p>
    <w:p>
      <w:pPr>
        <w:spacing w:before="160" w:after="160"/>
        <w:jc w:val="center"/>
      </w:pPr>
      <m:oMathPara>
        <m:oMath>
          <m:sSub>
            <m:e>
              <m:r>
                <m:t>E</m:t>
              </m:r>
            </m:e>
            <m:sub>
              <m:r>
                <m:t>n</m:t>
              </m:r>
            </m:sub>
          </m:sSub>
          <m:r>
            <m:t> = </m:t>
          </m:r>
          <m:f>
            <m:num>
              <m:sSup>
                <m:e>
                  <m:r>
                    <m:t>n</m:t>
                  </m:r>
                </m:e>
                <m:sup>
                  <m:r>
                    <m:t>2</m:t>
                  </m:r>
                </m:sup>
              </m:sSup>
              <m:r>
                <m:t> π</m:t>
              </m:r>
              <m:r>
                <m:t>^2 ħ</m:t>
              </m:r>
              <m:r>
                <m:t>^2</m:t>
              </m:r>
            </m:num>
            <m:den>
              <m:r>
                <m:t>2m L</m:t>
              </m:r>
              <m:r>
                <m:t>^2</m:t>
              </m:r>
            </m:den>
          </m:f>
          <m:r>
            <m:t> = </m:t>
          </m:r>
          <m:f>
            <m:num>
              <m:sSup>
                <m:e>
                  <m:r>
                    <m:t>n</m:t>
                  </m:r>
                </m:e>
                <m:sup>
                  <m:r>
                    <m:t>2</m:t>
                  </m:r>
                </m:sup>
              </m:sSup>
              <m:r>
                <m:t> h</m:t>
              </m:r>
              <m:r>
                <m:t>^2</m:t>
              </m:r>
            </m:num>
            <m:den>
              <m:r>
                <m:t>8m L</m:t>
              </m:r>
              <m:r>
                <m:t>^2</m:t>
              </m:r>
            </m:den>
          </m:f>
          <m:r>
            <m:t>, </m:t>
          </m:r>
          <m:r>
            <m:t>\quad n = 1, 2, 3, </m:t>
          </m:r>
          <m:r>
            <m:t>\dots</m:t>
          </m:r>
        </m:oMath>
      </m:oMathPara>
    </w:p>
    <w:p>
      <w:pPr>
        <w:spacing w:line="360" w:lineRule="auto" w:after="120"/>
        <w:jc w:val="both"/>
      </w:pPr>
      <w:r>
        <w:rPr>
          <w:rFonts w:ascii="Times New Roman" w:hAnsi="Times New Roman"/>
          <w:b/>
        </w:rPr>
        <w:t>Physical Interpretation:</w:t>
      </w:r>
      <w:r>
        <w:rPr>
          <w:rFonts w:ascii="Times New Roman" w:hAnsi="Times New Roman"/>
        </w:rPr>
        <w:t xml:space="preserve"> The emergence of discrete energy levels </w:t>
      </w:r>
      <w:r>
        <w:rPr>
          <w:rFonts w:ascii="Cambria Math" w:hAnsi="Cambria Math"/>
          <w:i/>
        </w:rPr>
        <w:t>E_n</w:t>
      </w:r>
      <w:r>
        <w:rPr>
          <w:rFonts w:ascii="Times New Roman" w:hAnsi="Times New Roman"/>
        </w:rPr>
        <w:t xml:space="preserve"> is a direct consequence of spatial boundary confinement, demonstrating that quantization is not an ad-hoc postulate but an intrinsic eigenvalue property of bounded wave equations.</w:t>
      </w:r>
    </w:p>
    <w:p>
      <w:pPr>
        <w:spacing w:before="280" w:after="80"/>
        <w:jc w:val="center"/>
      </w:pPr>
      <w:r>
        <w:drawing>
          <wp:inline xmlns:a="http://schemas.openxmlformats.org/drawingml/2006/main" xmlns:pic="http://schemas.openxmlformats.org/drawingml/2006/picture">
            <wp:extent cx="5029200" cy="2965443"/>
            <wp:docPr id="14" name="Picture 14"/>
            <wp:cNvGraphicFramePr>
              <a:graphicFrameLocks noChangeAspect="1"/>
            </wp:cNvGraphicFramePr>
            <a:graphic>
              <a:graphicData uri="http://schemas.openxmlformats.org/drawingml/2006/picture">
                <pic:pic>
                  <pic:nvPicPr>
                    <pic:cNvPr id="0" name="chart_3e089f36.png"/>
                    <pic:cNvPicPr/>
                  </pic:nvPicPr>
                  <pic:blipFill>
                    <a:blip r:embed="rId23"/>
                    <a:stretch>
                      <a:fillRect/>
                    </a:stretch>
                  </pic:blipFill>
                  <pic:spPr>
                    <a:xfrm>
                      <a:off x="0" y="0"/>
                      <a:ext cx="5029200" cy="2965443"/>
                    </a:xfrm>
                    <a:prstGeom prst="rect"/>
                  </pic:spPr>
                </pic:pic>
              </a:graphicData>
            </a:graphic>
          </wp:inline>
        </w:drawing>
      </w:r>
    </w:p>
    <w:p>
      <w:pPr>
        <w:spacing w:after="280"/>
        <w:jc w:val="center"/>
      </w:pPr>
      <w:r>
        <w:rPr>
          <w:rFonts w:ascii="Times New Roman" w:hAnsi="Times New Roman"/>
          <w:b/>
          <w:i/>
          <w:color w:val="334155"/>
          <w:sz w:val="20"/>
        </w:rPr>
        <w:t>Figure 1.14 — Technical Schematic and Operational Characteristics of Engineering Physics: Quantum Mechanics</w:t>
      </w:r>
    </w:p>
    <w:p>
      <w:pPr>
        <w:spacing w:after="240"/>
      </w:pPr>
    </w:p>
    <w:p>
      <w:pPr>
        <w:pStyle w:val="Heading3"/>
        <w:spacing w:before="280" w:after="120"/>
      </w:pPr>
      <w:r>
        <w:t>Boundary Conditions and Wave Function Normalization</w:t>
      </w:r>
    </w:p>
    <w:p>
      <w:pPr>
        <w:pStyle w:val="Heading3"/>
        <w:spacing w:before="240" w:after="80"/>
      </w:pPr>
      <w:r>
        <w:t>Learning Objectives</w:t>
      </w:r>
    </w:p>
    <w:p>
      <w:pPr>
        <w:pStyle w:val="ListNumber"/>
        <w:spacing w:after="40"/>
      </w:pPr>
      <w:r>
        <w:rPr>
          <w:rFonts w:ascii="Times New Roman" w:hAnsi="Times New Roman"/>
        </w:rPr>
        <w:t>Understand the theoretical foundations and core dynamics of Boundary Conditions and Wave Function Normalization.</w:t>
      </w:r>
    </w:p>
    <w:p>
      <w:pPr>
        <w:pStyle w:val="ListNumber"/>
        <w:spacing w:after="40"/>
      </w:pPr>
      <w:r>
        <w:rPr>
          <w:rFonts w:ascii="Times New Roman" w:hAnsi="Times New Roman"/>
        </w:rPr>
        <w:t>Formulate governing quantitative relationships and state equations.</w:t>
      </w:r>
    </w:p>
    <w:p>
      <w:pPr>
        <w:pStyle w:val="ListNumber"/>
        <w:spacing w:after="40"/>
      </w:pPr>
      <w:r>
        <w:rPr>
          <w:rFonts w:ascii="Times New Roman" w:hAnsi="Times New Roman"/>
        </w:rPr>
        <w:t>Critically analyze industrial trade-offs, operational constraints, and failure modes.</w:t>
      </w:r>
    </w:p>
    <w:p>
      <w:pPr>
        <w:pStyle w:val="Heading3"/>
        <w:spacing w:before="240" w:after="80"/>
      </w:pPr>
      <w:r>
        <w:t>1. Introduction and Historical Context</w:t>
      </w:r>
    </w:p>
    <w:p>
      <w:pPr>
        <w:spacing w:line="360" w:lineRule="auto" w:after="120"/>
        <w:jc w:val="both"/>
      </w:pPr>
      <w:r>
        <w:rPr>
          <w:rFonts w:ascii="Times New Roman" w:hAnsi="Times New Roman"/>
        </w:rPr>
        <w:t>The development of Boundary Conditions and Wave Function Normalization represents a foundational milestone in contemporary technical systems. Historically developed to address operational inefficiencies, early architectures prioritized basic functionality over thermodynamic or computational efficiency. Modern methodologies integrate rigorous closed-loop optimization to achieve optimal performance metrics.</w:t>
      </w:r>
    </w:p>
    <w:p>
      <w:pPr>
        <w:pStyle w:val="Heading3"/>
        <w:spacing w:before="240" w:after="80"/>
      </w:pPr>
      <w:r>
        <w:t>2. Theoretical Foundations and Analytical Formulation</w:t>
      </w:r>
    </w:p>
    <w:p>
      <w:pPr>
        <w:spacing w:line="360" w:lineRule="auto" w:after="120"/>
        <w:jc w:val="both"/>
      </w:pPr>
      <w:r>
        <w:rPr>
          <w:rFonts w:ascii="Times New Roman" w:hAnsi="Times New Roman"/>
        </w:rPr>
        <w:t>At its core, Boundary Conditions and Wave Function Normalization operates under established physical and empirical principles. The dynamic behavior can be modeled using the generalized governing equation:</w:t>
      </w:r>
    </w:p>
    <w:p>
      <w:pPr>
        <w:spacing w:before="160" w:after="160"/>
        <w:jc w:val="center"/>
      </w:pPr>
      <m:oMathPara>
        <m:oMath>
          <m:f>
            <m:num>
              <m:r>
                <m:t>dΨ</m:t>
              </m:r>
            </m:num>
            <m:den>
              <m:r>
                <m:t>dt</m:t>
              </m:r>
            </m:den>
          </m:f>
          <m:r>
            <m:t> + ∇ · (v Ψ) = κ ∇</m:t>
          </m:r>
          <m:r>
            <m:t>^2 Ψ + </m:t>
          </m:r>
          <m:r>
            <m:t>\dot</m:t>
          </m:r>
          <m:r>
            <m:t>{S</m:t>
          </m:r>
          <m:r>
            <m:t>}</m:t>
          </m:r>
          <m:r>
            <m:t>_</m:t>
          </m:r>
          <m:r>
            <m:t>{gen</m:t>
          </m:r>
          <m:r>
            <m:t>}</m:t>
          </m:r>
        </m:oMath>
      </m:oMathPara>
    </w:p>
    <w:p>
      <w:pPr>
        <w:spacing w:line="360" w:lineRule="auto" w:after="120"/>
        <w:jc w:val="both"/>
      </w:pPr>
      <w:r>
        <w:rPr>
          <w:rFonts w:ascii="Times New Roman" w:hAnsi="Times New Roman"/>
        </w:rPr>
        <w:t>Where:</w:t>
      </w:r>
    </w:p>
    <w:p>
      <w:pPr>
        <w:pStyle w:val="ListBullet"/>
        <w:spacing w:after="40"/>
      </w:pPr>
      <w:r>
        <w:rPr>
          <w:rFonts w:ascii="Cambria Math" w:hAnsi="Cambria Math"/>
          <w:i/>
        </w:rPr>
        <w:t>Ψ</w:t>
      </w:r>
      <w:r>
        <w:rPr>
          <w:rFonts w:ascii="Times New Roman" w:hAnsi="Times New Roman"/>
        </w:rPr>
        <w:t xml:space="preserve"> represents the state variable of the system.</w:t>
      </w:r>
    </w:p>
    <w:p>
      <w:pPr>
        <w:pStyle w:val="ListBullet"/>
        <w:spacing w:after="40"/>
      </w:pPr>
      <w:r>
        <w:rPr>
          <w:rFonts w:ascii="Cambria Math" w:hAnsi="Cambria Math"/>
          <w:i/>
        </w:rPr>
        <w:t>v</w:t>
      </w:r>
      <w:r>
        <w:rPr>
          <w:rFonts w:ascii="Times New Roman" w:hAnsi="Times New Roman"/>
        </w:rPr>
        <w:t xml:space="preserve"> denotes the convective velocity field vector.</w:t>
      </w:r>
    </w:p>
    <w:p>
      <w:pPr>
        <w:pStyle w:val="ListBullet"/>
        <w:spacing w:after="40"/>
      </w:pPr>
      <w:r>
        <w:rPr>
          <w:rFonts w:ascii="Cambria Math" w:hAnsi="Cambria Math"/>
          <w:i/>
        </w:rPr>
        <w:t>κ</w:t>
      </w:r>
      <w:r>
        <w:rPr>
          <w:rFonts w:ascii="Times New Roman" w:hAnsi="Times New Roman"/>
        </w:rPr>
        <w:t xml:space="preserve"> is the effective transport diffusivity coefficient.</w:t>
      </w:r>
    </w:p>
    <w:p>
      <w:pPr>
        <w:pStyle w:val="ListBullet"/>
        <w:spacing w:after="40"/>
      </w:pPr>
      <w:r>
        <w:rPr>
          <w:rFonts w:ascii="Cambria Math" w:hAnsi="Cambria Math"/>
          <w:i/>
        </w:rPr>
        <w:t>\dot{S}_{gen}</w:t>
      </w:r>
      <w:r>
        <w:rPr>
          <w:rFonts w:ascii="Times New Roman" w:hAnsi="Times New Roman"/>
        </w:rPr>
        <w:t xml:space="preserve"> is the net volumetric internal generation rate.</w:t>
      </w:r>
    </w:p>
    <w:p>
      <w:pPr>
        <w:pStyle w:val="Heading3"/>
        <w:spacing w:before="240" w:after="80"/>
      </w:pPr>
      <w:r>
        <w:t>3. Comparison of Core Architectures</w:t>
      </w:r>
    </w:p>
    <w:p>
      <w:pPr>
        <w:spacing w:line="360" w:lineRule="auto" w:after="120"/>
        <w:jc w:val="both"/>
      </w:pPr>
      <w:r>
        <w:rPr>
          <w:rFonts w:ascii="Times New Roman" w:hAnsi="Times New Roman"/>
        </w:rPr>
        <w:t>The table below contrasts standard configurations used across modern academic and commercial implementations:</w:t>
      </w:r>
    </w:p>
    <w:tbl>
      <w:tblPr>
        <w:tblW w:type="auto" w:w="0"/>
        <w:jc w:val="center"/>
        <w:tblLayout w:type="autofit"/>
        <w:tblLook w:firstColumn="1" w:firstRow="1" w:lastColumn="0" w:lastRow="0" w:noHBand="0" w:noVBand="1" w:val="04A0"/>
        <w:tblBorders>
          <w:top w:val="single" w:sz="6" w:space="0" w:color="CBD5E1"/>
          <w:left w:val="none"/>
          <w:bottom w:val="single" w:sz="8" w:space="0" w:color="475569"/>
          <w:right w:val="none"/>
          <w:insideH w:val="single" w:sz="4" w:space="0" w:color="E2E8F0"/>
          <w:insideV w:val="none"/>
        </w:tblBorders>
      </w:tblPr>
      <w:tblGrid>
        <w:gridCol w:w="2340"/>
        <w:gridCol w:w="2340"/>
        <w:gridCol w:w="2340"/>
        <w:gridCol w:w="2340"/>
      </w:tblGrid>
      <w:tr>
        <w:tc>
          <w:tcPr>
            <w:tcW w:type="dxa" w:w="2340"/>
            <w:vAlign w:val="center"/>
            <w:shd w:fill="1E3A8A"/>
          </w:tcPr>
          <w:p>
            <w:pPr>
              <w:spacing w:before="80" w:after="80"/>
            </w:pPr>
            <w:r>
              <w:rPr>
                <w:rFonts w:ascii="Times New Roman" w:hAnsi="Times New Roman"/>
                <w:b/>
                <w:color w:val="FFFFFF"/>
                <w:sz w:val="22"/>
              </w:rPr>
              <w:t>Parameter</w:t>
            </w:r>
          </w:p>
        </w:tc>
        <w:tc>
          <w:tcPr>
            <w:tcW w:type="dxa" w:w="2340"/>
            <w:vAlign w:val="center"/>
            <w:shd w:fill="1E3A8A"/>
          </w:tcPr>
          <w:p>
            <w:pPr>
              <w:spacing w:before="80" w:after="80"/>
            </w:pPr>
            <w:r>
              <w:rPr>
                <w:rFonts w:ascii="Times New Roman" w:hAnsi="Times New Roman"/>
                <w:b/>
                <w:color w:val="FFFFFF"/>
                <w:sz w:val="22"/>
              </w:rPr>
              <w:t>Configuration Alpha</w:t>
            </w:r>
          </w:p>
        </w:tc>
        <w:tc>
          <w:tcPr>
            <w:tcW w:type="dxa" w:w="2340"/>
            <w:vAlign w:val="center"/>
            <w:shd w:fill="1E3A8A"/>
          </w:tcPr>
          <w:p>
            <w:pPr>
              <w:spacing w:before="80" w:after="80"/>
            </w:pPr>
            <w:r>
              <w:rPr>
                <w:rFonts w:ascii="Times New Roman" w:hAnsi="Times New Roman"/>
                <w:b/>
                <w:color w:val="FFFFFF"/>
                <w:sz w:val="22"/>
              </w:rPr>
              <w:t>Configuration Beta</w:t>
            </w:r>
          </w:p>
        </w:tc>
        <w:tc>
          <w:tcPr>
            <w:tcW w:type="dxa" w:w="2340"/>
            <w:vAlign w:val="center"/>
            <w:shd w:fill="1E3A8A"/>
          </w:tcPr>
          <w:p>
            <w:pPr>
              <w:spacing w:before="80" w:after="80"/>
            </w:pPr>
            <w:r>
              <w:rPr>
                <w:rFonts w:ascii="Times New Roman" w:hAnsi="Times New Roman"/>
                <w:b/>
                <w:color w:val="FFFFFF"/>
                <w:sz w:val="22"/>
              </w:rPr>
              <w:t>Configuration Gamma</w:t>
            </w:r>
          </w:p>
        </w:tc>
      </w:tr>
      <w:tr>
        <w:tc>
          <w:tcPr>
            <w:tcW w:type="dxa" w:w="2340"/>
            <w:vAlign w:val="center"/>
            <w:shd w:fill="F8FAFC"/>
          </w:tcPr>
          <w:p>
            <w:pPr>
              <w:spacing w:before="80" w:after="80"/>
            </w:pPr>
            <w:r>
              <w:rPr>
                <w:rFonts w:ascii="Times New Roman" w:hAnsi="Times New Roman"/>
                <w:sz w:val="21"/>
              </w:rPr>
              <w:t>Operational Efficiency</w:t>
            </w:r>
          </w:p>
        </w:tc>
        <w:tc>
          <w:tcPr>
            <w:tcW w:type="dxa" w:w="2340"/>
            <w:vAlign w:val="center"/>
            <w:shd w:fill="F8FAFC"/>
          </w:tcPr>
          <w:p>
            <w:pPr>
              <w:spacing w:before="80" w:after="80"/>
            </w:pPr>
            <w:r>
              <w:rPr>
                <w:rFonts w:ascii="Times New Roman" w:hAnsi="Times New Roman"/>
                <w:sz w:val="21"/>
              </w:rPr>
              <w:t>42% - 48%</w:t>
            </w:r>
          </w:p>
        </w:tc>
        <w:tc>
          <w:tcPr>
            <w:tcW w:type="dxa" w:w="2340"/>
            <w:vAlign w:val="center"/>
            <w:shd w:fill="F8FAFC"/>
          </w:tcPr>
          <w:p>
            <w:pPr>
              <w:spacing w:before="80" w:after="80"/>
            </w:pPr>
            <w:r>
              <w:rPr>
                <w:rFonts w:ascii="Times New Roman" w:hAnsi="Times New Roman"/>
                <w:sz w:val="21"/>
              </w:rPr>
              <w:t>55% - 62%</w:t>
            </w:r>
          </w:p>
        </w:tc>
        <w:tc>
          <w:tcPr>
            <w:tcW w:type="dxa" w:w="2340"/>
            <w:vAlign w:val="center"/>
            <w:shd w:fill="F8FAFC"/>
          </w:tcPr>
          <w:p>
            <w:pPr>
              <w:spacing w:before="80" w:after="80"/>
            </w:pPr>
            <w:r>
              <w:rPr>
                <w:rFonts w:ascii="Times New Roman" w:hAnsi="Times New Roman"/>
                <w:sz w:val="21"/>
              </w:rPr>
              <w:t>68% - 74%</w:t>
            </w:r>
          </w:p>
        </w:tc>
      </w:tr>
      <w:tr>
        <w:tc>
          <w:tcPr>
            <w:tcW w:type="dxa" w:w="2340"/>
            <w:vAlign w:val="center"/>
          </w:tcPr>
          <w:p>
            <w:pPr>
              <w:spacing w:before="80" w:after="80"/>
            </w:pPr>
            <w:r>
              <w:rPr>
                <w:rFonts w:ascii="Times New Roman" w:hAnsi="Times New Roman"/>
                <w:sz w:val="21"/>
              </w:rPr>
              <w:t>Temperature Range</w:t>
            </w:r>
          </w:p>
        </w:tc>
        <w:tc>
          <w:tcPr>
            <w:tcW w:type="dxa" w:w="2340"/>
            <w:vAlign w:val="center"/>
          </w:tcPr>
          <w:p>
            <w:pPr>
              <w:spacing w:before="80" w:after="80"/>
            </w:pPr>
            <w:r>
              <w:rPr>
                <w:rFonts w:ascii="Times New Roman" w:hAnsi="Times New Roman"/>
                <w:sz w:val="21"/>
              </w:rPr>
              <w:t>60°C - 80°C</w:t>
            </w:r>
          </w:p>
        </w:tc>
        <w:tc>
          <w:tcPr>
            <w:tcW w:type="dxa" w:w="2340"/>
            <w:vAlign w:val="center"/>
          </w:tcPr>
          <w:p>
            <w:pPr>
              <w:spacing w:before="80" w:after="80"/>
            </w:pPr>
            <w:r>
              <w:rPr>
                <w:rFonts w:ascii="Times New Roman" w:hAnsi="Times New Roman"/>
                <w:sz w:val="21"/>
              </w:rPr>
              <w:t>120°C - 180°C</w:t>
            </w:r>
          </w:p>
        </w:tc>
        <w:tc>
          <w:tcPr>
            <w:tcW w:type="dxa" w:w="2340"/>
            <w:vAlign w:val="center"/>
          </w:tcPr>
          <w:p>
            <w:pPr>
              <w:spacing w:before="80" w:after="80"/>
            </w:pPr>
            <w:r>
              <w:rPr>
                <w:rFonts w:ascii="Times New Roman" w:hAnsi="Times New Roman"/>
                <w:sz w:val="21"/>
              </w:rPr>
              <w:t>600°C - 800°C</w:t>
            </w:r>
          </w:p>
        </w:tc>
      </w:tr>
      <w:tr>
        <w:tc>
          <w:tcPr>
            <w:tcW w:type="dxa" w:w="2340"/>
            <w:vAlign w:val="center"/>
            <w:shd w:fill="F8FAFC"/>
          </w:tcPr>
          <w:p>
            <w:pPr>
              <w:spacing w:before="80" w:after="80"/>
            </w:pPr>
            <w:r>
              <w:rPr>
                <w:rFonts w:ascii="Times New Roman" w:hAnsi="Times New Roman"/>
                <w:sz w:val="21"/>
              </w:rPr>
              <w:t>Response Latency</w:t>
            </w:r>
          </w:p>
        </w:tc>
        <w:tc>
          <w:tcPr>
            <w:tcW w:type="dxa" w:w="2340"/>
            <w:vAlign w:val="center"/>
            <w:shd w:fill="F8FAFC"/>
          </w:tcPr>
          <w:p>
            <w:pPr>
              <w:spacing w:before="80" w:after="80"/>
            </w:pPr>
            <w:r>
              <w:rPr>
                <w:rFonts w:ascii="Times New Roman" w:hAnsi="Times New Roman"/>
                <w:sz w:val="21"/>
              </w:rPr>
              <w:t>&lt; 5 ms</w:t>
            </w:r>
          </w:p>
        </w:tc>
        <w:tc>
          <w:tcPr>
            <w:tcW w:type="dxa" w:w="2340"/>
            <w:vAlign w:val="center"/>
            <w:shd w:fill="F8FAFC"/>
          </w:tcPr>
          <w:p>
            <w:pPr>
              <w:spacing w:before="80" w:after="80"/>
            </w:pPr>
            <w:r>
              <w:rPr>
                <w:rFonts w:ascii="Times New Roman" w:hAnsi="Times New Roman"/>
                <w:sz w:val="21"/>
              </w:rPr>
              <w:t>25 ms</w:t>
            </w:r>
          </w:p>
        </w:tc>
        <w:tc>
          <w:tcPr>
            <w:tcW w:type="dxa" w:w="2340"/>
            <w:vAlign w:val="center"/>
            <w:shd w:fill="F8FAFC"/>
          </w:tcPr>
          <w:p>
            <w:pPr>
              <w:spacing w:before="80" w:after="80"/>
            </w:pPr>
            <w:r>
              <w:rPr>
                <w:rFonts w:ascii="Times New Roman" w:hAnsi="Times New Roman"/>
                <w:sz w:val="21"/>
              </w:rPr>
              <w:t>&gt; 100 ms</w:t>
            </w:r>
          </w:p>
        </w:tc>
      </w:tr>
      <w:tr>
        <w:tc>
          <w:tcPr>
            <w:tcW w:type="dxa" w:w="2340"/>
            <w:vAlign w:val="center"/>
          </w:tcPr>
          <w:p>
            <w:pPr>
              <w:spacing w:before="80" w:after="80"/>
            </w:pPr>
            <w:r>
              <w:rPr>
                <w:rFonts w:ascii="Times New Roman" w:hAnsi="Times New Roman"/>
                <w:sz w:val="21"/>
              </w:rPr>
              <w:t>Capital Cost Index</w:t>
            </w:r>
          </w:p>
        </w:tc>
        <w:tc>
          <w:tcPr>
            <w:tcW w:type="dxa" w:w="2340"/>
            <w:vAlign w:val="center"/>
          </w:tcPr>
          <w:p>
            <w:pPr>
              <w:spacing w:before="80" w:after="80"/>
            </w:pPr>
            <w:r>
              <w:rPr>
                <w:rFonts w:ascii="Times New Roman" w:hAnsi="Times New Roman"/>
                <w:sz w:val="21"/>
              </w:rPr>
              <w:t>Moderate</w:t>
            </w:r>
          </w:p>
        </w:tc>
        <w:tc>
          <w:tcPr>
            <w:tcW w:type="dxa" w:w="2340"/>
            <w:vAlign w:val="center"/>
          </w:tcPr>
          <w:p>
            <w:pPr>
              <w:spacing w:before="80" w:after="80"/>
            </w:pPr>
            <w:r>
              <w:rPr>
                <w:rFonts w:ascii="Times New Roman" w:hAnsi="Times New Roman"/>
                <w:sz w:val="21"/>
              </w:rPr>
              <w:t>High</w:t>
            </w:r>
          </w:p>
        </w:tc>
        <w:tc>
          <w:tcPr>
            <w:tcW w:type="dxa" w:w="2340"/>
            <w:vAlign w:val="center"/>
          </w:tcPr>
          <w:p>
            <w:pPr>
              <w:spacing w:before="80" w:after="80"/>
            </w:pPr>
            <w:r>
              <w:rPr>
                <w:rFonts w:ascii="Times New Roman" w:hAnsi="Times New Roman"/>
                <w:sz w:val="21"/>
              </w:rPr>
              <w:t>Premium</w:t>
            </w:r>
          </w:p>
        </w:tc>
      </w:tr>
      <w:tr>
        <w:tc>
          <w:tcPr>
            <w:tcW w:type="dxa" w:w="2340"/>
            <w:vAlign w:val="center"/>
            <w:shd w:fill="F8FAFC"/>
          </w:tcPr>
          <w:p>
            <w:pPr>
              <w:spacing w:before="80" w:after="80"/>
            </w:pPr>
            <w:r>
              <w:rPr>
                <w:rFonts w:ascii="Times New Roman" w:hAnsi="Times New Roman"/>
                <w:sz w:val="21"/>
              </w:rPr>
              <w:t>Durability Lifecycle</w:t>
            </w:r>
          </w:p>
        </w:tc>
        <w:tc>
          <w:tcPr>
            <w:tcW w:type="dxa" w:w="2340"/>
            <w:vAlign w:val="center"/>
            <w:shd w:fill="F8FAFC"/>
          </w:tcPr>
          <w:p>
            <w:pPr>
              <w:spacing w:before="80" w:after="80"/>
            </w:pPr>
            <w:r>
              <w:rPr>
                <w:rFonts w:ascii="Times New Roman" w:hAnsi="Times New Roman"/>
                <w:sz w:val="21"/>
              </w:rPr>
              <w:t>15,000 Hours</w:t>
            </w:r>
          </w:p>
        </w:tc>
        <w:tc>
          <w:tcPr>
            <w:tcW w:type="dxa" w:w="2340"/>
            <w:vAlign w:val="center"/>
            <w:shd w:fill="F8FAFC"/>
          </w:tcPr>
          <w:p>
            <w:pPr>
              <w:spacing w:before="80" w:after="80"/>
            </w:pPr>
            <w:r>
              <w:rPr>
                <w:rFonts w:ascii="Times New Roman" w:hAnsi="Times New Roman"/>
                <w:sz w:val="21"/>
              </w:rPr>
              <w:t>40,000 Hours</w:t>
            </w:r>
          </w:p>
        </w:tc>
        <w:tc>
          <w:tcPr>
            <w:tcW w:type="dxa" w:w="2340"/>
            <w:vAlign w:val="center"/>
            <w:shd w:fill="F8FAFC"/>
          </w:tcPr>
          <w:p>
            <w:pPr>
              <w:spacing w:before="80" w:after="80"/>
            </w:pPr>
            <w:r>
              <w:rPr>
                <w:rFonts w:ascii="Times New Roman" w:hAnsi="Times New Roman"/>
                <w:sz w:val="21"/>
              </w:rPr>
              <w:t>80,000 Hours</w:t>
            </w:r>
          </w:p>
        </w:tc>
      </w:tr>
    </w:tbl>
    <w:p>
      <w:pPr>
        <w:spacing w:after="160"/>
      </w:pPr>
    </w:p>
    <w:p>
      <w:pPr>
        <w:pStyle w:val="Heading3"/>
        <w:spacing w:before="240" w:after="80"/>
      </w:pPr>
      <w:r>
        <w:t>5. Summary and Key Takeaways</w:t>
      </w:r>
    </w:p>
    <w:p>
      <w:pPr>
        <w:pStyle w:val="ListBullet"/>
        <w:spacing w:after="40"/>
      </w:pPr>
      <w:r>
        <w:rPr>
          <w:rFonts w:ascii="Times New Roman" w:hAnsi="Times New Roman"/>
        </w:rPr>
        <w:t>Boundary Conditions and Wave Function Normalization demonstrates non-linear dependencies across boundary operational regimes.</w:t>
      </w:r>
    </w:p>
    <w:p>
      <w:pPr>
        <w:pStyle w:val="ListBullet"/>
        <w:spacing w:after="40"/>
      </w:pPr>
      <w:r>
        <w:rPr>
          <w:rFonts w:ascii="Times New Roman" w:hAnsi="Times New Roman"/>
        </w:rPr>
        <w:t>Architectural selection dictates thermal management, longevity, and overall system scalability.</w:t>
      </w:r>
    </w:p>
    <w:p>
      <w:pPr>
        <w:pStyle w:val="Heading4"/>
        <w:spacing w:before="160" w:after="80"/>
      </w:pPr>
      <w:r>
        <w:t>Formal Analytical Derivation of Boundary Conditions and Wave Function Normalization</w:t>
      </w:r>
    </w:p>
    <w:p>
      <w:pPr>
        <w:pStyle w:val="Heading3"/>
        <w:spacing w:before="240" w:after="80"/>
      </w:pPr>
      <w:r>
        <w:t>Analytical Derivation of Boundary Conditions and Wave Function Normalization</w:t>
      </w:r>
    </w:p>
    <w:p>
      <w:pPr>
        <w:spacing w:line="360" w:lineRule="auto" w:after="120"/>
        <w:jc w:val="both"/>
      </w:pPr>
      <w:r>
        <w:rPr>
          <w:rFonts w:ascii="Times New Roman" w:hAnsi="Times New Roman"/>
        </w:rPr>
        <w:t>The mathematical formulation proceeds systematically from the foundational stationary state equations through boundary constraints to the quantized spectrum.</w:t>
      </w:r>
    </w:p>
    <w:p>
      <w:pPr>
        <w:spacing w:line="360" w:lineRule="auto" w:after="120"/>
        <w:jc w:val="both"/>
      </w:pPr>
      <w:r>
        <w:rPr>
          <w:rFonts w:ascii="Times New Roman" w:hAnsi="Times New Roman"/>
        </w:rPr>
        <w:t xml:space="preserve">Consider a particle of mass </w:t>
      </w:r>
      <w:r>
        <w:rPr>
          <w:rFonts w:ascii="Cambria Math" w:hAnsi="Cambria Math"/>
          <w:i/>
        </w:rPr>
        <w:t>m</w:t>
      </w:r>
      <w:r>
        <w:rPr>
          <w:rFonts w:ascii="Times New Roman" w:hAnsi="Times New Roman"/>
        </w:rPr>
        <w:t xml:space="preserve"> confined within an infinite one-dimensional potential well defined on the spatial domain </w:t>
      </w:r>
      <w:r>
        <w:rPr>
          <w:rFonts w:ascii="Cambria Math" w:hAnsi="Cambria Math"/>
          <w:i/>
        </w:rPr>
        <w:t>0 \le x \le L</w:t>
      </w:r>
      <w:r>
        <w:rPr>
          <w:rFonts w:ascii="Times New Roman" w:hAnsi="Times New Roman"/>
        </w:rPr>
        <w:t xml:space="preserve">. Outside this domain, the potential energy </w:t>
      </w:r>
      <w:r>
        <w:rPr>
          <w:rFonts w:ascii="Cambria Math" w:hAnsi="Cambria Math"/>
          <w:i/>
        </w:rPr>
        <w:t>V(x) = ∞</w:t>
      </w:r>
      <w:r>
        <w:rPr>
          <w:rFonts w:ascii="Times New Roman" w:hAnsi="Times New Roman"/>
        </w:rPr>
        <w:t xml:space="preserve">, enforcing the boundary condition that the probability density must vanish at the walls. Inside the well where </w:t>
      </w:r>
      <w:r>
        <w:rPr>
          <w:rFonts w:ascii="Cambria Math" w:hAnsi="Cambria Math"/>
          <w:i/>
        </w:rPr>
        <w:t>V(x) = 0</w:t>
      </w:r>
      <w:r>
        <w:rPr>
          <w:rFonts w:ascii="Times New Roman" w:hAnsi="Times New Roman"/>
        </w:rPr>
        <w:t>, the time-independent Schrödinger equation simplifies to:</w:t>
      </w:r>
    </w:p>
    <w:p>
      <w:pPr>
        <w:spacing w:before="160" w:after="160"/>
        <w:jc w:val="center"/>
      </w:pPr>
      <m:oMathPara>
        <m:oMath>
          <m:f>
            <m:num>
              <m:sSup>
                <m:e>
                  <m:r>
                    <m:t>d</m:t>
                  </m:r>
                </m:e>
                <m:sup>
                  <m:r>
                    <m:t>2</m:t>
                  </m:r>
                </m:sup>
              </m:sSup>
              <m:r>
                <m:t>ψ(x)</m:t>
              </m:r>
            </m:num>
            <m:den>
              <m:r>
                <m:t>dx</m:t>
              </m:r>
              <m:r>
                <m:t>^2</m:t>
              </m:r>
            </m:den>
          </m:f>
          <m:r>
            <m:t> + </m:t>
          </m:r>
          <m:f>
            <m:num>
              <m:r>
                <m:t>2mE</m:t>
              </m:r>
            </m:num>
            <m:den>
              <m:sSup>
                <m:e>
                  <m:r>
                    <m:t>ħ</m:t>
                  </m:r>
                </m:e>
                <m:sup>
                  <m:r>
                    <m:t>2</m:t>
                  </m:r>
                </m:sup>
              </m:sSup>
            </m:den>
          </m:f>
          <m:r>
            <m:t>ψ(x) = 0</m:t>
          </m:r>
        </m:oMath>
      </m:oMathPara>
    </w:p>
    <w:p>
      <w:pPr>
        <w:spacing w:line="360" w:lineRule="auto" w:after="120"/>
        <w:jc w:val="both"/>
      </w:pPr>
      <w:r>
        <w:rPr>
          <w:rFonts w:ascii="Times New Roman" w:hAnsi="Times New Roman"/>
        </w:rPr>
        <w:t xml:space="preserve">Defining the wave vector </w:t>
      </w:r>
      <w:r>
        <w:rPr>
          <w:rFonts w:ascii="Cambria Math" w:hAnsi="Cambria Math"/>
          <w:i/>
        </w:rPr>
        <w:t>k</w:t>
      </w:r>
      <w:r>
        <w:rPr>
          <w:rFonts w:ascii="Times New Roman" w:hAnsi="Times New Roman"/>
        </w:rPr>
        <w:t xml:space="preserve"> such that </w:t>
      </w:r>
      <w:r>
        <w:rPr>
          <w:rFonts w:ascii="Cambria Math" w:hAnsi="Cambria Math"/>
          <w:i/>
        </w:rPr>
        <w:t>k^2 = \frac{2mE}{ħ^2}</w:t>
      </w:r>
      <w:r>
        <w:rPr>
          <w:rFonts w:ascii="Times New Roman" w:hAnsi="Times New Roman"/>
        </w:rPr>
        <w:t xml:space="preserve">, the governing differential equation assumes the harmonic oscillator form </w:t>
      </w:r>
      <w:r>
        <w:rPr>
          <w:rFonts w:ascii="Cambria Math" w:hAnsi="Cambria Math"/>
          <w:i/>
        </w:rPr>
        <w:t>ψ''(x) + k^2ψ(x) = 0</w:t>
      </w:r>
      <w:r>
        <w:rPr>
          <w:rFonts w:ascii="Times New Roman" w:hAnsi="Times New Roman"/>
        </w:rPr>
        <w:t>. The general solution is a linear superposition of sinusoidal eigenfunctions:</w:t>
      </w:r>
    </w:p>
    <w:p>
      <w:pPr>
        <w:spacing w:before="160" w:after="160"/>
        <w:jc w:val="center"/>
      </w:pPr>
      <m:oMathPara>
        <m:oMath>
          <m:r>
            <m:t>ψ(x) = A</m:t>
          </m:r>
          <m:r>
            <m:t>\sin(kx) + B</m:t>
          </m:r>
          <m:r>
            <m:t>\cos(kx)</m:t>
          </m:r>
        </m:oMath>
      </m:oMathPara>
    </w:p>
    <w:p>
      <w:pPr>
        <w:spacing w:line="360" w:lineRule="auto" w:after="120"/>
        <w:jc w:val="both"/>
      </w:pPr>
      <w:r>
        <w:rPr>
          <w:rFonts w:ascii="Times New Roman" w:hAnsi="Times New Roman"/>
        </w:rPr>
        <w:t xml:space="preserve">Imposing the rigid boundary condition at the left boundary wall </w:t>
      </w:r>
      <w:r>
        <w:rPr>
          <w:rFonts w:ascii="Cambria Math" w:hAnsi="Cambria Math"/>
          <w:i/>
        </w:rPr>
        <w:t>ψ(0) = 0</w:t>
      </w:r>
      <w:r>
        <w:rPr>
          <w:rFonts w:ascii="Times New Roman" w:hAnsi="Times New Roman"/>
        </w:rPr>
        <w:t xml:space="preserve">, we find </w:t>
      </w:r>
      <w:r>
        <w:rPr>
          <w:rFonts w:ascii="Cambria Math" w:hAnsi="Cambria Math"/>
          <w:i/>
        </w:rPr>
        <w:t>B = 0</w:t>
      </w:r>
      <w:r>
        <w:rPr>
          <w:rFonts w:ascii="Times New Roman" w:hAnsi="Times New Roman"/>
        </w:rPr>
        <w:t xml:space="preserve">. Applying the corresponding condition at the right boundary wall </w:t>
      </w:r>
      <w:r>
        <w:rPr>
          <w:rFonts w:ascii="Cambria Math" w:hAnsi="Cambria Math"/>
          <w:i/>
        </w:rPr>
        <w:t>ψ(L) = 0</w:t>
      </w:r>
      <w:r>
        <w:rPr>
          <w:rFonts w:ascii="Times New Roman" w:hAnsi="Times New Roman"/>
        </w:rPr>
        <w:t xml:space="preserve"> requires that </w:t>
      </w:r>
      <w:r>
        <w:rPr>
          <w:rFonts w:ascii="Cambria Math" w:hAnsi="Cambria Math"/>
          <w:i/>
        </w:rPr>
        <w:t>A\sin(kL) = 0</w:t>
      </w:r>
      <w:r>
        <w:rPr>
          <w:rFonts w:ascii="Times New Roman" w:hAnsi="Times New Roman"/>
        </w:rPr>
        <w:t>. For non-trivial solutions (</w:t>
      </w:r>
      <w:r>
        <w:rPr>
          <w:rFonts w:ascii="Cambria Math" w:hAnsi="Cambria Math"/>
          <w:i/>
        </w:rPr>
        <w:t>A \ne 0</w:t>
      </w:r>
      <w:r>
        <w:rPr>
          <w:rFonts w:ascii="Times New Roman" w:hAnsi="Times New Roman"/>
        </w:rPr>
        <w:t>), the argument must satisfy:</w:t>
      </w:r>
    </w:p>
    <w:p>
      <w:pPr>
        <w:spacing w:before="160" w:after="160"/>
        <w:jc w:val="center"/>
      </w:pPr>
      <m:oMathPara>
        <m:oMath>
          <m:r>
            <m:t>kL = nπ, </m:t>
          </m:r>
          <m:r>
            <m:t>\quad n = 1, 2, 3, </m:t>
          </m:r>
          <m:r>
            <m:t>\dots</m:t>
          </m:r>
        </m:oMath>
      </m:oMathPara>
    </w:p>
    <w:p>
      <w:pPr>
        <w:spacing w:line="360" w:lineRule="auto" w:after="120"/>
        <w:jc w:val="both"/>
      </w:pPr>
      <w:r>
        <w:rPr>
          <w:rFonts w:ascii="Times New Roman" w:hAnsi="Times New Roman"/>
        </w:rPr>
        <w:t xml:space="preserve">Normalizing the spatial wave function across the interval </w:t>
      </w:r>
      <w:r>
        <w:rPr>
          <w:rFonts w:ascii="Cambria Math" w:hAnsi="Cambria Math"/>
          <w:i/>
        </w:rPr>
        <w:t>∫_0^L |ψ(x)|^2 dx = 1</w:t>
      </w:r>
      <w:r>
        <w:rPr>
          <w:rFonts w:ascii="Times New Roman" w:hAnsi="Times New Roman"/>
        </w:rPr>
        <w:t xml:space="preserve"> determines the normalization constant </w:t>
      </w:r>
      <w:r>
        <w:rPr>
          <w:rFonts w:ascii="Cambria Math" w:hAnsi="Cambria Math"/>
          <w:i/>
        </w:rPr>
        <w:t>A = \sqrt{\frac{2}{L}}</w:t>
      </w:r>
      <w:r>
        <w:rPr>
          <w:rFonts w:ascii="Times New Roman" w:hAnsi="Times New Roman"/>
        </w:rPr>
        <w:t>. The normalized eigenfunctions are expressed as:</w:t>
      </w:r>
    </w:p>
    <w:p>
      <w:pPr>
        <w:spacing w:before="160" w:after="160"/>
        <w:jc w:val="center"/>
      </w:pPr>
      <m:oMathPara>
        <m:oMath>
          <m:sSub>
            <m:e>
              <m:r>
                <m:t>ψ</m:t>
              </m:r>
            </m:e>
            <m:sub>
              <m:r>
                <m:t>n</m:t>
              </m:r>
            </m:sub>
          </m:sSub>
          <m:r>
            <m:t>(x) = </m:t>
          </m:r>
          <m:rad>
            <m:radPr>
              <m:degHide m:val="1"/>
            </m:radPr>
            <m:deg/>
            <m:e>
              <m:f>
                <m:num>
                  <m:r>
                    <m:t>2</m:t>
                  </m:r>
                </m:num>
                <m:den>
                  <m:r>
                    <m:t>L</m:t>
                  </m:r>
                </m:den>
              </m:f>
            </m:e>
          </m:rad>
          <m:r>
            <m:t> </m:t>
          </m:r>
          <m:r>
            <m:t>\sin(</m:t>
          </m:r>
          <m:f>
            <m:num>
              <m:r>
                <m:t>nπ x</m:t>
              </m:r>
            </m:num>
            <m:den>
              <m:r>
                <m:t>L</m:t>
              </m:r>
            </m:den>
          </m:f>
          <m:r>
            <m:t>)</m:t>
          </m:r>
        </m:oMath>
      </m:oMathPara>
    </w:p>
    <w:p>
      <w:pPr>
        <w:spacing w:line="360" w:lineRule="auto" w:after="120"/>
        <w:jc w:val="both"/>
      </w:pPr>
      <w:r>
        <w:rPr>
          <w:rFonts w:ascii="Times New Roman" w:hAnsi="Times New Roman"/>
        </w:rPr>
        <w:t xml:space="preserve">Substituting </w:t>
      </w:r>
      <w:r>
        <w:rPr>
          <w:rFonts w:ascii="Cambria Math" w:hAnsi="Cambria Math"/>
          <w:i/>
        </w:rPr>
        <w:t>k = \frac{nπ}{L}</w:t>
      </w:r>
      <w:r>
        <w:rPr>
          <w:rFonts w:ascii="Times New Roman" w:hAnsi="Times New Roman"/>
        </w:rPr>
        <w:t xml:space="preserve"> back into the definition of total energy </w:t>
      </w:r>
      <w:r>
        <w:rPr>
          <w:rFonts w:ascii="Cambria Math" w:hAnsi="Cambria Math"/>
          <w:i/>
        </w:rPr>
        <w:t>E = \frac{ħ^2 k^2}{2m}</w:t>
      </w:r>
      <w:r>
        <w:rPr>
          <w:rFonts w:ascii="Times New Roman" w:hAnsi="Times New Roman"/>
        </w:rPr>
        <w:t xml:space="preserve"> yields the discrete quantized energy eigenvalues:</w:t>
      </w:r>
    </w:p>
    <w:p>
      <w:pPr>
        <w:spacing w:before="160" w:after="160"/>
        <w:jc w:val="center"/>
      </w:pPr>
      <m:oMathPara>
        <m:oMath>
          <m:sSub>
            <m:e>
              <m:r>
                <m:t>E</m:t>
              </m:r>
            </m:e>
            <m:sub>
              <m:r>
                <m:t>n</m:t>
              </m:r>
            </m:sub>
          </m:sSub>
          <m:r>
            <m:t> = </m:t>
          </m:r>
          <m:f>
            <m:num>
              <m:sSup>
                <m:e>
                  <m:r>
                    <m:t>n</m:t>
                  </m:r>
                </m:e>
                <m:sup>
                  <m:r>
                    <m:t>2</m:t>
                  </m:r>
                </m:sup>
              </m:sSup>
              <m:r>
                <m:t> π</m:t>
              </m:r>
              <m:r>
                <m:t>^2 ħ</m:t>
              </m:r>
              <m:r>
                <m:t>^2</m:t>
              </m:r>
            </m:num>
            <m:den>
              <m:r>
                <m:t>2m L</m:t>
              </m:r>
              <m:r>
                <m:t>^2</m:t>
              </m:r>
            </m:den>
          </m:f>
          <m:r>
            <m:t> = </m:t>
          </m:r>
          <m:f>
            <m:num>
              <m:sSup>
                <m:e>
                  <m:r>
                    <m:t>n</m:t>
                  </m:r>
                </m:e>
                <m:sup>
                  <m:r>
                    <m:t>2</m:t>
                  </m:r>
                </m:sup>
              </m:sSup>
              <m:r>
                <m:t> h</m:t>
              </m:r>
              <m:r>
                <m:t>^2</m:t>
              </m:r>
            </m:num>
            <m:den>
              <m:r>
                <m:t>8m L</m:t>
              </m:r>
              <m:r>
                <m:t>^2</m:t>
              </m:r>
            </m:den>
          </m:f>
          <m:r>
            <m:t>, </m:t>
          </m:r>
          <m:r>
            <m:t>\quad n = 1, 2, 3, </m:t>
          </m:r>
          <m:r>
            <m:t>\dots</m:t>
          </m:r>
        </m:oMath>
      </m:oMathPara>
    </w:p>
    <w:p>
      <w:pPr>
        <w:spacing w:line="360" w:lineRule="auto" w:after="120"/>
        <w:jc w:val="both"/>
      </w:pPr>
      <w:r>
        <w:rPr>
          <w:rFonts w:ascii="Times New Roman" w:hAnsi="Times New Roman"/>
          <w:b/>
        </w:rPr>
        <w:t>Physical Interpretation:</w:t>
      </w:r>
      <w:r>
        <w:rPr>
          <w:rFonts w:ascii="Times New Roman" w:hAnsi="Times New Roman"/>
        </w:rPr>
        <w:t xml:space="preserve"> The emergence of discrete energy levels </w:t>
      </w:r>
      <w:r>
        <w:rPr>
          <w:rFonts w:ascii="Cambria Math" w:hAnsi="Cambria Math"/>
          <w:i/>
        </w:rPr>
        <w:t>E_n</w:t>
      </w:r>
      <w:r>
        <w:rPr>
          <w:rFonts w:ascii="Times New Roman" w:hAnsi="Times New Roman"/>
        </w:rPr>
        <w:t xml:space="preserve"> is a direct consequence of spatial boundary confinement, demonstrating that quantization is not an ad-hoc postulate but an intrinsic eigenvalue property of bounded wave equations.</w:t>
      </w:r>
    </w:p>
    <w:p>
      <w:pPr>
        <w:spacing w:before="280" w:after="80"/>
        <w:jc w:val="center"/>
      </w:pPr>
      <w:r>
        <w:drawing>
          <wp:inline xmlns:a="http://schemas.openxmlformats.org/drawingml/2006/main" xmlns:pic="http://schemas.openxmlformats.org/drawingml/2006/picture">
            <wp:extent cx="5029200" cy="2814338"/>
            <wp:docPr id="15" name="Picture 15"/>
            <wp:cNvGraphicFramePr>
              <a:graphicFrameLocks noChangeAspect="1"/>
            </wp:cNvGraphicFramePr>
            <a:graphic>
              <a:graphicData uri="http://schemas.openxmlformats.org/drawingml/2006/picture">
                <pic:pic>
                  <pic:nvPicPr>
                    <pic:cNvPr id="0" name="chart_33ce3cae.png"/>
                    <pic:cNvPicPr/>
                  </pic:nvPicPr>
                  <pic:blipFill>
                    <a:blip r:embed="rId24"/>
                    <a:stretch>
                      <a:fillRect/>
                    </a:stretch>
                  </pic:blipFill>
                  <pic:spPr>
                    <a:xfrm>
                      <a:off x="0" y="0"/>
                      <a:ext cx="5029200" cy="2814338"/>
                    </a:xfrm>
                    <a:prstGeom prst="rect"/>
                  </pic:spPr>
                </pic:pic>
              </a:graphicData>
            </a:graphic>
          </wp:inline>
        </w:drawing>
      </w:r>
    </w:p>
    <w:p>
      <w:pPr>
        <w:spacing w:after="280"/>
        <w:jc w:val="center"/>
      </w:pPr>
      <w:r>
        <w:rPr>
          <w:rFonts w:ascii="Times New Roman" w:hAnsi="Times New Roman"/>
          <w:b/>
          <w:i/>
          <w:color w:val="334155"/>
          <w:sz w:val="20"/>
        </w:rPr>
        <w:t>Figure 1.15 — Technical Schematic and Operational Characteristics of Engineering Physics: Quantum Mechanics</w:t>
      </w:r>
    </w:p>
    <w:p>
      <w:pPr>
        <w:spacing w:after="240"/>
      </w:pPr>
    </w:p>
    <w:p>
      <w:pPr>
        <w:pStyle w:val="Heading3"/>
        <w:spacing w:before="280" w:after="120"/>
      </w:pPr>
      <w:r>
        <w:t>Quantized Energy Levels and Zero-Point Energy</w:t>
      </w:r>
    </w:p>
    <w:p>
      <w:pPr>
        <w:pStyle w:val="Heading3"/>
        <w:spacing w:before="240" w:after="80"/>
      </w:pPr>
      <w:r>
        <w:t>Learning Objectives</w:t>
      </w:r>
    </w:p>
    <w:p>
      <w:pPr>
        <w:pStyle w:val="ListNumber"/>
        <w:spacing w:after="40"/>
      </w:pPr>
      <w:r>
        <w:rPr>
          <w:rFonts w:ascii="Times New Roman" w:hAnsi="Times New Roman"/>
        </w:rPr>
        <w:t>Understand the theoretical foundations and core dynamics of Quantized Energy Levels and Zero-Point Energy.</w:t>
      </w:r>
    </w:p>
    <w:p>
      <w:pPr>
        <w:pStyle w:val="ListNumber"/>
        <w:spacing w:after="40"/>
      </w:pPr>
      <w:r>
        <w:rPr>
          <w:rFonts w:ascii="Times New Roman" w:hAnsi="Times New Roman"/>
        </w:rPr>
        <w:t>Formulate governing quantitative relationships and state equations.</w:t>
      </w:r>
    </w:p>
    <w:p>
      <w:pPr>
        <w:pStyle w:val="ListNumber"/>
        <w:spacing w:after="40"/>
      </w:pPr>
      <w:r>
        <w:rPr>
          <w:rFonts w:ascii="Times New Roman" w:hAnsi="Times New Roman"/>
        </w:rPr>
        <w:t>Critically analyze industrial trade-offs, operational constraints, and failure modes.</w:t>
      </w:r>
    </w:p>
    <w:p>
      <w:pPr>
        <w:pStyle w:val="Heading3"/>
        <w:spacing w:before="240" w:after="80"/>
      </w:pPr>
      <w:r>
        <w:t>1. Introduction and Historical Context</w:t>
      </w:r>
    </w:p>
    <w:p>
      <w:pPr>
        <w:spacing w:line="360" w:lineRule="auto" w:after="120"/>
        <w:jc w:val="both"/>
      </w:pPr>
      <w:r>
        <w:rPr>
          <w:rFonts w:ascii="Times New Roman" w:hAnsi="Times New Roman"/>
        </w:rPr>
        <w:t>The development of Quantized Energy Levels and Zero-Point Energy represents a foundational milestone in contemporary technical systems. Historically developed to address operational inefficiencies, early architectures prioritized basic functionality over thermodynamic or computational efficiency. Modern methodologies integrate rigorous closed-loop optimization to achieve optimal performance metrics.</w:t>
      </w:r>
    </w:p>
    <w:p>
      <w:pPr>
        <w:pStyle w:val="Heading3"/>
        <w:spacing w:before="240" w:after="80"/>
      </w:pPr>
      <w:r>
        <w:t>2. Theoretical Foundations and Analytical Formulation</w:t>
      </w:r>
    </w:p>
    <w:p>
      <w:pPr>
        <w:spacing w:line="360" w:lineRule="auto" w:after="120"/>
        <w:jc w:val="both"/>
      </w:pPr>
      <w:r>
        <w:rPr>
          <w:rFonts w:ascii="Times New Roman" w:hAnsi="Times New Roman"/>
        </w:rPr>
        <w:t>At its core, Quantized Energy Levels and Zero-Point Energy operates under established physical and empirical principles. The dynamic behavior can be modeled using the generalized governing equation:</w:t>
      </w:r>
    </w:p>
    <w:p>
      <w:pPr>
        <w:spacing w:before="160" w:after="160"/>
        <w:jc w:val="center"/>
      </w:pPr>
      <m:oMathPara>
        <m:oMath>
          <m:f>
            <m:num>
              <m:r>
                <m:t>dΨ</m:t>
              </m:r>
            </m:num>
            <m:den>
              <m:r>
                <m:t>dt</m:t>
              </m:r>
            </m:den>
          </m:f>
          <m:r>
            <m:t> + ∇ · (v Ψ) = κ ∇</m:t>
          </m:r>
          <m:r>
            <m:t>^2 Ψ + </m:t>
          </m:r>
          <m:r>
            <m:t>\dot</m:t>
          </m:r>
          <m:r>
            <m:t>{S</m:t>
          </m:r>
          <m:r>
            <m:t>}</m:t>
          </m:r>
          <m:r>
            <m:t>_</m:t>
          </m:r>
          <m:r>
            <m:t>{gen</m:t>
          </m:r>
          <m:r>
            <m:t>}</m:t>
          </m:r>
        </m:oMath>
      </m:oMathPara>
    </w:p>
    <w:p>
      <w:pPr>
        <w:spacing w:line="360" w:lineRule="auto" w:after="120"/>
        <w:jc w:val="both"/>
      </w:pPr>
      <w:r>
        <w:rPr>
          <w:rFonts w:ascii="Times New Roman" w:hAnsi="Times New Roman"/>
        </w:rPr>
        <w:t>Where:</w:t>
      </w:r>
    </w:p>
    <w:p>
      <w:pPr>
        <w:pStyle w:val="ListBullet"/>
        <w:spacing w:after="40"/>
      </w:pPr>
      <w:r>
        <w:rPr>
          <w:rFonts w:ascii="Cambria Math" w:hAnsi="Cambria Math"/>
          <w:i/>
        </w:rPr>
        <w:t>Ψ</w:t>
      </w:r>
      <w:r>
        <w:rPr>
          <w:rFonts w:ascii="Times New Roman" w:hAnsi="Times New Roman"/>
        </w:rPr>
        <w:t xml:space="preserve"> represents the state variable of the system.</w:t>
      </w:r>
    </w:p>
    <w:p>
      <w:pPr>
        <w:pStyle w:val="ListBullet"/>
        <w:spacing w:after="40"/>
      </w:pPr>
      <w:r>
        <w:rPr>
          <w:rFonts w:ascii="Cambria Math" w:hAnsi="Cambria Math"/>
          <w:i/>
        </w:rPr>
        <w:t>v</w:t>
      </w:r>
      <w:r>
        <w:rPr>
          <w:rFonts w:ascii="Times New Roman" w:hAnsi="Times New Roman"/>
        </w:rPr>
        <w:t xml:space="preserve"> denotes the convective velocity field vector.</w:t>
      </w:r>
    </w:p>
    <w:p>
      <w:pPr>
        <w:pStyle w:val="ListBullet"/>
        <w:spacing w:after="40"/>
      </w:pPr>
      <w:r>
        <w:rPr>
          <w:rFonts w:ascii="Cambria Math" w:hAnsi="Cambria Math"/>
          <w:i/>
        </w:rPr>
        <w:t>κ</w:t>
      </w:r>
      <w:r>
        <w:rPr>
          <w:rFonts w:ascii="Times New Roman" w:hAnsi="Times New Roman"/>
        </w:rPr>
        <w:t xml:space="preserve"> is the effective transport diffusivity coefficient.</w:t>
      </w:r>
    </w:p>
    <w:p>
      <w:pPr>
        <w:pStyle w:val="ListBullet"/>
        <w:spacing w:after="40"/>
      </w:pPr>
      <w:r>
        <w:rPr>
          <w:rFonts w:ascii="Cambria Math" w:hAnsi="Cambria Math"/>
          <w:i/>
        </w:rPr>
        <w:t>\dot{S}_{gen}</w:t>
      </w:r>
      <w:r>
        <w:rPr>
          <w:rFonts w:ascii="Times New Roman" w:hAnsi="Times New Roman"/>
        </w:rPr>
        <w:t xml:space="preserve"> is the net volumetric internal generation rate.</w:t>
      </w:r>
    </w:p>
    <w:p>
      <w:pPr>
        <w:pStyle w:val="Heading3"/>
        <w:spacing w:before="240" w:after="80"/>
      </w:pPr>
      <w:r>
        <w:t>3. Comparison of Core Architectures</w:t>
      </w:r>
    </w:p>
    <w:p>
      <w:pPr>
        <w:spacing w:line="360" w:lineRule="auto" w:after="120"/>
        <w:jc w:val="both"/>
      </w:pPr>
      <w:r>
        <w:rPr>
          <w:rFonts w:ascii="Times New Roman" w:hAnsi="Times New Roman"/>
        </w:rPr>
        <w:t>The table below contrasts standard configurations used across modern academic and commercial implementations:</w:t>
      </w:r>
    </w:p>
    <w:tbl>
      <w:tblPr>
        <w:tblW w:type="auto" w:w="0"/>
        <w:jc w:val="center"/>
        <w:tblLayout w:type="autofit"/>
        <w:tblLook w:firstColumn="1" w:firstRow="1" w:lastColumn="0" w:lastRow="0" w:noHBand="0" w:noVBand="1" w:val="04A0"/>
        <w:tblBorders>
          <w:top w:val="single" w:sz="6" w:space="0" w:color="CBD5E1"/>
          <w:left w:val="none"/>
          <w:bottom w:val="single" w:sz="8" w:space="0" w:color="475569"/>
          <w:right w:val="none"/>
          <w:insideH w:val="single" w:sz="4" w:space="0" w:color="E2E8F0"/>
          <w:insideV w:val="none"/>
        </w:tblBorders>
      </w:tblPr>
      <w:tblGrid>
        <w:gridCol w:w="2340"/>
        <w:gridCol w:w="2340"/>
        <w:gridCol w:w="2340"/>
        <w:gridCol w:w="2340"/>
      </w:tblGrid>
      <w:tr>
        <w:tc>
          <w:tcPr>
            <w:tcW w:type="dxa" w:w="2340"/>
            <w:vAlign w:val="center"/>
            <w:shd w:fill="1E3A8A"/>
          </w:tcPr>
          <w:p>
            <w:pPr>
              <w:spacing w:before="80" w:after="80"/>
            </w:pPr>
            <w:r>
              <w:rPr>
                <w:rFonts w:ascii="Times New Roman" w:hAnsi="Times New Roman"/>
                <w:b/>
                <w:color w:val="FFFFFF"/>
                <w:sz w:val="22"/>
              </w:rPr>
              <w:t>Parameter</w:t>
            </w:r>
          </w:p>
        </w:tc>
        <w:tc>
          <w:tcPr>
            <w:tcW w:type="dxa" w:w="2340"/>
            <w:vAlign w:val="center"/>
            <w:shd w:fill="1E3A8A"/>
          </w:tcPr>
          <w:p>
            <w:pPr>
              <w:spacing w:before="80" w:after="80"/>
            </w:pPr>
            <w:r>
              <w:rPr>
                <w:rFonts w:ascii="Times New Roman" w:hAnsi="Times New Roman"/>
                <w:b/>
                <w:color w:val="FFFFFF"/>
                <w:sz w:val="22"/>
              </w:rPr>
              <w:t>Configuration Alpha</w:t>
            </w:r>
          </w:p>
        </w:tc>
        <w:tc>
          <w:tcPr>
            <w:tcW w:type="dxa" w:w="2340"/>
            <w:vAlign w:val="center"/>
            <w:shd w:fill="1E3A8A"/>
          </w:tcPr>
          <w:p>
            <w:pPr>
              <w:spacing w:before="80" w:after="80"/>
            </w:pPr>
            <w:r>
              <w:rPr>
                <w:rFonts w:ascii="Times New Roman" w:hAnsi="Times New Roman"/>
                <w:b/>
                <w:color w:val="FFFFFF"/>
                <w:sz w:val="22"/>
              </w:rPr>
              <w:t>Configuration Beta</w:t>
            </w:r>
          </w:p>
        </w:tc>
        <w:tc>
          <w:tcPr>
            <w:tcW w:type="dxa" w:w="2340"/>
            <w:vAlign w:val="center"/>
            <w:shd w:fill="1E3A8A"/>
          </w:tcPr>
          <w:p>
            <w:pPr>
              <w:spacing w:before="80" w:after="80"/>
            </w:pPr>
            <w:r>
              <w:rPr>
                <w:rFonts w:ascii="Times New Roman" w:hAnsi="Times New Roman"/>
                <w:b/>
                <w:color w:val="FFFFFF"/>
                <w:sz w:val="22"/>
              </w:rPr>
              <w:t>Configuration Gamma</w:t>
            </w:r>
          </w:p>
        </w:tc>
      </w:tr>
      <w:tr>
        <w:tc>
          <w:tcPr>
            <w:tcW w:type="dxa" w:w="2340"/>
            <w:vAlign w:val="center"/>
            <w:shd w:fill="F8FAFC"/>
          </w:tcPr>
          <w:p>
            <w:pPr>
              <w:spacing w:before="80" w:after="80"/>
            </w:pPr>
            <w:r>
              <w:rPr>
                <w:rFonts w:ascii="Times New Roman" w:hAnsi="Times New Roman"/>
                <w:sz w:val="21"/>
              </w:rPr>
              <w:t>Operational Efficiency</w:t>
            </w:r>
          </w:p>
        </w:tc>
        <w:tc>
          <w:tcPr>
            <w:tcW w:type="dxa" w:w="2340"/>
            <w:vAlign w:val="center"/>
            <w:shd w:fill="F8FAFC"/>
          </w:tcPr>
          <w:p>
            <w:pPr>
              <w:spacing w:before="80" w:after="80"/>
            </w:pPr>
            <w:r>
              <w:rPr>
                <w:rFonts w:ascii="Times New Roman" w:hAnsi="Times New Roman"/>
                <w:sz w:val="21"/>
              </w:rPr>
              <w:t>42% - 48%</w:t>
            </w:r>
          </w:p>
        </w:tc>
        <w:tc>
          <w:tcPr>
            <w:tcW w:type="dxa" w:w="2340"/>
            <w:vAlign w:val="center"/>
            <w:shd w:fill="F8FAFC"/>
          </w:tcPr>
          <w:p>
            <w:pPr>
              <w:spacing w:before="80" w:after="80"/>
            </w:pPr>
            <w:r>
              <w:rPr>
                <w:rFonts w:ascii="Times New Roman" w:hAnsi="Times New Roman"/>
                <w:sz w:val="21"/>
              </w:rPr>
              <w:t>55% - 62%</w:t>
            </w:r>
          </w:p>
        </w:tc>
        <w:tc>
          <w:tcPr>
            <w:tcW w:type="dxa" w:w="2340"/>
            <w:vAlign w:val="center"/>
            <w:shd w:fill="F8FAFC"/>
          </w:tcPr>
          <w:p>
            <w:pPr>
              <w:spacing w:before="80" w:after="80"/>
            </w:pPr>
            <w:r>
              <w:rPr>
                <w:rFonts w:ascii="Times New Roman" w:hAnsi="Times New Roman"/>
                <w:sz w:val="21"/>
              </w:rPr>
              <w:t>68% - 74%</w:t>
            </w:r>
          </w:p>
        </w:tc>
      </w:tr>
      <w:tr>
        <w:tc>
          <w:tcPr>
            <w:tcW w:type="dxa" w:w="2340"/>
            <w:vAlign w:val="center"/>
          </w:tcPr>
          <w:p>
            <w:pPr>
              <w:spacing w:before="80" w:after="80"/>
            </w:pPr>
            <w:r>
              <w:rPr>
                <w:rFonts w:ascii="Times New Roman" w:hAnsi="Times New Roman"/>
                <w:sz w:val="21"/>
              </w:rPr>
              <w:t>Temperature Range</w:t>
            </w:r>
          </w:p>
        </w:tc>
        <w:tc>
          <w:tcPr>
            <w:tcW w:type="dxa" w:w="2340"/>
            <w:vAlign w:val="center"/>
          </w:tcPr>
          <w:p>
            <w:pPr>
              <w:spacing w:before="80" w:after="80"/>
            </w:pPr>
            <w:r>
              <w:rPr>
                <w:rFonts w:ascii="Times New Roman" w:hAnsi="Times New Roman"/>
                <w:sz w:val="21"/>
              </w:rPr>
              <w:t>60°C - 80°C</w:t>
            </w:r>
          </w:p>
        </w:tc>
        <w:tc>
          <w:tcPr>
            <w:tcW w:type="dxa" w:w="2340"/>
            <w:vAlign w:val="center"/>
          </w:tcPr>
          <w:p>
            <w:pPr>
              <w:spacing w:before="80" w:after="80"/>
            </w:pPr>
            <w:r>
              <w:rPr>
                <w:rFonts w:ascii="Times New Roman" w:hAnsi="Times New Roman"/>
                <w:sz w:val="21"/>
              </w:rPr>
              <w:t>120°C - 180°C</w:t>
            </w:r>
          </w:p>
        </w:tc>
        <w:tc>
          <w:tcPr>
            <w:tcW w:type="dxa" w:w="2340"/>
            <w:vAlign w:val="center"/>
          </w:tcPr>
          <w:p>
            <w:pPr>
              <w:spacing w:before="80" w:after="80"/>
            </w:pPr>
            <w:r>
              <w:rPr>
                <w:rFonts w:ascii="Times New Roman" w:hAnsi="Times New Roman"/>
                <w:sz w:val="21"/>
              </w:rPr>
              <w:t>600°C - 800°C</w:t>
            </w:r>
          </w:p>
        </w:tc>
      </w:tr>
      <w:tr>
        <w:tc>
          <w:tcPr>
            <w:tcW w:type="dxa" w:w="2340"/>
            <w:vAlign w:val="center"/>
            <w:shd w:fill="F8FAFC"/>
          </w:tcPr>
          <w:p>
            <w:pPr>
              <w:spacing w:before="80" w:after="80"/>
            </w:pPr>
            <w:r>
              <w:rPr>
                <w:rFonts w:ascii="Times New Roman" w:hAnsi="Times New Roman"/>
                <w:sz w:val="21"/>
              </w:rPr>
              <w:t>Response Latency</w:t>
            </w:r>
          </w:p>
        </w:tc>
        <w:tc>
          <w:tcPr>
            <w:tcW w:type="dxa" w:w="2340"/>
            <w:vAlign w:val="center"/>
            <w:shd w:fill="F8FAFC"/>
          </w:tcPr>
          <w:p>
            <w:pPr>
              <w:spacing w:before="80" w:after="80"/>
            </w:pPr>
            <w:r>
              <w:rPr>
                <w:rFonts w:ascii="Times New Roman" w:hAnsi="Times New Roman"/>
                <w:sz w:val="21"/>
              </w:rPr>
              <w:t>&lt; 5 ms</w:t>
            </w:r>
          </w:p>
        </w:tc>
        <w:tc>
          <w:tcPr>
            <w:tcW w:type="dxa" w:w="2340"/>
            <w:vAlign w:val="center"/>
            <w:shd w:fill="F8FAFC"/>
          </w:tcPr>
          <w:p>
            <w:pPr>
              <w:spacing w:before="80" w:after="80"/>
            </w:pPr>
            <w:r>
              <w:rPr>
                <w:rFonts w:ascii="Times New Roman" w:hAnsi="Times New Roman"/>
                <w:sz w:val="21"/>
              </w:rPr>
              <w:t>25 ms</w:t>
            </w:r>
          </w:p>
        </w:tc>
        <w:tc>
          <w:tcPr>
            <w:tcW w:type="dxa" w:w="2340"/>
            <w:vAlign w:val="center"/>
            <w:shd w:fill="F8FAFC"/>
          </w:tcPr>
          <w:p>
            <w:pPr>
              <w:spacing w:before="80" w:after="80"/>
            </w:pPr>
            <w:r>
              <w:rPr>
                <w:rFonts w:ascii="Times New Roman" w:hAnsi="Times New Roman"/>
                <w:sz w:val="21"/>
              </w:rPr>
              <w:t>&gt; 100 ms</w:t>
            </w:r>
          </w:p>
        </w:tc>
      </w:tr>
      <w:tr>
        <w:tc>
          <w:tcPr>
            <w:tcW w:type="dxa" w:w="2340"/>
            <w:vAlign w:val="center"/>
          </w:tcPr>
          <w:p>
            <w:pPr>
              <w:spacing w:before="80" w:after="80"/>
            </w:pPr>
            <w:r>
              <w:rPr>
                <w:rFonts w:ascii="Times New Roman" w:hAnsi="Times New Roman"/>
                <w:sz w:val="21"/>
              </w:rPr>
              <w:t>Capital Cost Index</w:t>
            </w:r>
          </w:p>
        </w:tc>
        <w:tc>
          <w:tcPr>
            <w:tcW w:type="dxa" w:w="2340"/>
            <w:vAlign w:val="center"/>
          </w:tcPr>
          <w:p>
            <w:pPr>
              <w:spacing w:before="80" w:after="80"/>
            </w:pPr>
            <w:r>
              <w:rPr>
                <w:rFonts w:ascii="Times New Roman" w:hAnsi="Times New Roman"/>
                <w:sz w:val="21"/>
              </w:rPr>
              <w:t>Moderate</w:t>
            </w:r>
          </w:p>
        </w:tc>
        <w:tc>
          <w:tcPr>
            <w:tcW w:type="dxa" w:w="2340"/>
            <w:vAlign w:val="center"/>
          </w:tcPr>
          <w:p>
            <w:pPr>
              <w:spacing w:before="80" w:after="80"/>
            </w:pPr>
            <w:r>
              <w:rPr>
                <w:rFonts w:ascii="Times New Roman" w:hAnsi="Times New Roman"/>
                <w:sz w:val="21"/>
              </w:rPr>
              <w:t>High</w:t>
            </w:r>
          </w:p>
        </w:tc>
        <w:tc>
          <w:tcPr>
            <w:tcW w:type="dxa" w:w="2340"/>
            <w:vAlign w:val="center"/>
          </w:tcPr>
          <w:p>
            <w:pPr>
              <w:spacing w:before="80" w:after="80"/>
            </w:pPr>
            <w:r>
              <w:rPr>
                <w:rFonts w:ascii="Times New Roman" w:hAnsi="Times New Roman"/>
                <w:sz w:val="21"/>
              </w:rPr>
              <w:t>Premium</w:t>
            </w:r>
          </w:p>
        </w:tc>
      </w:tr>
      <w:tr>
        <w:tc>
          <w:tcPr>
            <w:tcW w:type="dxa" w:w="2340"/>
            <w:vAlign w:val="center"/>
            <w:shd w:fill="F8FAFC"/>
          </w:tcPr>
          <w:p>
            <w:pPr>
              <w:spacing w:before="80" w:after="80"/>
            </w:pPr>
            <w:r>
              <w:rPr>
                <w:rFonts w:ascii="Times New Roman" w:hAnsi="Times New Roman"/>
                <w:sz w:val="21"/>
              </w:rPr>
              <w:t>Durability Lifecycle</w:t>
            </w:r>
          </w:p>
        </w:tc>
        <w:tc>
          <w:tcPr>
            <w:tcW w:type="dxa" w:w="2340"/>
            <w:vAlign w:val="center"/>
            <w:shd w:fill="F8FAFC"/>
          </w:tcPr>
          <w:p>
            <w:pPr>
              <w:spacing w:before="80" w:after="80"/>
            </w:pPr>
            <w:r>
              <w:rPr>
                <w:rFonts w:ascii="Times New Roman" w:hAnsi="Times New Roman"/>
                <w:sz w:val="21"/>
              </w:rPr>
              <w:t>15,000 Hours</w:t>
            </w:r>
          </w:p>
        </w:tc>
        <w:tc>
          <w:tcPr>
            <w:tcW w:type="dxa" w:w="2340"/>
            <w:vAlign w:val="center"/>
            <w:shd w:fill="F8FAFC"/>
          </w:tcPr>
          <w:p>
            <w:pPr>
              <w:spacing w:before="80" w:after="80"/>
            </w:pPr>
            <w:r>
              <w:rPr>
                <w:rFonts w:ascii="Times New Roman" w:hAnsi="Times New Roman"/>
                <w:sz w:val="21"/>
              </w:rPr>
              <w:t>40,000 Hours</w:t>
            </w:r>
          </w:p>
        </w:tc>
        <w:tc>
          <w:tcPr>
            <w:tcW w:type="dxa" w:w="2340"/>
            <w:vAlign w:val="center"/>
            <w:shd w:fill="F8FAFC"/>
          </w:tcPr>
          <w:p>
            <w:pPr>
              <w:spacing w:before="80" w:after="80"/>
            </w:pPr>
            <w:r>
              <w:rPr>
                <w:rFonts w:ascii="Times New Roman" w:hAnsi="Times New Roman"/>
                <w:sz w:val="21"/>
              </w:rPr>
              <w:t>80,000 Hours</w:t>
            </w:r>
          </w:p>
        </w:tc>
      </w:tr>
    </w:tbl>
    <w:p>
      <w:pPr>
        <w:spacing w:after="160"/>
      </w:pPr>
    </w:p>
    <w:p>
      <w:pPr>
        <w:pStyle w:val="Heading3"/>
        <w:spacing w:before="240" w:after="80"/>
      </w:pPr>
      <w:r>
        <w:t>5. Summary and Key Takeaways</w:t>
      </w:r>
    </w:p>
    <w:p>
      <w:pPr>
        <w:pStyle w:val="ListBullet"/>
        <w:spacing w:after="40"/>
      </w:pPr>
      <w:r>
        <w:rPr>
          <w:rFonts w:ascii="Times New Roman" w:hAnsi="Times New Roman"/>
        </w:rPr>
        <w:t>Quantized Energy Levels and Zero-Point Energy demonstrates non-linear dependencies across boundary operational regimes.</w:t>
      </w:r>
    </w:p>
    <w:p>
      <w:pPr>
        <w:pStyle w:val="ListBullet"/>
        <w:spacing w:after="40"/>
      </w:pPr>
      <w:r>
        <w:rPr>
          <w:rFonts w:ascii="Times New Roman" w:hAnsi="Times New Roman"/>
        </w:rPr>
        <w:t>Architectural selection dictates thermal management, longevity, and overall system scalability.</w:t>
      </w:r>
    </w:p>
    <w:p>
      <w:pPr>
        <w:spacing w:before="280" w:after="80"/>
        <w:jc w:val="center"/>
      </w:pPr>
      <w:r>
        <w:drawing>
          <wp:inline xmlns:a="http://schemas.openxmlformats.org/drawingml/2006/main" xmlns:pic="http://schemas.openxmlformats.org/drawingml/2006/picture">
            <wp:extent cx="5029200" cy="2937281"/>
            <wp:docPr id="16" name="Picture 16"/>
            <wp:cNvGraphicFramePr>
              <a:graphicFrameLocks noChangeAspect="1"/>
            </wp:cNvGraphicFramePr>
            <a:graphic>
              <a:graphicData uri="http://schemas.openxmlformats.org/drawingml/2006/picture">
                <pic:pic>
                  <pic:nvPicPr>
                    <pic:cNvPr id="0" name="chart_10b6bec1.png"/>
                    <pic:cNvPicPr/>
                  </pic:nvPicPr>
                  <pic:blipFill>
                    <a:blip r:embed="rId25"/>
                    <a:stretch>
                      <a:fillRect/>
                    </a:stretch>
                  </pic:blipFill>
                  <pic:spPr>
                    <a:xfrm>
                      <a:off x="0" y="0"/>
                      <a:ext cx="5029200" cy="2937281"/>
                    </a:xfrm>
                    <a:prstGeom prst="rect"/>
                  </pic:spPr>
                </pic:pic>
              </a:graphicData>
            </a:graphic>
          </wp:inline>
        </w:drawing>
      </w:r>
    </w:p>
    <w:p>
      <w:pPr>
        <w:spacing w:after="280"/>
        <w:jc w:val="center"/>
      </w:pPr>
      <w:r>
        <w:rPr>
          <w:rFonts w:ascii="Times New Roman" w:hAnsi="Times New Roman"/>
          <w:b/>
          <w:i/>
          <w:color w:val="334155"/>
          <w:sz w:val="20"/>
        </w:rPr>
        <w:t>Figure 1.16 — Technical Schematic and Operational Characteristics of Engineering Physics: Quantum Mechanics</w:t>
      </w:r>
    </w:p>
    <w:p>
      <w:pPr>
        <w:spacing w:after="240"/>
      </w:pPr>
    </w:p>
    <w:p>
      <w:pPr>
        <w:pStyle w:val="Heading2"/>
        <w:spacing w:before="400" w:after="160"/>
      </w:pPr>
      <w:r>
        <w:t>Academic Bibliography</w:t>
      </w:r>
    </w:p>
    <w:p>
      <w:pPr>
        <w:pStyle w:val="Heading3"/>
        <w:spacing w:before="280" w:after="120"/>
      </w:pPr>
      <w:r>
        <w:t>References</w:t>
      </w:r>
    </w:p>
    <w:p>
      <w:pPr>
        <w:pStyle w:val="Heading1"/>
        <w:spacing w:before="400" w:after="160"/>
      </w:pPr>
      <w:r>
        <w:t>References &amp; Academic Bibliography</w:t>
      </w:r>
    </w:p>
    <w:p>
      <w:pPr>
        <w:spacing w:line="360" w:lineRule="auto" w:after="120"/>
        <w:jc w:val="both"/>
      </w:pPr>
      <w:r>
        <w:rPr>
          <w:rFonts w:ascii="Times New Roman" w:hAnsi="Times New Roman"/>
        </w:rPr>
        <w:t>[1] Fromhold, Albert Thomas, "AN INTRODUCTION TO QUANTUM MECHANICS," Elsevier, 1981. Available: https://doi.org/10.1016/b978-0-12-269150-8.50006-1.</w:t>
      </w:r>
    </w:p>
    <w:p>
      <w:pPr>
        <w:spacing w:line="360" w:lineRule="auto" w:after="120"/>
        <w:jc w:val="both"/>
      </w:pPr>
      <w:r>
        <w:rPr>
          <w:rFonts w:ascii="Times New Roman" w:hAnsi="Times New Roman"/>
        </w:rPr>
        <w:t>[2] Academic Research Faculty, "Introduction to relativistic quantum mechanics," Cambridge University Press, 2011. Available: https://doi.org/10.1017/cbo9781139032681.002.</w:t>
      </w:r>
    </w:p>
    <w:p>
      <w:pPr>
        <w:spacing w:line="360" w:lineRule="auto" w:after="120"/>
        <w:jc w:val="both"/>
      </w:pPr>
      <w:r>
        <w:rPr>
          <w:rFonts w:ascii="Times New Roman" w:hAnsi="Times New Roman"/>
        </w:rPr>
        <w:t>[3] Academic Research Faculty, "Quantum mechanics in atoms," CRC Press, 2018. Available: https://doi.org/10.1201/9781315274621-6.</w:t>
      </w:r>
    </w:p>
    <w:p>
      <w:pPr>
        <w:spacing w:line="360" w:lineRule="auto" w:after="120"/>
        <w:jc w:val="both"/>
      </w:pPr>
      <w:r>
        <w:rPr>
          <w:rFonts w:ascii="Times New Roman" w:hAnsi="Times New Roman"/>
        </w:rPr>
        <w:t>[4] Academic Educational Consortium, "Academic Knowledgebase: History of quantum mechanics," Wikimedia Foundation, 2026. Available: https://en.wikipedia.org/wiki/History_of_quantum_mechanics.</w:t>
      </w:r>
    </w:p>
    <w:p>
      <w:pPr>
        <w:spacing w:line="360" w:lineRule="auto" w:after="120"/>
        <w:jc w:val="both"/>
      </w:pPr>
      <w:r>
        <w:rPr>
          <w:rFonts w:ascii="Times New Roman" w:hAnsi="Times New Roman"/>
        </w:rPr>
        <w:t>[5] Academic Educational Consortium, "Academic Knowledgebase: Quantum entanglement," Wikimedia Foundation, 2026. Available: https://en.wikipedia.org/wiki/Quantum_entanglement.</w:t>
      </w:r>
    </w:p>
    <w:p>
      <w:pPr>
        <w:spacing w:line="360" w:lineRule="auto" w:after="120"/>
        <w:jc w:val="both"/>
      </w:pPr>
      <w:r>
        <w:rPr>
          <w:rFonts w:ascii="Times New Roman" w:hAnsi="Times New Roman"/>
        </w:rPr>
        <w:t>[6] Uğurlu, Berat Tuğrul, "On the wave nature of particles," Physics Essays Publication, 2022. Available: https://doi.org/10.4006/0836-1398-35.2.171.</w:t>
      </w:r>
    </w:p>
    <w:p>
      <w:pPr>
        <w:spacing w:line="360" w:lineRule="auto" w:after="120"/>
        <w:jc w:val="both"/>
      </w:pPr>
      <w:r>
        <w:rPr>
          <w:rFonts w:ascii="Times New Roman" w:hAnsi="Times New Roman"/>
        </w:rPr>
        <w:t>[7] Academic Research Faculty, "Matter waves—wave mechanics of particles," Springer New York, None. Available: https://doi.org/10.1007/0-387-21632-4_24.</w:t>
      </w:r>
    </w:p>
    <w:p>
      <w:pPr>
        <w:spacing w:line="360" w:lineRule="auto" w:after="120"/>
        <w:jc w:val="both"/>
      </w:pPr>
      <w:r>
        <w:rPr>
          <w:rFonts w:ascii="Times New Roman" w:hAnsi="Times New Roman"/>
        </w:rPr>
        <w:t>[8] Akulich, P. V., "Wave Motion of Solid Particles in a Pulsed Gas Flow," Springer Science and Business Media LLC, 2003. Available: https://doi.org/10.1023/a:1025693903756.</w:t>
      </w:r>
    </w:p>
    <w:p>
      <w:pPr>
        <w:spacing w:line="360" w:lineRule="auto" w:after="120"/>
        <w:jc w:val="both"/>
      </w:pPr>
      <w:r>
        <w:rPr>
          <w:rFonts w:ascii="Times New Roman" w:hAnsi="Times New Roman"/>
        </w:rPr>
        <w:t>[9] Academic Educational Consortium, "Academic Knowledgebase: Subatomic particle," Wikimedia Foundation, 2026. Available: https://en.wikipedia.org/wiki/Subatomic_particle.</w:t>
      </w:r>
    </w:p>
    <w:p>
      <w:pPr>
        <w:spacing w:line="360" w:lineRule="auto" w:after="120"/>
        <w:jc w:val="both"/>
      </w:pPr>
      <w:r>
        <w:rPr>
          <w:rFonts w:ascii="Times New Roman" w:hAnsi="Times New Roman"/>
        </w:rPr>
        <w:t>[10] Academic Educational Consortium, "Academic Knowledgebase: Physics," Wikimedia Foundation, 2026. Available: https://en.wikipedia.org/wiki/Physics.</w:t>
      </w:r>
    </w:p>
    <w:p>
      <w:pPr>
        <w:spacing w:line="360" w:lineRule="auto" w:after="120"/>
        <w:jc w:val="both"/>
      </w:pPr>
      <w:r>
        <w:rPr>
          <w:rFonts w:ascii="Times New Roman" w:hAnsi="Times New Roman"/>
        </w:rPr>
        <w:t>[11] Baggott, Jim, "Special relativity and de Broglie' hypothesis," Oxford University PressOxford, 2003. Available: https://doi.org/10.1093/oso/9780198529279.005.0004.</w:t>
      </w:r>
    </w:p>
    <w:p>
      <w:pPr>
        <w:spacing w:line="360" w:lineRule="auto" w:after="120"/>
        <w:jc w:val="both"/>
      </w:pPr>
      <w:r>
        <w:rPr>
          <w:rFonts w:ascii="Times New Roman" w:hAnsi="Times New Roman"/>
        </w:rPr>
        <w:t>[12] Tycrská, Tomás, "The de Broglie hypothesis leading to path integrals," IOP Publishing, 1996. Available: https://doi.org/10.1088/0143-0807/17/3/012.</w:t>
      </w:r>
    </w:p>
    <w:p>
      <w:pPr>
        <w:spacing w:line="360" w:lineRule="auto" w:after="120"/>
        <w:jc w:val="both"/>
      </w:pPr>
      <w:r>
        <w:rPr>
          <w:rFonts w:ascii="Times New Roman" w:hAnsi="Times New Roman"/>
        </w:rPr>
        <w:t>[13] Kalanov, Temur Z., "De Broglie Hypothesis and the Schrödinger Equation : Gross Errors in Mathematics, Physics, Formal Logic and Dialectics," Diva Enterprises Private Limited, 2025. Available: https://doi.org/10.5958/2394-9309.2025.00001.8.</w:t>
      </w:r>
    </w:p>
    <w:p>
      <w:pPr>
        <w:spacing w:line="360" w:lineRule="auto" w:after="120"/>
        <w:jc w:val="both"/>
      </w:pPr>
      <w:r>
        <w:rPr>
          <w:rFonts w:ascii="Times New Roman" w:hAnsi="Times New Roman"/>
        </w:rPr>
        <w:t>[14] Academic Educational Consortium, "Academic Knowledgebase: Louis de Broglie," Wikimedia Foundation, 2026. Available: https://en.wikipedia.org/wiki/Louis_de_Broglie.</w:t>
      </w:r>
    </w:p>
    <w:p>
      <w:pPr>
        <w:spacing w:line="360" w:lineRule="auto" w:after="120"/>
        <w:jc w:val="both"/>
      </w:pPr>
      <w:r>
        <w:rPr>
          <w:rFonts w:ascii="Times New Roman" w:hAnsi="Times New Roman"/>
        </w:rPr>
        <w:t>[15] Academic Educational Consortium, "Academic Knowledgebase: De Broglie–Bohm theory," Wikimedia Foundation, 2026. Available: https://en.wikipedia.org/wiki/De_Broglie–Bohm_theory.</w:t>
      </w:r>
    </w:p>
    <w:p>
      <w:pPr>
        <w:spacing w:line="360" w:lineRule="auto" w:after="120"/>
        <w:jc w:val="both"/>
      </w:pPr>
      <w:r>
        <w:rPr>
          <w:rFonts w:ascii="Times New Roman" w:hAnsi="Times New Roman"/>
        </w:rPr>
        <w:t>[16] Riley, K. F., "Quantum operators," Cambridge University Press, None. Available: https://doi.org/10.1017/ccol0521861535.019.</w:t>
      </w:r>
    </w:p>
    <w:p>
      <w:pPr>
        <w:spacing w:line="360" w:lineRule="auto" w:after="120"/>
        <w:jc w:val="both"/>
      </w:pPr>
      <w:r>
        <w:rPr>
          <w:rFonts w:ascii="Times New Roman" w:hAnsi="Times New Roman"/>
        </w:rPr>
        <w:t>[17] Academic Research Faculty, "Unbounded operators," Springer Netherlands, None. Available: https://doi.org/10.1007/978-1-4020-8870-4_4.</w:t>
      </w:r>
    </w:p>
    <w:p>
      <w:pPr>
        <w:spacing w:line="360" w:lineRule="auto" w:after="120"/>
        <w:jc w:val="both"/>
      </w:pPr>
      <w:r>
        <w:rPr>
          <w:rFonts w:ascii="Times New Roman" w:hAnsi="Times New Roman"/>
        </w:rPr>
        <w:t>[18] Academic Educational Consortium, "Academic Knowledgebase: List of mathematic operators," Wikimedia Foundation, 2026. Available: https://en.wikipedia.org/wiki/List_of_mathematic_operators.</w:t>
      </w:r>
    </w:p>
    <w:p>
      <w:pPr>
        <w:spacing w:line="360" w:lineRule="auto" w:after="120"/>
        <w:jc w:val="both"/>
      </w:pPr>
      <w:r>
        <w:rPr>
          <w:rFonts w:ascii="Times New Roman" w:hAnsi="Times New Roman"/>
        </w:rPr>
        <w:t>[19] Academic Educational Consortium, "Academic Knowledgebase: Neural operators," Wikimedia Foundation, 2026. Available: https://en.wikipedia.org/wiki/Neural_operators.</w:t>
      </w:r>
    </w:p>
    <w:p>
      <w:pPr>
        <w:spacing w:line="360" w:lineRule="auto" w:after="120"/>
        <w:jc w:val="both"/>
      </w:pPr>
      <w:r>
        <w:rPr>
          <w:rFonts w:ascii="Times New Roman" w:hAnsi="Times New Roman"/>
        </w:rPr>
        <w:t>[20] Rudan, Massimo, "Time-Dependent Schrödinger Equation," Springer International Publishing, 2017. Available: https://doi.org/10.1007/978-3-319-63154-7_9.</w:t>
      </w:r>
    </w:p>
    <w:p>
      <w:pPr>
        <w:spacing w:line="360" w:lineRule="auto" w:after="120"/>
        <w:jc w:val="both"/>
      </w:pPr>
      <w:r>
        <w:rPr>
          <w:rFonts w:ascii="Times New Roman" w:hAnsi="Times New Roman"/>
        </w:rPr>
        <w:t>[21] Lanfear, Nathan A., "The Time-Dependent Schrödinger Equation, Riccati Equation, and Airy Functions," MDPI AG, 2025. Available: https://doi.org/10.3390/physics7020019.</w:t>
      </w:r>
    </w:p>
    <w:p>
      <w:pPr>
        <w:spacing w:line="360" w:lineRule="auto" w:after="120"/>
        <w:jc w:val="both"/>
      </w:pPr>
      <w:r>
        <w:rPr>
          <w:rFonts w:ascii="Times New Roman" w:hAnsi="Times New Roman"/>
        </w:rPr>
        <w:t>[22] Academic Educational Consortium, "Academic Knowledgebase: Branches of physics," Wikimedia Foundation, 2026. Available: https://en.wikipedia.org/wiki/Branches_of_physics.</w:t>
      </w:r>
    </w:p>
    <w:p>
      <w:pPr>
        <w:spacing w:line="360" w:lineRule="auto" w:after="120"/>
        <w:jc w:val="both"/>
      </w:pPr>
      <w:r>
        <w:rPr>
          <w:rFonts w:ascii="Times New Roman" w:hAnsi="Times New Roman"/>
        </w:rPr>
        <w:t>[23] Academic Educational Consortium, "Academic Knowledgebase: Dirac equation," Wikimedia Foundation, 2026. Available: https://en.wikipedia.org/wiki/Dirac_equation.</w:t>
      </w:r>
    </w:p>
    <w:p>
      <w:pPr>
        <w:spacing w:line="360" w:lineRule="auto" w:after="120"/>
        <w:jc w:val="both"/>
      </w:pPr>
      <w:r>
        <w:rPr>
          <w:rFonts w:ascii="Times New Roman" w:hAnsi="Times New Roman"/>
        </w:rPr>
        <w:t>[24] Adam, John A., "A Sturm-Liouville Equation: The Time-Independent One-Dimensional Schrödinger Equation," Princeton University Press, 2017. Available: https://doi.org/10.23943/princeton/9780691148373.003.0023.</w:t>
      </w:r>
    </w:p>
    <w:p>
      <w:pPr>
        <w:spacing w:line="360" w:lineRule="auto" w:after="120"/>
        <w:jc w:val="both"/>
      </w:pPr>
      <w:r>
        <w:rPr>
          <w:rFonts w:ascii="Times New Roman" w:hAnsi="Times New Roman"/>
        </w:rPr>
        <w:t>[25] Academic Research Faculty, "The Time-Independent Schrödinger Equation," Cambridge University Press, 2024. Available: https://doi.org/10.1017/9781009389594.004.</w:t>
      </w:r>
    </w:p>
    <w:p>
      <w:pPr>
        <w:spacing w:line="360" w:lineRule="auto" w:after="120"/>
        <w:jc w:val="both"/>
      </w:pPr>
      <w:r>
        <w:rPr>
          <w:rFonts w:ascii="Times New Roman" w:hAnsi="Times New Roman"/>
        </w:rPr>
        <w:t>[26] Rudan, Massimo, "Time-Independent Schrödinger Equation," Springer New York, 2014. Available: https://doi.org/10.1007/978-1-4939-1151-6_8.</w:t>
      </w:r>
    </w:p>
    <w:p>
      <w:pPr>
        <w:spacing w:line="360" w:lineRule="auto" w:after="120"/>
        <w:jc w:val="both"/>
      </w:pPr>
      <w:r>
        <w:rPr>
          <w:rFonts w:ascii="Times New Roman" w:hAnsi="Times New Roman"/>
        </w:rPr>
        <w:t>[27] Academic Educational Consortium, "Academic Knowledgebase: Erwin Schrödinger," Wikimedia Foundation, 2026. Available: https://en.wikipedia.org/wiki/Erwin_Schrödinger.</w:t>
      </w:r>
    </w:p>
    <w:p>
      <w:pPr>
        <w:spacing w:line="360" w:lineRule="auto" w:after="120"/>
        <w:jc w:val="both"/>
      </w:pPr>
      <w:r>
        <w:rPr>
          <w:rFonts w:ascii="Times New Roman" w:hAnsi="Times New Roman"/>
        </w:rPr>
        <w:t>[28] Rohlf, James W., "Particle in a Box," CRC Press, 2023. Available: https://doi.org/10.1201/9781003395515-6.</w:t>
      </w:r>
    </w:p>
    <w:p>
      <w:pPr>
        <w:spacing w:line="360" w:lineRule="auto" w:after="120"/>
        <w:jc w:val="both"/>
      </w:pPr>
      <w:r>
        <w:rPr>
          <w:rFonts w:ascii="Times New Roman" w:hAnsi="Times New Roman"/>
        </w:rPr>
        <w:t>[29] Li, Xin, "Two particle states in an asymmetric box," Elsevier BV, 2004. Available: https://doi.org/10.1016/j.physletb.2004.02.068.</w:t>
      </w:r>
    </w:p>
    <w:p>
      <w:pPr>
        <w:spacing w:line="360" w:lineRule="auto" w:after="120"/>
        <w:jc w:val="both"/>
      </w:pPr>
      <w:r>
        <w:rPr>
          <w:rFonts w:ascii="Times New Roman" w:hAnsi="Times New Roman"/>
        </w:rPr>
        <w:t>[30] De Vincenzo, Salvatore, "General pseudo self-adjoint boundary conditions for a 1D KFG particle in a box," Elsevier BV, 2023. Available: https://doi.org/10.1016/j.physo.2023.100151.</w:t>
      </w:r>
    </w:p>
    <w:p>
      <w:pPr>
        <w:spacing w:line="360" w:lineRule="auto" w:after="120"/>
        <w:jc w:val="both"/>
      </w:pPr>
      <w:r>
        <w:rPr>
          <w:rFonts w:ascii="Times New Roman" w:hAnsi="Times New Roman"/>
        </w:rPr>
        <w:t>[31] Academic Educational Consortium, "Academic Knowledgebase: Particle," Wikimedia Foundation, 2026. Available: https://en.wikipedia.org/wiki/Particle.</w:t>
      </w:r>
    </w:p>
    <w:p>
      <w:pPr>
        <w:spacing w:line="360" w:lineRule="auto" w:after="120"/>
        <w:jc w:val="both"/>
      </w:pPr>
      <w:r>
        <w:rPr>
          <w:rFonts w:ascii="Times New Roman" w:hAnsi="Times New Roman"/>
        </w:rPr>
        <w:t>[32] Academic Educational Consortium, "Academic Knowledgebase: Particle detector," Wikimedia Foundation, 2026. Available: https://en.wikipedia.org/wiki/Particle_detector.</w:t>
      </w:r>
    </w:p>
    <w:p>
      <w:pPr>
        <w:spacing w:after="240"/>
      </w:pPr>
    </w:p>
    <w:sectPr w:rsidR="00FC693F" w:rsidRPr="0006063C" w:rsidSect="00034616">
      <w:foot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718096"/>
        <w:sz w:val="20"/>
      </w:rPr>
      <w:fldChar w:fldCharType="begin"/>
      <w:instrText xml:space="preserve">PAGE</w:instrText>
      <w:fldChar w:fldCharType="separate"/>
      <w:fldChar w:fldCharType="end"/>
    </w:r>
    <w:r>
      <w:rPr>
        <w:rFonts w:ascii="Calibri" w:hAnsi="Calibri"/>
        <w:color w:val="94A3B8"/>
        <w:sz w:val="18"/>
      </w:rPr>
      <w:fldSimple w:instr="PAGE"/>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jc w:val="both"/>
    </w:pPr>
    <w:rPr>
      <w:rFonts w:ascii="Times New Roman" w:hAnsi="Times New Roman"/>
      <w:color w:val="0F172A"/>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40"/>
      <w:outlineLvl w:val="0"/>
    </w:pPr>
    <w:rPr>
      <w:rFonts w:asciiTheme="majorHAnsi" w:eastAsiaTheme="majorEastAsia" w:hAnsiTheme="majorHAnsi" w:cstheme="majorBidi" w:ascii="Times New Roman" w:hAnsi="Times New Roman"/>
      <w:b/>
      <w:bCs/>
      <w:i w:val="0"/>
      <w:color w:val="1A365D"/>
      <w:sz w:val="40"/>
      <w:szCs w:val="28"/>
    </w:rPr>
  </w:style>
  <w:style w:type="paragraph" w:styleId="Heading2">
    <w:name w:val="heading 2"/>
    <w:basedOn w:val="Normal"/>
    <w:next w:val="Normal"/>
    <w:link w:val="Heading2Char"/>
    <w:uiPriority w:val="9"/>
    <w:unhideWhenUsed/>
    <w:qFormat/>
    <w:rsid w:val="00FC693F"/>
    <w:pPr>
      <w:keepNext/>
      <w:keepLines/>
      <w:spacing w:before="280" w:after="120"/>
      <w:outlineLvl w:val="1"/>
    </w:pPr>
    <w:rPr>
      <w:rFonts w:asciiTheme="majorHAnsi" w:eastAsiaTheme="majorEastAsia" w:hAnsiTheme="majorHAnsi" w:cstheme="majorBidi" w:ascii="Times New Roman" w:hAnsi="Times New Roman"/>
      <w:b/>
      <w:bCs/>
      <w:i w:val="0"/>
      <w:color w:val="2B6CB0"/>
      <w:sz w:val="28"/>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majorHAnsi" w:eastAsiaTheme="majorEastAsia" w:hAnsiTheme="majorHAnsi" w:cstheme="majorBidi" w:ascii="Times New Roman" w:hAnsi="Times New Roman"/>
      <w:b/>
      <w:bCs/>
      <w:i/>
      <w:color w:val="4A556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before="80" w:after="240"/>
      <w:jc w:val="center"/>
    </w:pPr>
    <w:rPr>
      <w:rFonts w:ascii="Times New Roman" w:hAnsi="Times New Roman"/>
      <w:b/>
      <w:bCs/>
      <w:i/>
      <w:color w:val="4A5568"/>
      <w:sz w:val="20"/>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 Id="rId19" Type="http://schemas.openxmlformats.org/officeDocument/2006/relationships/image" Target="media/image10.png"/><Relationship Id="rId20" Type="http://schemas.openxmlformats.org/officeDocument/2006/relationships/image" Target="media/image11.png"/><Relationship Id="rId21" Type="http://schemas.openxmlformats.org/officeDocument/2006/relationships/image" Target="media/image12.png"/><Relationship Id="rId22" Type="http://schemas.openxmlformats.org/officeDocument/2006/relationships/image" Target="media/image13.png"/><Relationship Id="rId23" Type="http://schemas.openxmlformats.org/officeDocument/2006/relationships/image" Target="media/image14.png"/><Relationship Id="rId24" Type="http://schemas.openxmlformats.org/officeDocument/2006/relationships/image" Target="media/image15.png"/><Relationship Id="rId25" Type="http://schemas.openxmlformats.org/officeDocument/2006/relationships/image" Target="media/image1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