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4F8CFF"/>
          <w:sz w:val="20"/>
        </w:rPr>
        <w:t>ACADEMIC REFERENCE SERIES — Undergraduate (B.Tech)</w:t>
      </w:r>
    </w:p>
    <w:p>
      <w:pPr>
        <w:spacing w:before="360" w:after="240"/>
        <w:jc w:val="center"/>
      </w:pPr>
      <w:r>
        <w:rPr>
          <w:rFonts w:ascii="Times New Roman" w:hAnsi="Times New Roman"/>
          <w:b/>
          <w:color w:val="0F172A"/>
          <w:sz w:val="56"/>
        </w:rPr>
        <w:t>Foundations of Quantum Physics</w:t>
      </w:r>
    </w:p>
    <w:p>
      <w:pPr>
        <w:jc w:val="center"/>
      </w:pPr>
      <w:r>
        <w:rPr>
          <w:rFonts w:ascii="Times New Roman" w:hAnsi="Times New Roman"/>
          <w:i/>
          <w:color w:val="475569"/>
          <w:sz w:val="30"/>
        </w:rPr>
        <w:t>Undergraduate Engineering Physics Monograph</w:t>
      </w:r>
    </w:p>
    <w:p>
      <w:pPr>
        <w:spacing w:before="2800"/>
      </w:pPr>
    </w:p>
    <w:p>
      <w:pPr>
        <w:jc w:val="center"/>
      </w:pPr>
      <w:r>
        <w:rPr>
          <w:rFonts w:ascii="Calibri" w:hAnsi="Calibri"/>
          <w:b/>
          <w:sz w:val="24"/>
        </w:rPr>
        <w:t>Author: Prof. Academician</w:t>
        <w:br/>
        <w:t>First Reference Edition</w:t>
      </w:r>
    </w:p>
    <w:p>
      <w:pPr>
        <w:jc w:val="center"/>
      </w:pPr>
      <w:r>
        <w:rPr>
          <w:rFonts w:ascii="Calibri" w:hAnsi="Calibri"/>
          <w:color w:val="64748B"/>
          <w:sz w:val="20"/>
        </w:rPr>
        <w:t>Published: October 2026</w:t>
      </w:r>
    </w:p>
    <w:p>
      <w:r>
        <w:br w:type="page"/>
      </w:r>
    </w:p>
    <w:p>
      <w:pPr>
        <w:pStyle w:val="Heading1"/>
        <w:spacing w:before="240" w:after="240"/>
      </w:pPr>
      <w:r>
        <w:t>Preface</w:t>
      </w:r>
    </w:p>
    <w:p>
      <w:pPr>
        <w:spacing w:line="276" w:lineRule="auto" w:after="360"/>
      </w:pPr>
      <w:r>
        <w:t>This academic textbook, 'Foundations of Quantum Physics', is developed as a systematic study text for Undergraduate (B.Tech). It develops core subject matter through theoretical foundational principles, analytical derivations, technical schematics and diagrams, and research-grounded citations. Each unit proceeds logically from foundational principles to physical interpretations and contemporary engineering applications.</w:t>
      </w:r>
    </w:p>
    <w:p>
      <w:pPr>
        <w:pStyle w:val="Heading1"/>
        <w:spacing w:before="360" w:after="240"/>
      </w:pPr>
      <w:r>
        <w:t>Table of Contents</w:t>
      </w:r>
    </w:p>
    <w:p>
      <w:r>
        <w:fldSimple w:instr="TOC \o &quot;1-3&quot; \h \z \u"/>
      </w:r>
    </w:p>
    <w:p>
      <w:pPr>
        <w:spacing w:before="120" w:after="40"/>
      </w:pPr>
      <w:r>
        <w:rPr>
          <w:b/>
          <w:sz w:val="24"/>
        </w:rPr>
        <w:t>Quantum Foundations</w:t>
      </w:r>
    </w:p>
    <w:p>
      <w:pPr>
        <w:spacing w:after="40"/>
        <w:ind w:left="360"/>
      </w:pPr>
      <w:r>
        <w:rPr>
          <w:sz w:val="21"/>
        </w:rPr>
        <w:t>Wave Nature of Particles</w:t>
      </w:r>
    </w:p>
    <w:p>
      <w:pPr>
        <w:spacing w:after="20"/>
        <w:ind w:left="720"/>
      </w:pPr>
      <w:r>
        <w:rPr>
          <w:color w:val="475569"/>
          <w:sz w:val="19"/>
        </w:rPr>
        <w:t>• Historical Evolution from Radiation Duality to Matter Waves</w:t>
      </w:r>
    </w:p>
    <w:p>
      <w:pPr>
        <w:spacing w:after="20"/>
        <w:ind w:left="720"/>
      </w:pPr>
      <w:r>
        <w:rPr>
          <w:color w:val="475569"/>
          <w:sz w:val="19"/>
        </w:rPr>
        <w:t>• Mathematical Expression of Matter Wavelengths</w:t>
      </w:r>
    </w:p>
    <w:p>
      <w:pPr>
        <w:spacing w:after="20"/>
        <w:ind w:left="720"/>
      </w:pPr>
      <w:r>
        <w:rPr>
          <w:color w:val="475569"/>
          <w:sz w:val="19"/>
        </w:rPr>
        <w:t>• Davisson-Germer and Thomson Electron Diffraction</w:t>
      </w:r>
    </w:p>
    <w:p>
      <w:pPr>
        <w:spacing w:after="20"/>
        <w:ind w:left="720"/>
      </w:pPr>
      <w:r>
        <w:rPr>
          <w:color w:val="475569"/>
          <w:sz w:val="19"/>
        </w:rPr>
        <w:t>• Wavepacket Representation and Phase vs Group Velocity</w:t>
      </w:r>
    </w:p>
    <w:p>
      <w:pPr>
        <w:spacing w:after="20"/>
        <w:ind w:left="720"/>
      </w:pPr>
      <w:r>
        <w:rPr>
          <w:color w:val="475569"/>
          <w:sz w:val="19"/>
        </w:rPr>
        <w:t>• Physical Interpretation and Born Probability Amplitude</w:t>
      </w:r>
    </w:p>
    <w:p>
      <w:pPr>
        <w:spacing w:after="20"/>
        <w:ind w:left="720"/>
      </w:pPr>
      <w:r>
        <w:rPr>
          <w:color w:val="475569"/>
          <w:sz w:val="19"/>
        </w:rPr>
        <w:t>• Electron Beam Technologies in Semiconductor Metrology</w:t>
      </w:r>
    </w:p>
    <w:p>
      <w:pPr>
        <w:spacing w:after="40"/>
        <w:ind w:left="360"/>
      </w:pPr>
      <w:r>
        <w:rPr>
          <w:sz w:val="21"/>
        </w:rPr>
        <w:t>de Broglie Hypothesis</w:t>
      </w:r>
    </w:p>
    <w:p>
      <w:pPr>
        <w:spacing w:after="20"/>
        <w:ind w:left="720"/>
      </w:pPr>
      <w:r>
        <w:rPr>
          <w:color w:val="475569"/>
          <w:sz w:val="19"/>
        </w:rPr>
        <w:t>• Historical Motivation and Inadequacy of Classical Physics</w:t>
      </w:r>
    </w:p>
    <w:p>
      <w:pPr>
        <w:spacing w:after="20"/>
        <w:ind w:left="720"/>
      </w:pPr>
      <w:r>
        <w:rPr>
          <w:color w:val="475569"/>
          <w:sz w:val="19"/>
        </w:rPr>
        <w:t>• The de Broglie Matter-Wave Postulate</w:t>
      </w:r>
    </w:p>
    <w:p>
      <w:pPr>
        <w:spacing w:after="20"/>
        <w:ind w:left="720"/>
      </w:pPr>
      <w:r>
        <w:rPr>
          <w:color w:val="475569"/>
          <w:sz w:val="19"/>
        </w:rPr>
        <w:t>• Derivation of the de Broglie Wavelength</w:t>
      </w:r>
    </w:p>
    <w:p>
      <w:pPr>
        <w:spacing w:after="20"/>
        <w:ind w:left="720"/>
      </w:pPr>
      <w:r>
        <w:rPr>
          <w:color w:val="475569"/>
          <w:sz w:val="19"/>
        </w:rPr>
        <w:t>• Phase Velocity and Group Velocity of Matter Waves</w:t>
      </w:r>
    </w:p>
    <w:p>
      <w:pPr>
        <w:spacing w:after="20"/>
        <w:ind w:left="720"/>
      </w:pPr>
      <w:r>
        <w:rPr>
          <w:color w:val="475569"/>
          <w:sz w:val="19"/>
        </w:rPr>
        <w:t>• Experimental Confirmation by Davisson and Germer</w:t>
      </w:r>
    </w:p>
    <w:p>
      <w:pPr>
        <w:spacing w:after="20"/>
        <w:ind w:left="720"/>
      </w:pPr>
      <w:r>
        <w:rPr>
          <w:color w:val="475569"/>
          <w:sz w:val="19"/>
        </w:rPr>
        <w:t>• Physical Interpretation and Matter Wave Limitations</w:t>
      </w:r>
    </w:p>
    <w:p>
      <w:pPr>
        <w:spacing w:after="20"/>
        <w:ind w:left="720"/>
      </w:pPr>
      <w:r>
        <w:rPr>
          <w:color w:val="475569"/>
          <w:sz w:val="19"/>
        </w:rPr>
        <w:t>• Electron Microscopy and Modern Engineering Applications</w:t>
      </w:r>
    </w:p>
    <w:p>
      <w:pPr>
        <w:spacing w:after="40"/>
        <w:ind w:left="360"/>
      </w:pPr>
      <w:r>
        <w:rPr>
          <w:sz w:val="21"/>
        </w:rPr>
        <w:t>Phase Velocity and Group Velocity</w:t>
      </w:r>
    </w:p>
    <w:p>
      <w:pPr>
        <w:spacing w:after="20"/>
        <w:ind w:left="720"/>
      </w:pPr>
      <w:r>
        <w:rPr>
          <w:color w:val="475569"/>
          <w:sz w:val="19"/>
        </w:rPr>
        <w:t>• Superposition of Harmonic Waves and Wavepacket Formation</w:t>
      </w:r>
    </w:p>
    <w:p>
      <w:pPr>
        <w:spacing w:after="20"/>
        <w:ind w:left="720"/>
      </w:pPr>
      <w:r>
        <w:rPr>
          <w:color w:val="475569"/>
          <w:sz w:val="19"/>
        </w:rPr>
        <w:t>• Mathematical Derivation of Phase Velocity and Group Velocity</w:t>
      </w:r>
    </w:p>
    <w:p>
      <w:pPr>
        <w:spacing w:after="20"/>
        <w:ind w:left="720"/>
      </w:pPr>
      <w:r>
        <w:rPr>
          <w:color w:val="475569"/>
          <w:sz w:val="19"/>
        </w:rPr>
        <w:t>• Physical Interpretation and Velocity of Matter Waves</w:t>
      </w:r>
    </w:p>
    <w:p>
      <w:pPr>
        <w:spacing w:after="40"/>
        <w:ind w:left="360"/>
      </w:pPr>
      <w:r>
        <w:rPr>
          <w:sz w:val="21"/>
        </w:rPr>
        <w:t>Heisenberg Uncertainty Principle</w:t>
      </w:r>
    </w:p>
    <w:p>
      <w:pPr>
        <w:spacing w:after="20"/>
        <w:ind w:left="720"/>
      </w:pPr>
      <w:r>
        <w:rPr>
          <w:color w:val="475569"/>
          <w:sz w:val="19"/>
        </w:rPr>
        <w:t>• Physical Concept and the Measurement Problem</w:t>
      </w:r>
    </w:p>
    <w:p>
      <w:pPr>
        <w:spacing w:after="20"/>
        <w:ind w:left="720"/>
      </w:pPr>
      <w:r>
        <w:rPr>
          <w:color w:val="475569"/>
          <w:sz w:val="19"/>
        </w:rPr>
        <w:t>• Mathematical Formulation and Wavepacket Derivation</w:t>
      </w:r>
    </w:p>
    <w:p>
      <w:pPr>
        <w:spacing w:after="20"/>
        <w:ind w:left="720"/>
      </w:pPr>
      <w:r>
        <w:rPr>
          <w:color w:val="475569"/>
          <w:sz w:val="19"/>
        </w:rPr>
        <w:t>• Experimental Evidence and Single-Slit Diffraction</w:t>
      </w:r>
    </w:p>
    <w:p>
      <w:pPr>
        <w:spacing w:after="20"/>
        <w:ind w:left="720"/>
      </w:pPr>
      <w:r>
        <w:rPr>
          <w:color w:val="475569"/>
          <w:sz w:val="19"/>
        </w:rPr>
        <w:t>• Physical Interpretation and Non-Existence of Electrons in the Nucleus</w:t>
      </w:r>
    </w:p>
    <w:p>
      <w:pPr>
        <w:spacing w:after="20"/>
        <w:ind w:left="720"/>
      </w:pPr>
      <w:r>
        <w:rPr>
          <w:color w:val="475569"/>
          <w:sz w:val="19"/>
        </w:rPr>
        <w:t>• Quantum Limits in Precision Metrology and Sensing</w:t>
      </w:r>
    </w:p>
    <w:p>
      <w:pPr>
        <w:spacing w:after="40"/>
        <w:ind w:left="360"/>
      </w:pPr>
      <w:r>
        <w:rPr>
          <w:sz w:val="21"/>
        </w:rPr>
        <w:t>Particle in a 1D Box</w:t>
      </w:r>
    </w:p>
    <w:p>
      <w:pPr>
        <w:spacing w:after="20"/>
        <w:ind w:left="720"/>
      </w:pPr>
      <w:r>
        <w:rPr>
          <w:color w:val="475569"/>
          <w:sz w:val="19"/>
        </w:rPr>
        <w:t>• Physical Concept and Fundamental Principles of Particle in a 1D Box</w:t>
      </w:r>
    </w:p>
    <w:p>
      <w:pPr>
        <w:spacing w:after="20"/>
        <w:ind w:left="720"/>
      </w:pPr>
      <w:r>
        <w:rPr>
          <w:color w:val="475569"/>
          <w:sz w:val="19"/>
        </w:rPr>
        <w:t>• Mathematical Formulation and Governing Equations of Particle in a 1D Box</w:t>
      </w:r>
    </w:p>
    <w:p>
      <w:pPr>
        <w:spacing w:after="20"/>
        <w:ind w:left="720"/>
      </w:pPr>
      <w:r>
        <w:rPr>
          <w:color w:val="475569"/>
          <w:sz w:val="19"/>
        </w:rPr>
        <w:t>• Analytical Derivation and Boundary Conditions for Particle in a 1D Box</w:t>
      </w:r>
    </w:p>
    <w:p>
      <w:pPr>
        <w:spacing w:after="20"/>
        <w:ind w:left="720"/>
      </w:pPr>
      <w:r>
        <w:rPr>
          <w:color w:val="475569"/>
          <w:sz w:val="19"/>
        </w:rPr>
        <w:t>• Physical Interpretation of Solutions and Eigenstates in Particle in a 1D Box</w:t>
      </w:r>
    </w:p>
    <w:p>
      <w:pPr>
        <w:spacing w:after="20"/>
        <w:ind w:left="720"/>
      </w:pPr>
      <w:r>
        <w:rPr>
          <w:color w:val="475569"/>
          <w:sz w:val="19"/>
        </w:rPr>
        <w:t>• Engineering Applications and Technological Relevance of Particle in a 1D Box</w:t>
      </w:r>
    </w:p>
    <w:p>
      <w:pPr>
        <w:spacing w:after="20"/>
        <w:ind w:left="720"/>
      </w:pPr>
      <w:r>
        <w:rPr>
          <w:color w:val="475569"/>
          <w:sz w:val="19"/>
        </w:rPr>
        <w:t>• Physical Limitations, Assumptions, and Boundary Scope of Particle in a 1D Box</w:t>
      </w:r>
    </w:p>
    <w:p>
      <w:r>
        <w:br w:type="page"/>
      </w:r>
    </w:p>
    <w:p>
      <w:pPr>
        <w:pStyle w:val="Heading1"/>
        <w:spacing w:before="480" w:after="240"/>
      </w:pPr>
      <w:r>
        <w:t>Quantum Foundations</w:t>
      </w:r>
    </w:p>
    <w:p>
      <w:pPr>
        <w:pStyle w:val="Heading2"/>
        <w:spacing w:before="240" w:after="160"/>
      </w:pPr>
      <w:r>
        <w:t>Chapter Overview &amp; Objectives</w:t>
      </w:r>
    </w:p>
    <w:p>
      <w:pPr>
        <w:spacing w:line="360" w:lineRule="auto" w:after="120"/>
        <w:jc w:val="both"/>
      </w:pPr>
      <w:r>
        <w:rPr>
          <w:rFonts w:ascii="Times New Roman" w:hAnsi="Times New Roman"/>
          <w:sz w:val="24"/>
        </w:rPr>
        <w:t>Comprehensive academic treatise and pedagogical framework on Quantum Foundations.</w:t>
      </w:r>
    </w:p>
    <w:p>
      <w:r>
        <w:br w:type="page"/>
      </w:r>
    </w:p>
    <w:p>
      <w:pPr>
        <w:pStyle w:val="Heading2"/>
        <w:spacing w:before="400" w:after="160"/>
      </w:pPr>
      <w:r>
        <w:t>Wave Nature of Particles</w:t>
      </w:r>
    </w:p>
    <w:p>
      <w:pPr>
        <w:pStyle w:val="Heading3"/>
        <w:spacing w:before="280" w:after="120"/>
      </w:pPr>
      <w:r>
        <w:t>Historical Evolution from Radiation Duality to Matter Waves</w:t>
      </w:r>
    </w:p>
    <w:p>
      <w:pPr>
        <w:spacing w:line="360" w:lineRule="auto" w:after="120"/>
        <w:jc w:val="both"/>
      </w:pPr>
      <w:r>
        <w:rPr>
          <w:rFonts w:ascii="Times New Roman" w:hAnsi="Times New Roman"/>
          <w:sz w:val="24"/>
        </w:rPr>
        <w:t>The pedagogical study of Historical Evolution from Radiation Duality to Matter Waves within the domain of Wave Nature of Particles establishes the foundational principles of modern technical physics. By analyzing the governing theoretical mechanisms through the lens of modern experimental verification and analytical rigor, students develop an intuitive and quantitative mastery of how microscopic quantum properties govern macroscopic physical phenomena.</w:t>
      </w:r>
    </w:p>
    <w:p>
      <w:pPr>
        <w:spacing w:line="360" w:lineRule="auto" w:after="120"/>
        <w:jc w:val="both"/>
      </w:pPr>
      <w:r>
        <w:rPr>
          <w:rFonts w:ascii="Times New Roman" w:hAnsi="Times New Roman"/>
          <w:sz w:val="24"/>
        </w:rPr>
        <w:t>Through systematic formulation of the governing equations and careful evaluation of domain boundary constraints, the analytical framework provides a rigorous foundation for downstream engineering design, materials characterization, and scientific modeling.</w:t>
      </w:r>
    </w:p>
    <w:p>
      <w:pPr>
        <w:pStyle w:val="Heading3"/>
        <w:spacing w:before="280" w:after="120"/>
      </w:pPr>
      <w:r>
        <w:t>Mathematical Expression of Matter Wavelengths</w:t>
      </w:r>
    </w:p>
    <w:p>
      <w:pPr>
        <w:pStyle w:val="Heading3"/>
        <w:spacing w:before="280" w:after="120"/>
      </w:pPr>
      <w:r>
        <w:t>Davisson-Germer and Thomson Electron Diffraction</w:t>
      </w:r>
    </w:p>
    <w:p>
      <w:pPr>
        <w:spacing w:before="2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ig_462bc93c.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1.1 — Apparatus Diagram: Davisson-Germer and Thomson Electron Diffraction</w:t>
      </w:r>
    </w:p>
    <w:p>
      <w:pPr>
        <w:pStyle w:val="Heading3"/>
        <w:spacing w:before="280" w:after="120"/>
      </w:pPr>
      <w:r>
        <w:t>Wavepacket Representation and Phase vs Group Velocity</w:t>
      </w:r>
    </w:p>
    <w:p>
      <w:pPr>
        <w:pStyle w:val="Heading3"/>
        <w:spacing w:before="280" w:after="120"/>
      </w:pPr>
      <w:r>
        <w:t>Physical Interpretation and Born Probability Amplitude</w:t>
      </w:r>
    </w:p>
    <w:p>
      <w:pPr>
        <w:pStyle w:val="Heading3"/>
        <w:spacing w:before="280" w:after="120"/>
      </w:pPr>
      <w:r>
        <w:t>Electron Beam Technologies in Semiconductor Metrology</w:t>
      </w:r>
    </w:p>
    <w:p>
      <w:pPr>
        <w:pStyle w:val="Heading2"/>
        <w:spacing w:before="400" w:after="160"/>
      </w:pPr>
      <w:r>
        <w:t>de Broglie Hypothesis</w:t>
      </w:r>
    </w:p>
    <w:p>
      <w:pPr>
        <w:pStyle w:val="Heading3"/>
        <w:spacing w:before="280" w:after="120"/>
      </w:pPr>
      <w:r>
        <w:t>Historical Motivation and Inadequacy of Classical Physics</w:t>
      </w:r>
    </w:p>
    <w:p>
      <w:pPr>
        <w:spacing w:line="360" w:lineRule="auto" w:after="120"/>
        <w:jc w:val="both"/>
      </w:pPr>
      <w:r>
        <w:rPr>
          <w:rFonts w:ascii="Times New Roman" w:hAnsi="Times New Roman"/>
          <w:sz w:val="24"/>
        </w:rPr>
        <w:t xml:space="preserve">In 1924, Louis de Broglie extended the wave-particle duality established for electromagnetic radiation to material particles. Beginning from Einstein's relativistic relation for photons, where energy is related to momentum by </w:t>
      </w:r>
      <m:oMath>
        <m:r>
          <m:t>E = pc</m:t>
        </m:r>
      </m:oMath>
      <w:r>
        <w:rPr>
          <w:rFonts w:ascii="Times New Roman" w:hAnsi="Times New Roman"/>
          <w:sz w:val="24"/>
        </w:rPr>
        <w:t xml:space="preserve">, and equating this to the Planck-Einstein quantum relation </w:t>
      </w:r>
      <m:oMath>
        <m:r>
          <m:t>E = hν = </m:t>
        </m:r>
        <m:f>
          <m:num>
            <m:r>
              <m:t>hc</m:t>
            </m:r>
          </m:num>
          <m:den>
            <m:r>
              <m:t>λ</m:t>
            </m:r>
          </m:den>
        </m:f>
      </m:oMath>
      <w:r>
        <w:rPr>
          <w:rFonts w:ascii="Times New Roman" w:hAnsi="Times New Roman"/>
          <w:sz w:val="24"/>
        </w:rPr>
        <w:t xml:space="preserve">, de Broglie deduced the photon momentum relation </w:t>
      </w:r>
      <m:oMath>
        <m:r>
          <m:t>p = </m:t>
        </m:r>
        <m:f>
          <m:num>
            <m:r>
              <m:t>h</m:t>
            </m:r>
          </m:num>
          <m:den>
            <m:r>
              <m:t>λ</m:t>
            </m:r>
          </m:den>
        </m:f>
      </m:oMath>
      <w:r>
        <w:rPr>
          <w:rFonts w:ascii="Times New Roman" w:hAnsi="Times New Roman"/>
          <w:sz w:val="24"/>
        </w:rPr>
        <w:t>.</w:t>
      </w:r>
    </w:p>
    <w:p>
      <w:pPr>
        <w:spacing w:line="360" w:lineRule="auto" w:after="120"/>
        <w:jc w:val="both"/>
      </w:pPr>
      <w:r>
        <w:rPr>
          <w:rFonts w:ascii="Times New Roman" w:hAnsi="Times New Roman"/>
          <w:sz w:val="24"/>
        </w:rPr>
        <w:t xml:space="preserve">Generalizing this hypothesis to all material bodies possessing mechanical momentum </w:t>
      </w:r>
      <m:oMath>
        <m:r>
          <m:t>p = mv</m:t>
        </m:r>
      </m:oMath>
      <w:r>
        <w:rPr>
          <w:rFonts w:ascii="Times New Roman" w:hAnsi="Times New Roman"/>
          <w:sz w:val="24"/>
        </w:rPr>
        <w:t>, de Broglie postulated the fundamental matter wavelength formula:</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line="360" w:lineRule="auto" w:after="120"/>
        <w:jc w:val="both"/>
      </w:pPr>
      <w:r>
        <w:rPr>
          <w:rFonts w:ascii="Times New Roman" w:hAnsi="Times New Roman"/>
          <w:sz w:val="24"/>
        </w:rPr>
        <w:t xml:space="preserve">where </w:t>
      </w:r>
      <m:oMath>
        <m:r>
          <m:t>h = 6.626 × 10</m:t>
        </m:r>
        <m:r>
          <m:t>^</m:t>
        </m:r>
        <m:r>
          <m:t>{-34</m:t>
        </m:r>
        <m:r>
          <m:t>} J</m:t>
        </m:r>
        <m:r>
          <m:t>\cdots</m:t>
        </m:r>
      </m:oMath>
      <w:r>
        <w:rPr>
          <w:rFonts w:ascii="Times New Roman" w:hAnsi="Times New Roman"/>
          <w:sz w:val="24"/>
        </w:rPr>
        <w:t xml:space="preserve"> is Planck's constant, </w:t>
      </w:r>
      <m:oMath>
        <m:r>
          <m:t>m</m:t>
        </m:r>
      </m:oMath>
      <w:r>
        <w:rPr>
          <w:rFonts w:ascii="Times New Roman" w:hAnsi="Times New Roman"/>
          <w:sz w:val="24"/>
        </w:rPr>
        <w:t xml:space="preserve"> is the particle mass, </w:t>
      </w:r>
      <m:oMath>
        <m:r>
          <m:t>v</m:t>
        </m:r>
      </m:oMath>
      <w:r>
        <w:rPr>
          <w:rFonts w:ascii="Times New Roman" w:hAnsi="Times New Roman"/>
          <w:sz w:val="24"/>
        </w:rPr>
        <w:t xml:space="preserve"> is its velocity, and </w:t>
      </w:r>
      <m:oMath>
        <m:sSub>
          <m:e>
            <m:r>
              <m:t>E</m:t>
            </m:r>
          </m:e>
          <m:sub>
            <m:r>
              <m:t>k</m:t>
            </m:r>
          </m:sub>
        </m:sSub>
      </m:oMath>
      <w:r>
        <w:rPr>
          <w:rFonts w:ascii="Times New Roman" w:hAnsi="Times New Roman"/>
          <w:sz w:val="24"/>
        </w:rPr>
        <w:t xml:space="preserve"> denotes kinetic energy. When an electric charge </w:t>
      </w:r>
      <m:oMath>
        <m:r>
          <m:t>q</m:t>
        </m:r>
      </m:oMath>
      <w:r>
        <w:rPr>
          <w:rFonts w:ascii="Times New Roman" w:hAnsi="Times New Roman"/>
          <w:sz w:val="24"/>
        </w:rPr>
        <w:t xml:space="preserve"> is accelerated from rest across an electrostatic potential difference </w:t>
      </w:r>
      <m:oMath>
        <m:r>
          <m:t>V</m:t>
        </m:r>
      </m:oMath>
      <w:r>
        <w:rPr>
          <w:rFonts w:ascii="Times New Roman" w:hAnsi="Times New Roman"/>
          <w:sz w:val="24"/>
        </w:rPr>
        <w:t xml:space="preserve">, the acquired kinetic energy equals </w:t>
      </w:r>
      <m:oMath>
        <m:sSub>
          <m:e>
            <m:r>
              <m:t>E</m:t>
            </m:r>
          </m:e>
          <m:sub>
            <m:r>
              <m:t>k</m:t>
            </m:r>
          </m:sub>
        </m:sSub>
        <m:r>
          <m:t> = qV</m:t>
        </m:r>
      </m:oMath>
      <w:r>
        <w:rPr>
          <w:rFonts w:ascii="Times New Roman" w:hAnsi="Times New Roman"/>
          <w:sz w:val="24"/>
        </w:rPr>
        <w:t>.</w:t>
      </w:r>
    </w:p>
    <w:p>
      <w:pPr>
        <w:spacing w:line="360" w:lineRule="auto" w:after="120"/>
        <w:jc w:val="both"/>
      </w:pPr>
      <w:r>
        <w:rPr>
          <w:rFonts w:ascii="Times New Roman" w:hAnsi="Times New Roman"/>
          <w:sz w:val="24"/>
        </w:rPr>
        <w:t xml:space="preserve">Substituting the rest mass </w:t>
      </w:r>
      <m:oMath>
        <m:sSub>
          <m:e>
            <m:r>
              <m:t>m</m:t>
            </m:r>
          </m:e>
          <m:sub>
            <m:r>
              <m:t>e</m:t>
            </m:r>
          </m:sub>
        </m:sSub>
        <m:r>
          <m:t> = 9.109 × 10</m:t>
        </m:r>
        <m:r>
          <m:t>^</m:t>
        </m:r>
        <m:r>
          <m:t>{-31</m:t>
        </m:r>
        <m:r>
          <m:t>} kg</m:t>
        </m:r>
      </m:oMath>
      <w:r>
        <w:rPr>
          <w:rFonts w:ascii="Times New Roman" w:hAnsi="Times New Roman"/>
          <w:sz w:val="24"/>
        </w:rPr>
        <w:t xml:space="preserve"> and elementary charge </w:t>
      </w:r>
      <m:oMath>
        <m:r>
          <m:t>e = 1.602 × 10</m:t>
        </m:r>
        <m:r>
          <m:t>^</m:t>
        </m:r>
        <m:r>
          <m:t>{-19</m:t>
        </m:r>
        <m:r>
          <m:t>} C</m:t>
        </m:r>
      </m:oMath>
      <w:r>
        <w:rPr>
          <w:rFonts w:ascii="Times New Roman" w:hAnsi="Times New Roman"/>
          <w:sz w:val="24"/>
        </w:rPr>
        <w:t xml:space="preserve"> for an electron yields the canonical expression:</w:t>
      </w:r>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spacing w:line="360" w:lineRule="auto" w:after="120"/>
        <w:jc w:val="both"/>
      </w:pPr>
      <w:r>
        <w:rPr>
          <w:rFonts w:ascii="Times New Roman" w:hAnsi="Times New Roman"/>
          <w:sz w:val="24"/>
        </w:rPr>
        <w:t>For accelerating voltages on the order of 50 V to 100 V, the resulting matter wavelength falls between 0.1 nm and 0.17 nm, which directly matches the interatomic lattice spacing of crystalline solids. Experimental verification by Davisson and Germer via electron diffraction off nickel crystal targets demonstrated Bragg diffraction peaks, firmly establishing the wave character of matter.</w:t>
      </w:r>
    </w:p>
    <w:p>
      <w:pPr>
        <w:pStyle w:val="Heading3"/>
        <w:spacing w:before="280" w:after="120"/>
      </w:pPr>
      <w:r>
        <w:t>The de Broglie Matter-Wave Postulate</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Derivation of the de Broglie Wavelength</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Phase Velocity and Group Velocity of Matter Waves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rPr>
          <w:tblHeader/>
        </w:trPr>
        <w:tc>
          <w:tcPr>
            <w:tcW w:type="dxa" w:w="2340"/>
            <w:vAlign w:val="center"/>
            <w:shd w:fill="F1F5F9"/>
          </w:tcPr>
          <w:p>
            <w:pPr>
              <w:spacing w:line="276" w:lineRule="auto" w:before="80" w:after="80"/>
            </w:pPr>
            <w:r>
              <w:rPr>
                <w:rFonts w:ascii="Times New Roman" w:hAnsi="Times New Roman"/>
                <w:b/>
                <w:color w:val="0F172A"/>
                <w:sz w:val="20"/>
              </w:rPr>
              <w:t>Propagation Regime</w:t>
            </w:r>
          </w:p>
        </w:tc>
        <w:tc>
          <w:tcPr>
            <w:tcW w:type="dxa" w:w="2340"/>
            <w:vAlign w:val="center"/>
            <w:shd w:fill="F1F5F9"/>
          </w:tcPr>
          <w:p>
            <w:pPr>
              <w:spacing w:line="276" w:lineRule="auto" w:before="80" w:after="80"/>
            </w:pPr>
            <w:r>
              <w:rPr>
                <w:rFonts w:ascii="Times New Roman" w:hAnsi="Times New Roman"/>
                <w:b/>
                <w:color w:val="0F172A"/>
                <w:sz w:val="20"/>
              </w:rPr>
              <w:t>Mathematical Condition</w:t>
            </w:r>
          </w:p>
        </w:tc>
        <w:tc>
          <w:tcPr>
            <w:tcW w:type="dxa" w:w="2340"/>
            <w:vAlign w:val="center"/>
            <w:shd w:fill="F1F5F9"/>
          </w:tcPr>
          <w:p>
            <w:pPr>
              <w:spacing w:line="276" w:lineRule="auto" w:before="80" w:after="80"/>
            </w:pPr>
            <w:r>
              <w:rPr>
                <w:rFonts w:ascii="Times New Roman" w:hAnsi="Times New Roman"/>
                <w:b/>
                <w:color w:val="0F172A"/>
                <w:sz w:val="20"/>
              </w:rPr>
              <w:t>Phase Velocity vs Group Velocity</w:t>
            </w:r>
          </w:p>
        </w:tc>
        <w:tc>
          <w:tcPr>
            <w:tcW w:type="dxa" w:w="2340"/>
            <w:vAlign w:val="center"/>
            <w:shd w:fill="F1F5F9"/>
          </w:tcPr>
          <w:p>
            <w:pPr>
              <w:spacing w:line="276" w:lineRule="auto" w:before="80" w:after="80"/>
            </w:pPr>
            <w:r>
              <w:rPr>
                <w:rFonts w:ascii="Times New Roman" w:hAnsi="Times New Roman"/>
                <w:b/>
                <w:color w:val="0F172A"/>
                <w:sz w:val="20"/>
              </w:rPr>
              <w:t>Physical Manifestation</w:t>
            </w:r>
          </w:p>
        </w:tc>
      </w:tr>
      <w:tr>
        <w:tc>
          <w:tcPr>
            <w:tcW w:type="dxa" w:w="2340"/>
            <w:vAlign w:val="center"/>
          </w:tcPr>
          <w:p>
            <w:pPr>
              <w:spacing w:line="276" w:lineRule="auto" w:before="80" w:after="80"/>
            </w:pPr>
            <w:r>
              <w:rPr>
                <w:rFonts w:ascii="Times New Roman" w:hAnsi="Times New Roman"/>
                <w:color w:val="334155"/>
                <w:sz w:val="20"/>
              </w:rPr>
              <w:t>Non-Dispersive (Vacuum EM)</w:t>
            </w:r>
          </w:p>
        </w:tc>
        <w:tc>
          <w:tcPr>
            <w:tcW w:type="dxa" w:w="2340"/>
            <w:vAlign w:val="center"/>
          </w:tcPr>
          <w:p>
            <w:pPr>
              <w:spacing w:line="276" w:lineRule="auto" w:before="80" w:after="80"/>
            </w:pPr>
            <w:r>
              <w:rPr>
                <w:rFonts w:ascii="Times New Roman" w:hAnsi="Times New Roman"/>
                <w:color w:val="334155"/>
                <w:sz w:val="20"/>
              </w:rPr>
              <w:t>dv_p / dλ = 0</w:t>
            </w:r>
          </w:p>
        </w:tc>
        <w:tc>
          <w:tcPr>
            <w:tcW w:type="dxa" w:w="2340"/>
            <w:vAlign w:val="center"/>
          </w:tcPr>
          <w:p>
            <w:pPr>
              <w:spacing w:line="276" w:lineRule="auto" w:before="80" w:after="80"/>
            </w:pPr>
            <w:r>
              <w:rPr>
                <w:rFonts w:ascii="Times New Roman" w:hAnsi="Times New Roman"/>
                <w:color w:val="334155"/>
                <w:sz w:val="20"/>
              </w:rPr>
              <w:t>v_g = v_p = c</w:t>
            </w:r>
          </w:p>
        </w:tc>
        <w:tc>
          <w:tcPr>
            <w:tcW w:type="dxa" w:w="2340"/>
            <w:vAlign w:val="center"/>
          </w:tcPr>
          <w:p>
            <w:pPr>
              <w:spacing w:line="276" w:lineRule="auto" w:before="80" w:after="80"/>
            </w:pPr>
            <w:r>
              <w:rPr>
                <w:rFonts w:ascii="Times New Roman" w:hAnsi="Times New Roman"/>
                <w:color w:val="334155"/>
                <w:sz w:val="20"/>
              </w:rPr>
              <w:t>Light pulses propagate without temporal distortion or spreading</w:t>
            </w:r>
          </w:p>
        </w:tc>
      </w:tr>
      <w:tr>
        <w:tc>
          <w:tcPr>
            <w:tcW w:type="dxa" w:w="2340"/>
            <w:vAlign w:val="center"/>
          </w:tcPr>
          <w:p>
            <w:pPr>
              <w:spacing w:line="276" w:lineRule="auto" w:before="80" w:after="80"/>
            </w:pPr>
            <w:r>
              <w:rPr>
                <w:rFonts w:ascii="Times New Roman" w:hAnsi="Times New Roman"/>
                <w:color w:val="334155"/>
                <w:sz w:val="20"/>
              </w:rPr>
              <w:t>Normal Dispersion (Glass, Water)</w:t>
            </w:r>
          </w:p>
        </w:tc>
        <w:tc>
          <w:tcPr>
            <w:tcW w:type="dxa" w:w="2340"/>
            <w:vAlign w:val="center"/>
          </w:tcPr>
          <w:p>
            <w:pPr>
              <w:spacing w:line="276" w:lineRule="auto" w:before="80" w:after="80"/>
            </w:pPr>
            <w:r>
              <w:rPr>
                <w:rFonts w:ascii="Times New Roman" w:hAnsi="Times New Roman"/>
                <w:color w:val="334155"/>
                <w:sz w:val="20"/>
              </w:rPr>
              <w:t>dv_p / dλ &gt; 0</w:t>
            </w:r>
          </w:p>
        </w:tc>
        <w:tc>
          <w:tcPr>
            <w:tcW w:type="dxa" w:w="2340"/>
            <w:vAlign w:val="center"/>
          </w:tcPr>
          <w:p>
            <w:pPr>
              <w:spacing w:line="276" w:lineRule="auto" w:before="80" w:after="80"/>
            </w:pPr>
            <w:r>
              <w:rPr>
                <w:rFonts w:ascii="Times New Roman" w:hAnsi="Times New Roman"/>
                <w:color w:val="334155"/>
                <w:sz w:val="20"/>
              </w:rPr>
              <w:t>v_g &lt; v_p</w:t>
            </w:r>
          </w:p>
        </w:tc>
        <w:tc>
          <w:tcPr>
            <w:tcW w:type="dxa" w:w="2340"/>
            <w:vAlign w:val="center"/>
          </w:tcPr>
          <w:p>
            <w:pPr>
              <w:spacing w:line="276" w:lineRule="auto" w:before="80" w:after="80"/>
            </w:pPr>
            <w:r>
              <w:rPr>
                <w:rFonts w:ascii="Times New Roman" w:hAnsi="Times New Roman"/>
                <w:color w:val="334155"/>
                <w:sz w:val="20"/>
              </w:rPr>
              <w:t>Blue light propagates slower than red light; pulse broadens</w:t>
            </w:r>
          </w:p>
        </w:tc>
      </w:tr>
      <w:tr>
        <w:tc>
          <w:tcPr>
            <w:tcW w:type="dxa" w:w="2340"/>
            <w:vAlign w:val="center"/>
          </w:tcPr>
          <w:p>
            <w:pPr>
              <w:spacing w:line="276" w:lineRule="auto" w:before="80" w:after="80"/>
            </w:pPr>
            <w:r>
              <w:rPr>
                <w:rFonts w:ascii="Times New Roman" w:hAnsi="Times New Roman"/>
                <w:color w:val="334155"/>
                <w:sz w:val="20"/>
              </w:rPr>
              <w:t>Anomalous Dispersion</w:t>
            </w:r>
          </w:p>
        </w:tc>
        <w:tc>
          <w:tcPr>
            <w:tcW w:type="dxa" w:w="2340"/>
            <w:vAlign w:val="center"/>
          </w:tcPr>
          <w:p>
            <w:pPr>
              <w:spacing w:line="276" w:lineRule="auto" w:before="80" w:after="80"/>
            </w:pPr>
            <w:r>
              <w:rPr>
                <w:rFonts w:ascii="Times New Roman" w:hAnsi="Times New Roman"/>
                <w:color w:val="334155"/>
                <w:sz w:val="20"/>
              </w:rPr>
              <w:t>dv_p / dλ &lt; 0</w:t>
            </w:r>
          </w:p>
        </w:tc>
        <w:tc>
          <w:tcPr>
            <w:tcW w:type="dxa" w:w="2340"/>
            <w:vAlign w:val="center"/>
          </w:tcPr>
          <w:p>
            <w:pPr>
              <w:spacing w:line="276" w:lineRule="auto" w:before="80" w:after="80"/>
            </w:pPr>
            <w:r>
              <w:rPr>
                <w:rFonts w:ascii="Times New Roman" w:hAnsi="Times New Roman"/>
                <w:color w:val="334155"/>
                <w:sz w:val="20"/>
              </w:rPr>
              <w:t>v_g &gt; v_p</w:t>
            </w:r>
          </w:p>
        </w:tc>
        <w:tc>
          <w:tcPr>
            <w:tcW w:type="dxa" w:w="2340"/>
            <w:vAlign w:val="center"/>
          </w:tcPr>
          <w:p>
            <w:pPr>
              <w:spacing w:line="276" w:lineRule="auto" w:before="80" w:after="80"/>
            </w:pPr>
            <w:r>
              <w:rPr>
                <w:rFonts w:ascii="Times New Roman" w:hAnsi="Times New Roman"/>
                <w:color w:val="334155"/>
                <w:sz w:val="20"/>
              </w:rPr>
              <w:t>Occurs near atomic absorption resonance bands</w:t>
            </w:r>
          </w:p>
        </w:tc>
      </w:tr>
      <w:tr>
        <w:tc>
          <w:tcPr>
            <w:tcW w:type="dxa" w:w="2340"/>
            <w:vAlign w:val="center"/>
          </w:tcPr>
          <w:p>
            <w:pPr>
              <w:spacing w:line="276" w:lineRule="auto" w:before="80" w:after="80"/>
            </w:pPr>
            <w:r>
              <w:rPr>
                <w:rFonts w:ascii="Times New Roman" w:hAnsi="Times New Roman"/>
                <w:color w:val="334155"/>
                <w:sz w:val="20"/>
              </w:rPr>
              <w:t>De Broglie Matter Wave (Non-relativistic)</w:t>
            </w:r>
          </w:p>
        </w:tc>
        <w:tc>
          <w:tcPr>
            <w:tcW w:type="dxa" w:w="2340"/>
            <w:vAlign w:val="center"/>
          </w:tcPr>
          <w:p>
            <w:pPr>
              <w:spacing w:line="276" w:lineRule="auto" w:before="80" w:after="80"/>
            </w:pPr>
            <w:r>
              <w:rPr>
                <w:rFonts w:ascii="Times New Roman" w:hAnsi="Times New Roman"/>
                <w:color w:val="334155"/>
                <w:sz w:val="20"/>
              </w:rPr>
              <w:t>= ℏ k^2 / 2m</w:t>
            </w:r>
          </w:p>
        </w:tc>
        <w:tc>
          <w:tcPr>
            <w:tcW w:type="dxa" w:w="2340"/>
            <w:vAlign w:val="center"/>
          </w:tcPr>
          <w:p>
            <w:pPr>
              <w:spacing w:line="276" w:lineRule="auto" w:before="80" w:after="80"/>
            </w:pPr>
            <w:r>
              <w:rPr>
                <w:rFonts w:ascii="Times New Roman" w:hAnsi="Times New Roman"/>
                <w:color w:val="334155"/>
                <w:sz w:val="20"/>
              </w:rPr>
              <w:t>v_p = v/2, v_g = v</w:t>
            </w:r>
          </w:p>
        </w:tc>
        <w:tc>
          <w:tcPr>
            <w:tcW w:type="dxa" w:w="2340"/>
            <w:vAlign w:val="center"/>
          </w:tcPr>
          <w:p>
            <w:pPr>
              <w:spacing w:line="276" w:lineRule="auto" w:before="80" w:after="80"/>
            </w:pPr>
            <w:r>
              <w:rPr>
                <w:rFonts w:ascii="Times New Roman" w:hAnsi="Times New Roman"/>
                <w:color w:val="334155"/>
                <w:sz w:val="20"/>
              </w:rPr>
              <w:t>Wave packet envelope tracks the physical particle velocity</w:t>
            </w:r>
          </w:p>
        </w:tc>
      </w:tr>
    </w:tbl>
    <w:p>
      <w:pPr>
        <w:pStyle w:val="Heading3"/>
        <w:spacing w:before="280" w:after="120"/>
      </w:pPr>
      <w:r>
        <w:t>Experimental Confirmation by Davisson and Germer</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rPr>
          <w:tblHeader/>
        </w:trPr>
        <w:tc>
          <w:tcPr>
            <w:tcW w:type="dxa" w:w="1560"/>
            <w:vAlign w:val="center"/>
            <w:shd w:fill="F1F5F9"/>
          </w:tcPr>
          <w:p>
            <w:pPr>
              <w:spacing w:line="276" w:lineRule="auto" w:before="80" w:after="80"/>
            </w:pPr>
            <w:r>
              <w:rPr>
                <w:rFonts w:ascii="Times New Roman" w:hAnsi="Times New Roman"/>
                <w:b/>
                <w:color w:val="0F172A"/>
                <w:sz w:val="20"/>
              </w:rPr>
              <w:t>Entity / Particle</w:t>
            </w:r>
          </w:p>
        </w:tc>
        <w:tc>
          <w:tcPr>
            <w:tcW w:type="dxa" w:w="1560"/>
            <w:vAlign w:val="center"/>
            <w:shd w:fill="F1F5F9"/>
          </w:tcPr>
          <w:p>
            <w:pPr>
              <w:spacing w:line="276" w:lineRule="auto" w:before="80" w:after="80"/>
            </w:pPr>
            <w:r>
              <w:rPr>
                <w:rFonts w:ascii="Times New Roman" w:hAnsi="Times New Roman"/>
                <w:b/>
                <w:color w:val="0F172A"/>
                <w:sz w:val="20"/>
              </w:rPr>
              <w:t>Rest Mass m (kg)</w:t>
            </w:r>
          </w:p>
        </w:tc>
        <w:tc>
          <w:tcPr>
            <w:tcW w:type="dxa" w:w="1560"/>
            <w:vAlign w:val="center"/>
            <w:shd w:fill="F1F5F9"/>
          </w:tcPr>
          <w:p>
            <w:pPr>
              <w:spacing w:line="276" w:lineRule="auto" w:before="80" w:after="80"/>
            </w:pPr>
            <w:r>
              <w:rPr>
                <w:rFonts w:ascii="Times New Roman" w:hAnsi="Times New Roman"/>
                <w:b/>
                <w:color w:val="0F172A"/>
                <w:sz w:val="20"/>
              </w:rPr>
              <w:t>Typical Velocity v (m/s)</w:t>
            </w:r>
          </w:p>
        </w:tc>
        <w:tc>
          <w:tcPr>
            <w:tcW w:type="dxa" w:w="1560"/>
            <w:vAlign w:val="center"/>
            <w:shd w:fill="F1F5F9"/>
          </w:tcPr>
          <w:p>
            <w:pPr>
              <w:spacing w:line="276" w:lineRule="auto" w:before="80" w:after="80"/>
            </w:pPr>
            <w:r>
              <w:rPr>
                <w:rFonts w:ascii="Times New Roman" w:hAnsi="Times New Roman"/>
                <w:b/>
                <w:color w:val="0F172A"/>
                <w:sz w:val="20"/>
              </w:rPr>
              <w:t>Momentum p (kg·m/s)</w:t>
            </w:r>
          </w:p>
        </w:tc>
        <w:tc>
          <w:tcPr>
            <w:tcW w:type="dxa" w:w="1560"/>
            <w:vAlign w:val="center"/>
            <w:shd w:fill="F1F5F9"/>
          </w:tcPr>
          <w:p>
            <w:pPr>
              <w:spacing w:line="276" w:lineRule="auto" w:before="80" w:after="80"/>
            </w:pPr>
            <w:r>
              <w:rPr>
                <w:rFonts w:ascii="Times New Roman" w:hAnsi="Times New Roman"/>
                <w:b/>
                <w:color w:val="0F172A"/>
                <w:sz w:val="20"/>
              </w:rPr>
              <w:t>De Broglie Wavelength λ</w:t>
            </w:r>
          </w:p>
        </w:tc>
        <w:tc>
          <w:tcPr>
            <w:tcW w:type="dxa" w:w="1560"/>
            <w:vAlign w:val="center"/>
            <w:shd w:fill="F1F5F9"/>
          </w:tcPr>
          <w:p>
            <w:pPr>
              <w:spacing w:line="276" w:lineRule="auto" w:before="80" w:after="80"/>
            </w:pPr>
            <w:r>
              <w:rPr>
                <w:rFonts w:ascii="Times New Roman" w:hAnsi="Times New Roman"/>
                <w:b/>
                <w:color w:val="0F172A"/>
                <w:sz w:val="20"/>
              </w:rPr>
              <w:t>Observable Wave Effects</w:t>
            </w:r>
          </w:p>
        </w:tc>
      </w:tr>
      <w:tr>
        <w:tc>
          <w:tcPr>
            <w:tcW w:type="dxa" w:w="1560"/>
            <w:vAlign w:val="center"/>
          </w:tcPr>
          <w:p>
            <w:pPr>
              <w:spacing w:line="276" w:lineRule="auto" w:before="80" w:after="80"/>
            </w:pPr>
            <w:r>
              <w:rPr>
                <w:rFonts w:ascii="Times New Roman" w:hAnsi="Times New Roman"/>
                <w:color w:val="334155"/>
                <w:sz w:val="20"/>
              </w:rPr>
              <w:t>Cricket Ball</w:t>
            </w:r>
          </w:p>
        </w:tc>
        <w:tc>
          <w:tcPr>
            <w:tcW w:type="dxa" w:w="1560"/>
            <w:vAlign w:val="center"/>
          </w:tcPr>
          <w:p>
            <w:pPr>
              <w:spacing w:line="276" w:lineRule="auto" w:before="80" w:after="80"/>
            </w:pPr>
            <w:r>
              <w:rPr>
                <w:rFonts w:ascii="Times New Roman" w:hAnsi="Times New Roman"/>
                <w:color w:val="334155"/>
                <w:sz w:val="20"/>
              </w:rPr>
              <w:t>0.15 kg</w:t>
            </w:r>
          </w:p>
        </w:tc>
        <w:tc>
          <w:tcPr>
            <w:tcW w:type="dxa" w:w="1560"/>
            <w:vAlign w:val="center"/>
          </w:tcPr>
          <w:p>
            <w:pPr>
              <w:spacing w:line="276" w:lineRule="auto" w:before="80" w:after="80"/>
            </w:pPr>
            <w:r>
              <w:rPr>
                <w:rFonts w:ascii="Times New Roman" w:hAnsi="Times New Roman"/>
                <w:color w:val="334155"/>
                <w:sz w:val="20"/>
              </w:rPr>
              <w:t>30 m/s</w:t>
            </w:r>
          </w:p>
        </w:tc>
        <w:tc>
          <w:tcPr>
            <w:tcW w:type="dxa" w:w="1560"/>
            <w:vAlign w:val="center"/>
          </w:tcPr>
          <w:p>
            <w:pPr>
              <w:spacing w:line="276" w:lineRule="auto" w:before="80" w:after="80"/>
            </w:pPr>
            <w:r>
              <w:rPr>
                <w:rFonts w:ascii="Times New Roman" w:hAnsi="Times New Roman"/>
                <w:color w:val="334155"/>
                <w:sz w:val="20"/>
              </w:rPr>
              <w:t>4.5 kg·m/s</w:t>
            </w:r>
          </w:p>
        </w:tc>
        <w:tc>
          <w:tcPr>
            <w:tcW w:type="dxa" w:w="1560"/>
            <w:vAlign w:val="center"/>
          </w:tcPr>
          <w:p>
            <w:pPr>
              <w:spacing w:line="276" w:lineRule="auto" w:before="80" w:after="80"/>
            </w:pPr>
            <w:r>
              <w:rPr>
                <w:rFonts w:ascii="Times New Roman" w:hAnsi="Times New Roman"/>
                <w:color w:val="334155"/>
                <w:sz w:val="20"/>
              </w:rPr>
              <w:t>1.47 × 10^-34 m</w:t>
            </w:r>
          </w:p>
        </w:tc>
        <w:tc>
          <w:tcPr>
            <w:tcW w:type="dxa" w:w="1560"/>
            <w:vAlign w:val="center"/>
          </w:tcPr>
          <w:p>
            <w:pPr>
              <w:spacing w:line="276" w:lineRule="auto" w:before="80" w:after="80"/>
            </w:pPr>
            <w:r>
              <w:rPr>
                <w:rFonts w:ascii="Times New Roman" w:hAnsi="Times New Roman"/>
                <w:color w:val="334155"/>
                <w:sz w:val="20"/>
              </w:rPr>
              <w:t>Completely undetectable; sub-Planck scale</w:t>
            </w:r>
          </w:p>
        </w:tc>
      </w:tr>
      <w:tr>
        <w:tc>
          <w:tcPr>
            <w:tcW w:type="dxa" w:w="1560"/>
            <w:vAlign w:val="center"/>
          </w:tcPr>
          <w:p>
            <w:pPr>
              <w:spacing w:line="276" w:lineRule="auto" w:before="80" w:after="80"/>
            </w:pPr>
            <w:r>
              <w:rPr>
                <w:rFonts w:ascii="Times New Roman" w:hAnsi="Times New Roman"/>
                <w:color w:val="334155"/>
                <w:sz w:val="20"/>
              </w:rPr>
              <w:t>Smoke Particle</w:t>
            </w:r>
          </w:p>
        </w:tc>
        <w:tc>
          <w:tcPr>
            <w:tcW w:type="dxa" w:w="1560"/>
            <w:vAlign w:val="center"/>
          </w:tcPr>
          <w:p>
            <w:pPr>
              <w:spacing w:line="276" w:lineRule="auto" w:before="80" w:after="80"/>
            </w:pPr>
            <w:r>
              <w:rPr>
                <w:rFonts w:ascii="Times New Roman" w:hAnsi="Times New Roman"/>
                <w:color w:val="334155"/>
                <w:sz w:val="20"/>
              </w:rPr>
              <w:t>1.0 × 10^-15 kg</w:t>
            </w:r>
          </w:p>
        </w:tc>
        <w:tc>
          <w:tcPr>
            <w:tcW w:type="dxa" w:w="1560"/>
            <w:vAlign w:val="center"/>
          </w:tcPr>
          <w:p>
            <w:pPr>
              <w:spacing w:line="276" w:lineRule="auto" w:before="80" w:after="80"/>
            </w:pPr>
            <w:r>
              <w:rPr>
                <w:rFonts w:ascii="Times New Roman" w:hAnsi="Times New Roman"/>
                <w:color w:val="334155"/>
                <w:sz w:val="20"/>
              </w:rPr>
              <w:t>0.01 m/s</w:t>
            </w:r>
          </w:p>
        </w:tc>
        <w:tc>
          <w:tcPr>
            <w:tcW w:type="dxa" w:w="1560"/>
            <w:vAlign w:val="center"/>
          </w:tcPr>
          <w:p>
            <w:pPr>
              <w:spacing w:line="276" w:lineRule="auto" w:before="80" w:after="80"/>
            </w:pPr>
            <w:r>
              <w:rPr>
                <w:rFonts w:ascii="Times New Roman" w:hAnsi="Times New Roman"/>
                <w:color w:val="334155"/>
                <w:sz w:val="20"/>
              </w:rPr>
              <w:t>1.0 × 10^-17 kg·m/s</w:t>
            </w:r>
          </w:p>
        </w:tc>
        <w:tc>
          <w:tcPr>
            <w:tcW w:type="dxa" w:w="1560"/>
            <w:vAlign w:val="center"/>
          </w:tcPr>
          <w:p>
            <w:pPr>
              <w:spacing w:line="276" w:lineRule="auto" w:before="80" w:after="80"/>
            </w:pPr>
            <w:r>
              <w:rPr>
                <w:rFonts w:ascii="Times New Roman" w:hAnsi="Times New Roman"/>
                <w:color w:val="334155"/>
                <w:sz w:val="20"/>
              </w:rPr>
              <w:t>6.63 × 10^-17 m</w:t>
            </w:r>
          </w:p>
        </w:tc>
        <w:tc>
          <w:tcPr>
            <w:tcW w:type="dxa" w:w="1560"/>
            <w:vAlign w:val="center"/>
          </w:tcPr>
          <w:p>
            <w:pPr>
              <w:spacing w:line="276" w:lineRule="auto" w:before="80" w:after="80"/>
            </w:pPr>
            <w:r>
              <w:rPr>
                <w:rFonts w:ascii="Times New Roman" w:hAnsi="Times New Roman"/>
                <w:color w:val="334155"/>
                <w:sz w:val="20"/>
              </w:rPr>
              <w:t>Far smaller than nuclear dimensions</w:t>
            </w:r>
          </w:p>
        </w:tc>
      </w:tr>
      <w:tr>
        <w:tc>
          <w:tcPr>
            <w:tcW w:type="dxa" w:w="1560"/>
            <w:vAlign w:val="center"/>
          </w:tcPr>
          <w:p>
            <w:pPr>
              <w:spacing w:line="276" w:lineRule="auto" w:before="80" w:after="80"/>
            </w:pPr>
            <w:r>
              <w:rPr>
                <w:rFonts w:ascii="Times New Roman" w:hAnsi="Times New Roman"/>
                <w:color w:val="334155"/>
                <w:sz w:val="20"/>
              </w:rPr>
              <w:t>Thermal Neutron</w:t>
            </w:r>
          </w:p>
        </w:tc>
        <w:tc>
          <w:tcPr>
            <w:tcW w:type="dxa" w:w="1560"/>
            <w:vAlign w:val="center"/>
          </w:tcPr>
          <w:p>
            <w:pPr>
              <w:spacing w:line="276" w:lineRule="auto" w:before="80" w:after="80"/>
            </w:pPr>
            <w:r>
              <w:rPr>
                <w:rFonts w:ascii="Times New Roman" w:hAnsi="Times New Roman"/>
                <w:color w:val="334155"/>
                <w:sz w:val="20"/>
              </w:rPr>
              <w:t>1.675 × 10^-27 kg</w:t>
            </w:r>
          </w:p>
        </w:tc>
        <w:tc>
          <w:tcPr>
            <w:tcW w:type="dxa" w:w="1560"/>
            <w:vAlign w:val="center"/>
          </w:tcPr>
          <w:p>
            <w:pPr>
              <w:spacing w:line="276" w:lineRule="auto" w:before="80" w:after="80"/>
            </w:pPr>
            <w:r>
              <w:rPr>
                <w:rFonts w:ascii="Times New Roman" w:hAnsi="Times New Roman"/>
                <w:color w:val="334155"/>
                <w:sz w:val="20"/>
              </w:rPr>
              <w:t>2.20 × 10^3 m/s</w:t>
            </w:r>
          </w:p>
        </w:tc>
        <w:tc>
          <w:tcPr>
            <w:tcW w:type="dxa" w:w="1560"/>
            <w:vAlign w:val="center"/>
          </w:tcPr>
          <w:p>
            <w:pPr>
              <w:spacing w:line="276" w:lineRule="auto" w:before="80" w:after="80"/>
            </w:pPr>
            <w:r>
              <w:rPr>
                <w:rFonts w:ascii="Times New Roman" w:hAnsi="Times New Roman"/>
                <w:color w:val="334155"/>
                <w:sz w:val="20"/>
              </w:rPr>
              <w:t>3.68 × 10^-24 kg·m/s</w:t>
            </w:r>
          </w:p>
        </w:tc>
        <w:tc>
          <w:tcPr>
            <w:tcW w:type="dxa" w:w="1560"/>
            <w:vAlign w:val="center"/>
          </w:tcPr>
          <w:p>
            <w:pPr>
              <w:spacing w:line="276" w:lineRule="auto" w:before="80" w:after="80"/>
            </w:pPr>
            <w:r>
              <w:rPr>
                <w:rFonts w:ascii="Times New Roman" w:hAnsi="Times New Roman"/>
                <w:color w:val="334155"/>
                <w:sz w:val="20"/>
              </w:rPr>
              <w:t>1.80 × 10^-10 m (1.80 Å)</w:t>
            </w:r>
          </w:p>
        </w:tc>
        <w:tc>
          <w:tcPr>
            <w:tcW w:type="dxa" w:w="1560"/>
            <w:vAlign w:val="center"/>
          </w:tcPr>
          <w:p>
            <w:pPr>
              <w:spacing w:line="276" w:lineRule="auto" w:before="80" w:after="80"/>
            </w:pPr>
            <w:r>
              <w:rPr>
                <w:rFonts w:ascii="Times New Roman" w:hAnsi="Times New Roman"/>
                <w:color w:val="334155"/>
                <w:sz w:val="20"/>
              </w:rPr>
              <w:t>Readily diffracted by crystal lattices</w:t>
            </w:r>
          </w:p>
        </w:tc>
      </w:tr>
      <w:tr>
        <w:tc>
          <w:tcPr>
            <w:tcW w:type="dxa" w:w="1560"/>
            <w:vAlign w:val="center"/>
          </w:tcPr>
          <w:p>
            <w:pPr>
              <w:spacing w:line="276" w:lineRule="auto" w:before="80" w:after="80"/>
            </w:pPr>
            <w:r>
              <w:rPr>
                <w:rFonts w:ascii="Times New Roman" w:hAnsi="Times New Roman"/>
                <w:color w:val="334155"/>
                <w:sz w:val="20"/>
              </w:rPr>
              <w:t>Electron (100 V)</w:t>
            </w:r>
          </w:p>
        </w:tc>
        <w:tc>
          <w:tcPr>
            <w:tcW w:type="dxa" w:w="1560"/>
            <w:vAlign w:val="center"/>
          </w:tcPr>
          <w:p>
            <w:pPr>
              <w:spacing w:line="276" w:lineRule="auto" w:before="80" w:after="80"/>
            </w:pPr>
            <w:r>
              <w:rPr>
                <w:rFonts w:ascii="Times New Roman" w:hAnsi="Times New Roman"/>
                <w:color w:val="334155"/>
                <w:sz w:val="20"/>
              </w:rPr>
              <w:t>9.109 × 10^-31 kg</w:t>
            </w:r>
          </w:p>
        </w:tc>
        <w:tc>
          <w:tcPr>
            <w:tcW w:type="dxa" w:w="1560"/>
            <w:vAlign w:val="center"/>
          </w:tcPr>
          <w:p>
            <w:pPr>
              <w:spacing w:line="276" w:lineRule="auto" w:before="80" w:after="80"/>
            </w:pPr>
            <w:r>
              <w:rPr>
                <w:rFonts w:ascii="Times New Roman" w:hAnsi="Times New Roman"/>
                <w:color w:val="334155"/>
                <w:sz w:val="20"/>
              </w:rPr>
              <w:t>5.93 × 10^6 m/s</w:t>
            </w:r>
          </w:p>
        </w:tc>
        <w:tc>
          <w:tcPr>
            <w:tcW w:type="dxa" w:w="1560"/>
            <w:vAlign w:val="center"/>
          </w:tcPr>
          <w:p>
            <w:pPr>
              <w:spacing w:line="276" w:lineRule="auto" w:before="80" w:after="80"/>
            </w:pPr>
            <w:r>
              <w:rPr>
                <w:rFonts w:ascii="Times New Roman" w:hAnsi="Times New Roman"/>
                <w:color w:val="334155"/>
                <w:sz w:val="20"/>
              </w:rPr>
              <w:t>5.40 × 10^-24 kg·m/s</w:t>
            </w:r>
          </w:p>
        </w:tc>
        <w:tc>
          <w:tcPr>
            <w:tcW w:type="dxa" w:w="1560"/>
            <w:vAlign w:val="center"/>
          </w:tcPr>
          <w:p>
            <w:pPr>
              <w:spacing w:line="276" w:lineRule="auto" w:before="80" w:after="80"/>
            </w:pPr>
            <w:r>
              <w:rPr>
                <w:rFonts w:ascii="Times New Roman" w:hAnsi="Times New Roman"/>
                <w:color w:val="334155"/>
                <w:sz w:val="20"/>
              </w:rPr>
              <w:t>1.23 × 10^-10 m (1.23 Å)</w:t>
            </w:r>
          </w:p>
        </w:tc>
        <w:tc>
          <w:tcPr>
            <w:tcW w:type="dxa" w:w="1560"/>
            <w:vAlign w:val="center"/>
          </w:tcPr>
          <w:p>
            <w:pPr>
              <w:spacing w:line="276" w:lineRule="auto" w:before="80" w:after="80"/>
            </w:pPr>
            <w:r>
              <w:rPr>
                <w:rFonts w:ascii="Times New Roman" w:hAnsi="Times New Roman"/>
                <w:color w:val="334155"/>
                <w:sz w:val="20"/>
              </w:rPr>
              <w:t>Primary operational basis of electron microscopy</w:t>
            </w:r>
          </w:p>
        </w:tc>
      </w:tr>
    </w:tbl>
    <w:p>
      <w:pPr>
        <w:spacing w:before="28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_462bc93c.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1.2 — Apparatus Diagram: Experimental Confirmation by Davisson and Germer</w:t>
      </w:r>
    </w:p>
    <w:p>
      <w:pPr>
        <w:pStyle w:val="Heading3"/>
        <w:spacing w:before="280" w:after="120"/>
      </w:pPr>
      <w:r>
        <w:t>Physical Interpretation and Matter Wave Limitations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Electron Microscopy and Modern Engineering Applications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2"/>
        <w:spacing w:before="400" w:after="160"/>
      </w:pPr>
      <w:r>
        <w:t>Phase Velocity and Group Velocity</w:t>
      </w:r>
    </w:p>
    <w:p>
      <w:pPr>
        <w:pStyle w:val="Heading3"/>
        <w:spacing w:before="280" w:after="120"/>
      </w:pPr>
      <w:r>
        <w:t>Superposition of Harmonic Waves and Wavepacket Formation</w:t>
      </w:r>
    </w:p>
    <w:p>
      <w:pPr>
        <w:spacing w:line="360" w:lineRule="auto" w:after="120"/>
        <w:jc w:val="both"/>
      </w:pPr>
      <w:r>
        <w:rPr>
          <w:rFonts w:ascii="Times New Roman" w:hAnsi="Times New Roman"/>
          <w:sz w:val="24"/>
        </w:rPr>
        <w:t xml:space="preserve">When harmonic matter waves propagate through a dispersive medium, two distinct velocities describe their dynamical evolution. Phase velocity </w:t>
      </w:r>
      <m:oMath>
        <m:sSub>
          <m:e>
            <m:r>
              <m:t>v</m:t>
            </m:r>
          </m:e>
          <m:sub>
            <m:r>
              <m:t>p</m:t>
            </m:r>
          </m:sub>
        </m:sSub>
        <m:r>
          <m:t> = </m:t>
        </m:r>
        <m:f>
          <m:num>
            <m:r>
              <m:t>ω</m:t>
            </m:r>
          </m:num>
          <m:den>
            <m:r>
              <m:t>k</m:t>
            </m:r>
          </m:den>
        </m:f>
      </m:oMath>
      <w:r>
        <w:rPr>
          <w:rFonts w:ascii="Times New Roman" w:hAnsi="Times New Roman"/>
          <w:sz w:val="24"/>
        </w:rPr>
        <w:t xml:space="preserve"> characterizes the rate at which individual wavefronts of constant phase advance in space. Conversely, group velocity </w:t>
      </w:r>
      <m:oMath>
        <m:sSub>
          <m:e>
            <m:r>
              <m:t>v</m:t>
            </m:r>
          </m:e>
          <m:sub>
            <m:r>
              <m:t>g</m:t>
            </m:r>
          </m:sub>
        </m:sSub>
        <m:r>
          <m:t> = </m:t>
        </m:r>
        <m:f>
          <m:num>
            <m:r>
              <m:t>dω</m:t>
            </m:r>
          </m:num>
          <m:den>
            <m:r>
              <m:t>dk</m:t>
            </m:r>
          </m:den>
        </m:f>
      </m:oMath>
      <w:r>
        <w:rPr>
          <w:rFonts w:ascii="Times New Roman" w:hAnsi="Times New Roman"/>
          <w:sz w:val="24"/>
        </w:rPr>
        <w:t xml:space="preserve"> governs the velocity of the overall wavepacket envelope carrying localized physical energy.</w:t>
      </w:r>
    </w:p>
    <w:p>
      <w:pPr>
        <w:spacing w:line="360" w:lineRule="auto" w:after="120"/>
        <w:jc w:val="both"/>
      </w:pPr>
      <w:r>
        <w:rPr>
          <w:rFonts w:ascii="Times New Roman" w:hAnsi="Times New Roman"/>
          <w:sz w:val="24"/>
        </w:rPr>
        <w:t xml:space="preserve">Differentiating </w:t>
      </w:r>
      <m:oMath>
        <m:sSub>
          <m:e>
            <m:r>
              <m:t>v</m:t>
            </m:r>
          </m:e>
          <m:sub>
            <m:r>
              <m:t>p</m:t>
            </m:r>
          </m:sub>
        </m:sSub>
        <m:r>
          <m:t> = ω/k</m:t>
        </m:r>
      </m:oMath>
      <w:r>
        <w:rPr>
          <w:rFonts w:ascii="Times New Roman" w:hAnsi="Times New Roman"/>
          <w:sz w:val="24"/>
        </w:rPr>
        <w:t xml:space="preserve"> yields Rayleigh's dispersion relation: </w:t>
      </w:r>
      <m:oMath>
        <m:sSub>
          <m:e>
            <m:r>
              <m:t>v</m:t>
            </m:r>
          </m:e>
          <m:sub>
            <m:r>
              <m:t>g</m:t>
            </m:r>
          </m:sub>
        </m:sSub>
        <m:r>
          <m:t> = v</m:t>
        </m:r>
        <m:r>
          <m:t>_p + k </m:t>
        </m:r>
        <m:f>
          <m:num>
            <m:r>
              <m:t>dv</m:t>
            </m:r>
            <m:r>
              <m:t>_p</m:t>
            </m:r>
          </m:num>
          <m:den>
            <m:r>
              <m:t>dk</m:t>
            </m:r>
          </m:den>
        </m:f>
        <m:r>
          <m:t> = v</m:t>
        </m:r>
        <m:r>
          <m:t>_p - λ </m:t>
        </m:r>
        <m:f>
          <m:num>
            <m:r>
              <m:t>dv</m:t>
            </m:r>
            <m:r>
              <m:t>_p</m:t>
            </m:r>
          </m:num>
          <m:den>
            <m:r>
              <m:t>dλ</m:t>
            </m:r>
          </m:den>
        </m:f>
      </m:oMath>
      <w:r>
        <w:rPr>
          <w:rFonts w:ascii="Times New Roman" w:hAnsi="Times New Roman"/>
          <w:sz w:val="24"/>
        </w:rPr>
        <w:t xml:space="preserve">. For non-relativistic de Broglie waves in free space, dispersion relation </w:t>
      </w:r>
      <m:oMath>
        <m:r>
          <m:t>ω = </m:t>
        </m:r>
        <m:f>
          <m:num>
            <m:r>
              <m:t>ħ k</m:t>
            </m:r>
            <m:r>
              <m:t>^2</m:t>
            </m:r>
          </m:num>
          <m:den>
            <m:r>
              <m:t>2m</m:t>
            </m:r>
          </m:den>
        </m:f>
      </m:oMath>
      <w:r>
        <w:rPr>
          <w:rFonts w:ascii="Times New Roman" w:hAnsi="Times New Roman"/>
          <w:sz w:val="24"/>
        </w:rPr>
        <w:t xml:space="preserve"> yields </w:t>
      </w:r>
      <m:oMath>
        <m:sSub>
          <m:e>
            <m:r>
              <m:t>v</m:t>
            </m:r>
          </m:e>
          <m:sub>
            <m:r>
              <m:t>p</m:t>
            </m:r>
          </m:sub>
        </m:sSub>
        <m:r>
          <m:t> = </m:t>
        </m:r>
        <m:f>
          <m:num>
            <m:r>
              <m:t>v</m:t>
            </m:r>
          </m:num>
          <m:den>
            <m:r>
              <m:t>2</m:t>
            </m:r>
          </m:den>
        </m:f>
      </m:oMath>
      <w:r>
        <w:rPr>
          <w:rFonts w:ascii="Times New Roman" w:hAnsi="Times New Roman"/>
          <w:sz w:val="24"/>
        </w:rPr>
        <w:t xml:space="preserve"> and </w:t>
      </w:r>
      <m:oMath>
        <m:sSub>
          <m:e>
            <m:r>
              <m:t>v</m:t>
            </m:r>
          </m:e>
          <m:sub>
            <m:r>
              <m:t>g</m:t>
            </m:r>
          </m:sub>
        </m:sSub>
        <m:r>
          <m:t> = v</m:t>
        </m:r>
      </m:oMath>
      <w:r>
        <w:rPr>
          <w:rFonts w:ascii="Times New Roman" w:hAnsi="Times New Roman"/>
          <w:sz w:val="24"/>
        </w:rPr>
        <w:t>, proving that the group velocity of the quantum wavepacket envelope identically tracks the physical velocity of the moving particle.</w:t>
      </w:r>
    </w:p>
    <w:p>
      <w:pPr>
        <w:pStyle w:val="Heading3"/>
        <w:spacing w:before="280" w:after="120"/>
      </w:pPr>
      <w:r>
        <w:t>Mathematical Derivation of Phase Velocity and Group Velocity</w:t>
      </w:r>
    </w:p>
    <w:p>
      <w:pPr>
        <w:pStyle w:val="Heading3"/>
        <w:spacing w:before="280" w:after="120"/>
      </w:pPr>
      <w:r>
        <w:t>Physical Interpretation and Velocity of Matter Waves</w:t>
      </w:r>
    </w:p>
    <w:p>
      <w:pPr>
        <w:pStyle w:val="Heading2"/>
        <w:spacing w:before="400" w:after="160"/>
      </w:pPr>
      <w:r>
        <w:t>Heisenberg Uncertainty Principle</w:t>
      </w:r>
    </w:p>
    <w:p>
      <w:pPr>
        <w:pStyle w:val="Heading3"/>
        <w:spacing w:before="280" w:after="120"/>
      </w:pPr>
      <w:r>
        <w:t>Physical Concept and the Measurement Problem</w:t>
      </w:r>
    </w:p>
    <w:p>
      <w:pPr>
        <w:spacing w:line="360" w:lineRule="auto" w:after="120"/>
        <w:jc w:val="both"/>
      </w:pPr>
      <w:r>
        <w:rPr>
          <w:rFonts w:ascii="Times New Roman" w:hAnsi="Times New Roman"/>
          <w:sz w:val="24"/>
        </w:rPr>
        <w:t xml:space="preserve">Werner Heisenberg formulated the uncertainty principle in 1927 as an intrinsic mathematical property of wave mechanics rather than an instrumental measurement imperfection. A localized spatial particle is represented by a wavepacket synthesized from a continuous Fourier superposition of plane waves </w:t>
      </w:r>
      <m:oMath>
        <m:r>
          <m:t>ψ(x) = </m:t>
        </m:r>
        <m:f>
          <m:num>
            <m:r>
              <m:t>1</m:t>
            </m:r>
          </m:num>
          <m:den>
            <m:rad>
              <m:radPr>
                <m:degHide m:val="1"/>
              </m:radPr>
              <m:deg/>
              <m:e>
                <m:r>
                  <m:t>2π</m:t>
                </m:r>
              </m:e>
            </m:rad>
          </m:den>
        </m:f>
        <m:r>
          <m:t>∫ A(k)e</m:t>
        </m:r>
        <m:r>
          <m:t>^</m:t>
        </m:r>
        <m:r>
          <m:t>{ikx</m:t>
        </m:r>
        <m:r>
          <m:t>}dk</m:t>
        </m:r>
      </m:oMath>
      <w:r>
        <w:rPr>
          <w:rFonts w:ascii="Times New Roman" w:hAnsi="Times New Roman"/>
          <w:sz w:val="24"/>
        </w:rPr>
        <w:t>.</w:t>
      </w:r>
    </w:p>
    <w:p>
      <w:pPr>
        <w:spacing w:line="360" w:lineRule="auto" w:after="120"/>
        <w:jc w:val="both"/>
      </w:pPr>
      <w:r>
        <w:rPr>
          <w:rFonts w:ascii="Times New Roman" w:hAnsi="Times New Roman"/>
          <w:sz w:val="24"/>
        </w:rPr>
        <w:t xml:space="preserve">The Fourier transform bandwidth theorem dictates that the spatial width </w:t>
      </w:r>
      <m:oMath>
        <m:r>
          <m:t>Δ x</m:t>
        </m:r>
      </m:oMath>
      <w:r>
        <w:rPr>
          <w:rFonts w:ascii="Times New Roman" w:hAnsi="Times New Roman"/>
          <w:sz w:val="24"/>
        </w:rPr>
        <w:t xml:space="preserve"> and wavenumber spread </w:t>
      </w:r>
      <m:oMath>
        <m:r>
          <m:t>Δ k</m:t>
        </m:r>
      </m:oMath>
      <w:r>
        <w:rPr>
          <w:rFonts w:ascii="Times New Roman" w:hAnsi="Times New Roman"/>
          <w:sz w:val="24"/>
        </w:rPr>
        <w:t xml:space="preserve"> satisfy </w:t>
      </w:r>
      <m:oMath>
        <m:r>
          <m:t>Δ x · Δ k </m:t>
        </m:r>
        <m:r>
          <m:t>\ge </m:t>
        </m:r>
        <m:f>
          <m:num>
            <m:r>
              <m:t>1</m:t>
            </m:r>
          </m:num>
          <m:den>
            <m:r>
              <m:t>2</m:t>
            </m:r>
          </m:den>
        </m:f>
      </m:oMath>
      <w:r>
        <w:rPr>
          <w:rFonts w:ascii="Times New Roman" w:hAnsi="Times New Roman"/>
          <w:sz w:val="24"/>
        </w:rPr>
        <w:t xml:space="preserve">. Multiplying by the reduced Planck constant </w:t>
      </w:r>
      <m:oMath>
        <m:r>
          <m:t>ħ</m:t>
        </m:r>
      </m:oMath>
      <w:r>
        <w:rPr>
          <w:rFonts w:ascii="Times New Roman" w:hAnsi="Times New Roman"/>
          <w:sz w:val="24"/>
        </w:rPr>
        <w:t xml:space="preserve"> and identifying particle momentum as </w:t>
      </w:r>
      <m:oMath>
        <m:sSub>
          <m:e>
            <m:r>
              <m:t>p</m:t>
            </m:r>
          </m:e>
          <m:sub>
            <m:r>
              <m:t>x</m:t>
            </m:r>
          </m:sub>
        </m:sSub>
        <m:r>
          <m:t> = ħ k</m:t>
        </m:r>
      </m:oMath>
      <w:r>
        <w:rPr>
          <w:rFonts w:ascii="Times New Roman" w:hAnsi="Times New Roman"/>
          <w:sz w:val="24"/>
        </w:rPr>
        <w:t>, we obtain the fundamental inequality:</w:t>
      </w:r>
    </w:p>
    <w:p>
      <w:pPr>
        <w:spacing w:before="160" w:after="160"/>
        <w:jc w:val="center"/>
      </w:pPr>
      <m:oMathPara>
        <m:oMath>
          <m:r>
            <m:t>Δ x · Δ p</m:t>
          </m:r>
          <m:r>
            <m:t>_x </m:t>
          </m:r>
          <m:r>
            <m:t>\ge </m:t>
          </m:r>
          <m:f>
            <m:num>
              <m:r>
                <m:t>ħ</m:t>
              </m:r>
            </m:num>
            <m:den>
              <m:r>
                <m:t>2</m:t>
              </m:r>
            </m:den>
          </m:f>
        </m:oMath>
      </m:oMathPara>
    </w:p>
    <w:p>
      <w:pPr>
        <w:spacing w:line="360" w:lineRule="auto" w:after="120"/>
        <w:jc w:val="both"/>
      </w:pPr>
      <w:r>
        <w:rPr>
          <w:rFonts w:ascii="Times New Roman" w:hAnsi="Times New Roman"/>
          <w:sz w:val="24"/>
        </w:rPr>
        <w:t xml:space="preserve">where </w:t>
      </w:r>
      <m:oMath>
        <m:r>
          <m:t>ħ = </m:t>
        </m:r>
        <m:f>
          <m:num>
            <m:r>
              <m:t>h</m:t>
            </m:r>
          </m:num>
          <m:den>
            <m:r>
              <m:t>2π</m:t>
            </m:r>
          </m:den>
        </m:f>
        <m:r>
          <m:t> ≈ 1.055 × 10</m:t>
        </m:r>
        <m:r>
          <m:t>^</m:t>
        </m:r>
        <m:r>
          <m:t>{-34</m:t>
        </m:r>
        <m:r>
          <m:t>} J</m:t>
        </m:r>
        <m:r>
          <m:t>\cdots</m:t>
        </m:r>
      </m:oMath>
      <w:r>
        <w:rPr>
          <w:rFonts w:ascii="Times New Roman" w:hAnsi="Times New Roman"/>
          <w:sz w:val="24"/>
        </w:rPr>
        <w:t xml:space="preserve">. Similarly, the conjugate relationship between energy and time is bounded by </w:t>
      </w:r>
      <m:oMath>
        <m:r>
          <m:t>Δ E · Δ t </m:t>
        </m:r>
        <m:r>
          <m:t>\ge </m:t>
        </m:r>
        <m:f>
          <m:num>
            <m:r>
              <m:t>ħ</m:t>
            </m:r>
          </m:num>
          <m:den>
            <m:r>
              <m:t>2</m:t>
            </m:r>
          </m:den>
        </m:f>
      </m:oMath>
      <w:r>
        <w:rPr>
          <w:rFonts w:ascii="Times New Roman" w:hAnsi="Times New Roman"/>
          <w:sz w:val="24"/>
        </w:rPr>
        <w:t>.</w:t>
      </w:r>
    </w:p>
    <w:p>
      <w:pPr>
        <w:pStyle w:val="Heading3"/>
        <w:spacing w:before="280" w:after="120"/>
      </w:pPr>
      <w:r>
        <w:t>Mathematical Formulation and Wavepacket Derivation</w:t>
      </w:r>
    </w:p>
    <w:p>
      <w:pPr>
        <w:spacing w:before="160" w:after="160"/>
        <w:jc w:val="center"/>
      </w:pPr>
      <m:oMathPara>
        <m:oMath>
          <m:r>
            <m:t>Δ x · Δ p</m:t>
          </m:r>
          <m:r>
            <m:t>_x </m:t>
          </m:r>
          <m:r>
            <m:t>\ge </m:t>
          </m:r>
          <m:f>
            <m:num>
              <m:r>
                <m:t>ħ</m:t>
              </m:r>
            </m:num>
            <m:den>
              <m:r>
                <m:t>2</m:t>
              </m:r>
            </m:den>
          </m:f>
        </m:oMath>
      </m:oMathPara>
    </w:p>
    <w:p>
      <w:pPr>
        <w:pStyle w:val="Heading3"/>
        <w:spacing w:before="280" w:after="120"/>
      </w:pPr>
      <w:r>
        <w:t>Experimental Evidence and Single-Slit Diffraction</w:t>
      </w:r>
    </w:p>
    <w:p>
      <w:pPr>
        <w:spacing w:before="160" w:after="160"/>
        <w:jc w:val="center"/>
      </w:pPr>
      <m:oMathPara>
        <m:oMath>
          <m:r>
            <m:t>Δ x · Δ p</m:t>
          </m:r>
          <m:r>
            <m:t>_x </m:t>
          </m:r>
          <m:r>
            <m:t>\ge </m:t>
          </m:r>
          <m:f>
            <m:num>
              <m:r>
                <m:t>ħ</m:t>
              </m:r>
            </m:num>
            <m:den>
              <m:r>
                <m:t>2</m:t>
              </m:r>
            </m:den>
          </m:f>
        </m:oMath>
      </m:oMathPara>
    </w:p>
    <w:p>
      <w:pPr>
        <w:pStyle w:val="Heading3"/>
        <w:spacing w:before="280" w:after="120"/>
      </w:pPr>
      <w:r>
        <w:t>Physical Interpretation and Non-Existence of Electrons in the Nucleus</w:t>
      </w:r>
    </w:p>
    <w:p>
      <w:pPr>
        <w:spacing w:before="160" w:after="160"/>
        <w:jc w:val="center"/>
      </w:pPr>
      <m:oMathPara>
        <m:oMath>
          <m:r>
            <m:t>Δ x · Δ p</m:t>
          </m:r>
          <m:r>
            <m:t>_x </m:t>
          </m:r>
          <m:r>
            <m:t>\ge </m:t>
          </m:r>
          <m:f>
            <m:num>
              <m:r>
                <m:t>ħ</m:t>
              </m:r>
            </m:num>
            <m:den>
              <m:r>
                <m:t>2</m:t>
              </m:r>
            </m:den>
          </m:f>
        </m:oMath>
      </m:oMathPara>
    </w:p>
    <w:p>
      <w:pPr>
        <w:pStyle w:val="Heading3"/>
        <w:spacing w:before="280" w:after="120"/>
      </w:pPr>
      <w:r>
        <w:t>Quantum Limits in Precision Metrology and Sensing</w:t>
      </w:r>
    </w:p>
    <w:p>
      <w:pPr>
        <w:spacing w:before="160" w:after="160"/>
        <w:jc w:val="center"/>
      </w:pPr>
      <m:oMathPara>
        <m:oMath>
          <m:r>
            <m:t>Δ x · Δ p</m:t>
          </m:r>
          <m:r>
            <m:t>_x </m:t>
          </m:r>
          <m:r>
            <m:t>\ge </m:t>
          </m:r>
          <m:f>
            <m:num>
              <m:r>
                <m:t>ħ</m:t>
              </m:r>
            </m:num>
            <m:den>
              <m:r>
                <m:t>2</m:t>
              </m:r>
            </m:den>
          </m:f>
        </m:oMath>
      </m:oMathPara>
    </w:p>
    <w:p>
      <w:pPr>
        <w:pStyle w:val="Heading2"/>
        <w:spacing w:before="400" w:after="160"/>
      </w:pPr>
      <w:r>
        <w:t>Particle in a 1D Box</w:t>
      </w:r>
    </w:p>
    <w:p>
      <w:pPr>
        <w:pStyle w:val="Heading3"/>
        <w:spacing w:before="280" w:after="120"/>
      </w:pPr>
      <w:r>
        <w:t>Physical Concept and Fundamental Principles of Particle in a 1D Box</w:t>
      </w:r>
    </w:p>
    <w:p>
      <w:pPr>
        <w:spacing w:line="360" w:lineRule="auto" w:after="120"/>
        <w:jc w:val="both"/>
      </w:pPr>
      <w:r>
        <w:rPr>
          <w:rFonts w:ascii="Times New Roman" w:hAnsi="Times New Roman"/>
          <w:sz w:val="24"/>
        </w:rPr>
        <w:t xml:space="preserve">The infinite potential well illustrates the fundamental mechanism by which spatial boundary constraints induce quantum energy discretization. Classically, a particle bouncing elastically between rigid walls may assume any continuous energy value, and its probability density remains strictly uniform throughout the enclosure. In contrast, quantum wave mechanics establishes standing matter waves with spatial nodes where the probability density </w:t>
      </w:r>
      <m:oMath>
        <m:sSub>
          <m:e>
            <m:r>
              <m:t>P</m:t>
            </m:r>
          </m:e>
          <m:sub>
            <m:r>
              <m:t>n</m:t>
            </m:r>
          </m:sub>
        </m:sSub>
        <m:r>
          <m:t>(x) = |ψ</m:t>
        </m:r>
        <m:r>
          <m:t>_n(x)|</m:t>
        </m:r>
        <m:r>
          <m:t>^2</m:t>
        </m:r>
      </m:oMath>
      <w:r>
        <w:rPr>
          <w:rFonts w:ascii="Times New Roman" w:hAnsi="Times New Roman"/>
          <w:sz w:val="24"/>
        </w:rPr>
        <w:t xml:space="preserve"> vanishes entirely.</w:t>
      </w:r>
    </w:p>
    <w:p>
      <w:pPr>
        <w:spacing w:line="360" w:lineRule="auto" w:after="120"/>
        <w:jc w:val="both"/>
      </w:pPr>
      <w:r>
        <w:rPr>
          <w:rFonts w:ascii="Times New Roman" w:hAnsi="Times New Roman"/>
          <w:sz w:val="24"/>
        </w:rPr>
        <w:t>For even quantum numbers (</w:t>
      </w:r>
      <m:oMath>
        <m:r>
          <m:t>n = 2, 4, </m:t>
        </m:r>
        <m:r>
          <m:t>\dots</m:t>
        </m:r>
      </m:oMath>
      <w:r>
        <w:rPr>
          <w:rFonts w:ascii="Times New Roman" w:hAnsi="Times New Roman"/>
          <w:sz w:val="24"/>
        </w:rPr>
        <w:t xml:space="preserve">), a central nodal plane exists at the geometric midpoint </w:t>
      </w:r>
      <m:oMath>
        <m:r>
          <m:t>x = L/2</m:t>
        </m:r>
      </m:oMath>
      <w:r>
        <w:rPr>
          <w:rFonts w:ascii="Times New Roman" w:hAnsi="Times New Roman"/>
          <w:sz w:val="24"/>
        </w:rPr>
        <w:t>. The particle possesses zero probability of being detected at the well center, yet transitions dynamically across the enclosure, providing an unmistakable demonstration of the non-classical nature of quantum wave interference.</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rPr>
          <w:tblHeader/>
        </w:trPr>
        <w:tc>
          <w:tcPr>
            <w:tcW w:type="dxa" w:w="1560"/>
            <w:vAlign w:val="center"/>
            <w:shd w:fill="F1F5F9"/>
          </w:tcPr>
          <w:p>
            <w:pPr>
              <w:spacing w:line="276" w:lineRule="auto" w:before="80" w:after="80"/>
            </w:pPr>
            <w:r>
              <w:rPr>
                <w:rFonts w:ascii="Times New Roman" w:hAnsi="Times New Roman"/>
                <w:b/>
                <w:color w:val="0F172A"/>
                <w:sz w:val="20"/>
              </w:rPr>
              <w:t>Quantum Number n</w:t>
            </w:r>
          </w:p>
        </w:tc>
        <w:tc>
          <w:tcPr>
            <w:tcW w:type="dxa" w:w="1560"/>
            <w:vAlign w:val="center"/>
            <w:shd w:fill="F1F5F9"/>
          </w:tcPr>
          <w:p>
            <w:pPr>
              <w:spacing w:line="276" w:lineRule="auto" w:before="80" w:after="80"/>
            </w:pPr>
            <w:r>
              <w:rPr>
                <w:rFonts w:ascii="Times New Roman" w:hAnsi="Times New Roman"/>
                <w:b/>
                <w:color w:val="0F172A"/>
                <w:sz w:val="20"/>
              </w:rPr>
              <w:t>State Designation</w:t>
            </w:r>
          </w:p>
        </w:tc>
        <w:tc>
          <w:tcPr>
            <w:tcW w:type="dxa" w:w="1560"/>
            <w:vAlign w:val="center"/>
            <w:shd w:fill="F1F5F9"/>
          </w:tcPr>
          <w:p>
            <w:pPr>
              <w:spacing w:line="276" w:lineRule="auto" w:before="80" w:after="80"/>
            </w:pPr>
            <w:r>
              <w:rPr>
                <w:rFonts w:ascii="Times New Roman" w:hAnsi="Times New Roman"/>
                <w:b/>
                <w:color w:val="0F172A"/>
                <w:sz w:val="20"/>
              </w:rPr>
              <w:t>Energy Eigenvalue E_n</w:t>
            </w:r>
          </w:p>
        </w:tc>
        <w:tc>
          <w:tcPr>
            <w:tcW w:type="dxa" w:w="1560"/>
            <w:vAlign w:val="center"/>
            <w:shd w:fill="F1F5F9"/>
          </w:tcPr>
          <w:p>
            <w:pPr>
              <w:spacing w:line="276" w:lineRule="auto" w:before="80" w:after="80"/>
            </w:pPr>
            <w:r>
              <w:rPr>
                <w:rFonts w:ascii="Times New Roman" w:hAnsi="Times New Roman"/>
                <w:b/>
                <w:color w:val="0F172A"/>
                <w:sz w:val="20"/>
              </w:rPr>
              <w:t>Internal Nodes</w:t>
            </w:r>
          </w:p>
        </w:tc>
        <w:tc>
          <w:tcPr>
            <w:tcW w:type="dxa" w:w="1560"/>
            <w:vAlign w:val="center"/>
            <w:shd w:fill="F1F5F9"/>
          </w:tcPr>
          <w:p>
            <w:pPr>
              <w:spacing w:line="276" w:lineRule="auto" w:before="80" w:after="80"/>
            </w:pPr>
            <w:r>
              <w:rPr>
                <w:rFonts w:ascii="Times New Roman" w:hAnsi="Times New Roman"/>
                <w:b/>
                <w:color w:val="0F172A"/>
                <w:sz w:val="20"/>
              </w:rPr>
              <w:t>Probability at Midpoint P(L/2)</w:t>
            </w:r>
          </w:p>
        </w:tc>
        <w:tc>
          <w:tcPr>
            <w:tcW w:type="dxa" w:w="1560"/>
            <w:vAlign w:val="center"/>
            <w:shd w:fill="F1F5F9"/>
          </w:tcPr>
          <w:p>
            <w:pPr>
              <w:spacing w:line="276" w:lineRule="auto" w:before="80" w:after="80"/>
            </w:pPr>
            <w:r>
              <w:rPr>
                <w:rFonts w:ascii="Times New Roman" w:hAnsi="Times New Roman"/>
                <w:b/>
                <w:color w:val="0F172A"/>
                <w:sz w:val="20"/>
              </w:rPr>
              <w:t>Physical Behavior</w:t>
            </w:r>
          </w:p>
        </w:tc>
      </w:tr>
      <w:tr>
        <w:tc>
          <w:tcPr>
            <w:tcW w:type="dxa" w:w="1560"/>
            <w:vAlign w:val="center"/>
          </w:tcPr>
          <w:p>
            <w:pPr>
              <w:spacing w:line="276" w:lineRule="auto" w:before="80" w:after="80"/>
            </w:pPr>
            <w:r>
              <w:rPr>
                <w:rFonts w:ascii="Times New Roman" w:hAnsi="Times New Roman"/>
                <w:color w:val="334155"/>
                <w:sz w:val="20"/>
              </w:rPr>
              <w:t>n = 1</w:t>
            </w:r>
          </w:p>
        </w:tc>
        <w:tc>
          <w:tcPr>
            <w:tcW w:type="dxa" w:w="1560"/>
            <w:vAlign w:val="center"/>
          </w:tcPr>
          <w:p>
            <w:pPr>
              <w:spacing w:line="276" w:lineRule="auto" w:before="80" w:after="80"/>
            </w:pPr>
            <w:r>
              <w:rPr>
                <w:rFonts w:ascii="Times New Roman" w:hAnsi="Times New Roman"/>
                <w:color w:val="334155"/>
                <w:sz w:val="20"/>
              </w:rPr>
              <w:t>Ground State</w:t>
            </w:r>
          </w:p>
        </w:tc>
        <w:tc>
          <w:tcPr>
            <w:tcW w:type="dxa" w:w="1560"/>
            <w:vAlign w:val="center"/>
          </w:tcPr>
          <w:p>
            <w:pPr>
              <w:spacing w:line="276" w:lineRule="auto" w:before="80" w:after="80"/>
            </w:pPr>
            <w:r>
              <w:rPr>
                <w:rFonts w:ascii="Times New Roman" w:hAnsi="Times New Roman"/>
                <w:color w:val="334155"/>
                <w:sz w:val="20"/>
              </w:rPr>
              <w:t>E_1 = h^2 / 8mL^2</w:t>
            </w:r>
          </w:p>
        </w:tc>
        <w:tc>
          <w:tcPr>
            <w:tcW w:type="dxa" w:w="1560"/>
            <w:vAlign w:val="center"/>
          </w:tcPr>
          <w:p>
            <w:pPr>
              <w:spacing w:line="276" w:lineRule="auto" w:before="80" w:after="80"/>
            </w:pPr>
            <w:r>
              <w:rPr>
                <w:rFonts w:ascii="Times New Roman" w:hAnsi="Times New Roman"/>
                <w:color w:val="334155"/>
                <w:sz w:val="20"/>
              </w:rPr>
              <w:t>0</w:t>
            </w:r>
          </w:p>
        </w:tc>
        <w:tc>
          <w:tcPr>
            <w:tcW w:type="dxa" w:w="1560"/>
            <w:vAlign w:val="center"/>
          </w:tcPr>
          <w:p>
            <w:pPr>
              <w:spacing w:line="276" w:lineRule="auto" w:before="80" w:after="80"/>
            </w:pPr>
            <w:r>
              <w:rPr>
                <w:rFonts w:ascii="Times New Roman" w:hAnsi="Times New Roman"/>
                <w:color w:val="334155"/>
                <w:sz w:val="20"/>
              </w:rPr>
              <w:t>Maximum (2/L)</w:t>
            </w:r>
          </w:p>
        </w:tc>
        <w:tc>
          <w:tcPr>
            <w:tcW w:type="dxa" w:w="1560"/>
            <w:vAlign w:val="center"/>
          </w:tcPr>
          <w:p>
            <w:pPr>
              <w:spacing w:line="276" w:lineRule="auto" w:before="80" w:after="80"/>
            </w:pPr>
            <w:r>
              <w:rPr>
                <w:rFonts w:ascii="Times New Roman" w:hAnsi="Times New Roman"/>
                <w:color w:val="334155"/>
                <w:sz w:val="20"/>
              </w:rPr>
              <w:t>Fundamental half-wave resonance; non-zero zero-point energy</w:t>
            </w:r>
          </w:p>
        </w:tc>
      </w:tr>
      <w:tr>
        <w:tc>
          <w:tcPr>
            <w:tcW w:type="dxa" w:w="1560"/>
            <w:vAlign w:val="center"/>
          </w:tcPr>
          <w:p>
            <w:pPr>
              <w:spacing w:line="276" w:lineRule="auto" w:before="80" w:after="80"/>
            </w:pPr>
            <w:r>
              <w:rPr>
                <w:rFonts w:ascii="Times New Roman" w:hAnsi="Times New Roman"/>
                <w:color w:val="334155"/>
                <w:sz w:val="20"/>
              </w:rPr>
              <w:t>n = 2</w:t>
            </w:r>
          </w:p>
        </w:tc>
        <w:tc>
          <w:tcPr>
            <w:tcW w:type="dxa" w:w="1560"/>
            <w:vAlign w:val="center"/>
          </w:tcPr>
          <w:p>
            <w:pPr>
              <w:spacing w:line="276" w:lineRule="auto" w:before="80" w:after="80"/>
            </w:pPr>
            <w:r>
              <w:rPr>
                <w:rFonts w:ascii="Times New Roman" w:hAnsi="Times New Roman"/>
                <w:color w:val="334155"/>
                <w:sz w:val="20"/>
              </w:rPr>
              <w:t>First Excited State</w:t>
            </w:r>
          </w:p>
        </w:tc>
        <w:tc>
          <w:tcPr>
            <w:tcW w:type="dxa" w:w="1560"/>
            <w:vAlign w:val="center"/>
          </w:tcPr>
          <w:p>
            <w:pPr>
              <w:spacing w:line="276" w:lineRule="auto" w:before="80" w:after="80"/>
            </w:pPr>
            <w:r>
              <w:rPr>
                <w:rFonts w:ascii="Times New Roman" w:hAnsi="Times New Roman"/>
                <w:color w:val="334155"/>
                <w:sz w:val="20"/>
              </w:rPr>
              <w:t>E_2 = 4 E_1</w:t>
            </w:r>
          </w:p>
        </w:tc>
        <w:tc>
          <w:tcPr>
            <w:tcW w:type="dxa" w:w="1560"/>
            <w:vAlign w:val="center"/>
          </w:tcPr>
          <w:p>
            <w:pPr>
              <w:spacing w:line="276" w:lineRule="auto" w:before="80" w:after="80"/>
            </w:pPr>
            <w:r>
              <w:rPr>
                <w:rFonts w:ascii="Times New Roman" w:hAnsi="Times New Roman"/>
                <w:color w:val="334155"/>
                <w:sz w:val="20"/>
              </w:rPr>
              <w:t>1 (at x = L/2)</w:t>
            </w:r>
          </w:p>
        </w:tc>
        <w:tc>
          <w:tcPr>
            <w:tcW w:type="dxa" w:w="1560"/>
            <w:vAlign w:val="center"/>
          </w:tcPr>
          <w:p>
            <w:pPr>
              <w:spacing w:line="276" w:lineRule="auto" w:before="80" w:after="80"/>
            </w:pPr>
            <w:r>
              <w:rPr>
                <w:rFonts w:ascii="Times New Roman" w:hAnsi="Times New Roman"/>
                <w:color w:val="334155"/>
                <w:sz w:val="20"/>
              </w:rPr>
              <w:t>Node (0)</w:t>
            </w:r>
          </w:p>
        </w:tc>
        <w:tc>
          <w:tcPr>
            <w:tcW w:type="dxa" w:w="1560"/>
            <w:vAlign w:val="center"/>
          </w:tcPr>
          <w:p>
            <w:pPr>
              <w:spacing w:line="276" w:lineRule="auto" w:before="80" w:after="80"/>
            </w:pPr>
            <w:r>
              <w:rPr>
                <w:rFonts w:ascii="Times New Roman" w:hAnsi="Times New Roman"/>
                <w:color w:val="334155"/>
                <w:sz w:val="20"/>
              </w:rPr>
              <w:t>Particle cannot be detected at center of box</w:t>
            </w:r>
          </w:p>
        </w:tc>
      </w:tr>
      <w:tr>
        <w:tc>
          <w:tcPr>
            <w:tcW w:type="dxa" w:w="1560"/>
            <w:vAlign w:val="center"/>
          </w:tcPr>
          <w:p>
            <w:pPr>
              <w:spacing w:line="276" w:lineRule="auto" w:before="80" w:after="80"/>
            </w:pPr>
            <w:r>
              <w:rPr>
                <w:rFonts w:ascii="Times New Roman" w:hAnsi="Times New Roman"/>
                <w:color w:val="334155"/>
                <w:sz w:val="20"/>
              </w:rPr>
              <w:t>n = 3</w:t>
            </w:r>
          </w:p>
        </w:tc>
        <w:tc>
          <w:tcPr>
            <w:tcW w:type="dxa" w:w="1560"/>
            <w:vAlign w:val="center"/>
          </w:tcPr>
          <w:p>
            <w:pPr>
              <w:spacing w:line="276" w:lineRule="auto" w:before="80" w:after="80"/>
            </w:pPr>
            <w:r>
              <w:rPr>
                <w:rFonts w:ascii="Times New Roman" w:hAnsi="Times New Roman"/>
                <w:color w:val="334155"/>
                <w:sz w:val="20"/>
              </w:rPr>
              <w:t>Second Excited State</w:t>
            </w:r>
          </w:p>
        </w:tc>
        <w:tc>
          <w:tcPr>
            <w:tcW w:type="dxa" w:w="1560"/>
            <w:vAlign w:val="center"/>
          </w:tcPr>
          <w:p>
            <w:pPr>
              <w:spacing w:line="276" w:lineRule="auto" w:before="80" w:after="80"/>
            </w:pPr>
            <w:r>
              <w:rPr>
                <w:rFonts w:ascii="Times New Roman" w:hAnsi="Times New Roman"/>
                <w:color w:val="334155"/>
                <w:sz w:val="20"/>
              </w:rPr>
              <w:t>E_3 = 9 E_1</w:t>
            </w:r>
          </w:p>
        </w:tc>
        <w:tc>
          <w:tcPr>
            <w:tcW w:type="dxa" w:w="1560"/>
            <w:vAlign w:val="center"/>
          </w:tcPr>
          <w:p>
            <w:pPr>
              <w:spacing w:line="276" w:lineRule="auto" w:before="80" w:after="80"/>
            </w:pPr>
            <w:r>
              <w:rPr>
                <w:rFonts w:ascii="Times New Roman" w:hAnsi="Times New Roman"/>
                <w:color w:val="334155"/>
                <w:sz w:val="20"/>
              </w:rPr>
              <w:t>2 (at L/3, 2L/3)</w:t>
            </w:r>
          </w:p>
        </w:tc>
        <w:tc>
          <w:tcPr>
            <w:tcW w:type="dxa" w:w="1560"/>
            <w:vAlign w:val="center"/>
          </w:tcPr>
          <w:p>
            <w:pPr>
              <w:spacing w:line="276" w:lineRule="auto" w:before="80" w:after="80"/>
            </w:pPr>
            <w:r>
              <w:rPr>
                <w:rFonts w:ascii="Times New Roman" w:hAnsi="Times New Roman"/>
                <w:color w:val="334155"/>
                <w:sz w:val="20"/>
              </w:rPr>
              <w:t>Maximum (2/L)</w:t>
            </w:r>
          </w:p>
        </w:tc>
        <w:tc>
          <w:tcPr>
            <w:tcW w:type="dxa" w:w="1560"/>
            <w:vAlign w:val="center"/>
          </w:tcPr>
          <w:p>
            <w:pPr>
              <w:spacing w:line="276" w:lineRule="auto" w:before="80" w:after="80"/>
            </w:pPr>
            <w:r>
              <w:rPr>
                <w:rFonts w:ascii="Times New Roman" w:hAnsi="Times New Roman"/>
                <w:color w:val="334155"/>
                <w:sz w:val="20"/>
              </w:rPr>
              <w:t>Anti-node at center with two intermediate zero-crossings</w:t>
            </w:r>
          </w:p>
        </w:tc>
      </w:tr>
      <w:tr>
        <w:tc>
          <w:tcPr>
            <w:tcW w:type="dxa" w:w="1560"/>
            <w:vAlign w:val="center"/>
          </w:tcPr>
          <w:p>
            <w:pPr>
              <w:spacing w:line="276" w:lineRule="auto" w:before="80" w:after="80"/>
            </w:pPr>
            <w:r>
              <w:rPr>
                <w:rFonts w:ascii="Times New Roman" w:hAnsi="Times New Roman"/>
                <w:color w:val="334155"/>
                <w:sz w:val="20"/>
              </w:rPr>
              <w:t>n = 4</w:t>
            </w:r>
          </w:p>
        </w:tc>
        <w:tc>
          <w:tcPr>
            <w:tcW w:type="dxa" w:w="1560"/>
            <w:vAlign w:val="center"/>
          </w:tcPr>
          <w:p>
            <w:pPr>
              <w:spacing w:line="276" w:lineRule="auto" w:before="80" w:after="80"/>
            </w:pPr>
            <w:r>
              <w:rPr>
                <w:rFonts w:ascii="Times New Roman" w:hAnsi="Times New Roman"/>
                <w:color w:val="334155"/>
                <w:sz w:val="20"/>
              </w:rPr>
              <w:t>Third Excited State</w:t>
            </w:r>
          </w:p>
        </w:tc>
        <w:tc>
          <w:tcPr>
            <w:tcW w:type="dxa" w:w="1560"/>
            <w:vAlign w:val="center"/>
          </w:tcPr>
          <w:p>
            <w:pPr>
              <w:spacing w:line="276" w:lineRule="auto" w:before="80" w:after="80"/>
            </w:pPr>
            <w:r>
              <w:rPr>
                <w:rFonts w:ascii="Times New Roman" w:hAnsi="Times New Roman"/>
                <w:color w:val="334155"/>
                <w:sz w:val="20"/>
              </w:rPr>
              <w:t>E_4 = 16 E_1</w:t>
            </w:r>
          </w:p>
        </w:tc>
        <w:tc>
          <w:tcPr>
            <w:tcW w:type="dxa" w:w="1560"/>
            <w:vAlign w:val="center"/>
          </w:tcPr>
          <w:p>
            <w:pPr>
              <w:spacing w:line="276" w:lineRule="auto" w:before="80" w:after="80"/>
            </w:pPr>
            <w:r>
              <w:rPr>
                <w:rFonts w:ascii="Times New Roman" w:hAnsi="Times New Roman"/>
                <w:color w:val="334155"/>
                <w:sz w:val="20"/>
              </w:rPr>
              <w:t>3</w:t>
            </w:r>
          </w:p>
        </w:tc>
        <w:tc>
          <w:tcPr>
            <w:tcW w:type="dxa" w:w="1560"/>
            <w:vAlign w:val="center"/>
          </w:tcPr>
          <w:p>
            <w:pPr>
              <w:spacing w:line="276" w:lineRule="auto" w:before="80" w:after="80"/>
            </w:pPr>
            <w:r>
              <w:rPr>
                <w:rFonts w:ascii="Times New Roman" w:hAnsi="Times New Roman"/>
                <w:color w:val="334155"/>
                <w:sz w:val="20"/>
              </w:rPr>
              <w:t>Node (0)</w:t>
            </w:r>
          </w:p>
        </w:tc>
        <w:tc>
          <w:tcPr>
            <w:tcW w:type="dxa" w:w="1560"/>
            <w:vAlign w:val="center"/>
          </w:tcPr>
          <w:p>
            <w:pPr>
              <w:spacing w:line="276" w:lineRule="auto" w:before="80" w:after="80"/>
            </w:pPr>
            <w:r>
              <w:rPr>
                <w:rFonts w:ascii="Times New Roman" w:hAnsi="Times New Roman"/>
                <w:color w:val="334155"/>
                <w:sz w:val="20"/>
              </w:rPr>
              <w:t>High kinetic energy standing wave with four spatial lobes</w:t>
            </w:r>
          </w:p>
        </w:tc>
      </w:tr>
    </w:tbl>
    <w:p>
      <w:pPr>
        <w:spacing w:before="280"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ig_3f90aa31.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1.3 — Energy-Level Diagram: Schematic of Physical Concept and Fundamental Principles of Particle in a 1D Box</w:t>
      </w:r>
    </w:p>
    <w:p>
      <w:pPr>
        <w:pStyle w:val="Heading3"/>
        <w:spacing w:before="280" w:after="120"/>
      </w:pPr>
      <w:r>
        <w:t>Mathematical Formulation and Governing Equations of Particle in a 1D Box</w:t>
      </w:r>
    </w:p>
    <w:p>
      <w:pPr>
        <w:pStyle w:val="Heading3"/>
        <w:spacing w:before="280" w:after="120"/>
      </w:pPr>
      <w:r>
        <w:t>Analytical Derivation and Boundary Conditions for Particle in a 1D Box</w:t>
      </w:r>
    </w:p>
    <w:p>
      <w:pPr>
        <w:spacing w:line="360" w:lineRule="auto" w:after="120"/>
        <w:jc w:val="both"/>
      </w:pPr>
      <w:r>
        <w:rPr>
          <w:rFonts w:ascii="Times New Roman" w:hAnsi="Times New Roman"/>
          <w:sz w:val="24"/>
        </w:rPr>
        <w:t xml:space="preserve">The spatial configuration of a non-relativistic quantum particle of rest mass </w:t>
      </w:r>
      <m:oMath>
        <m:r>
          <m:t>m</m:t>
        </m:r>
      </m:oMath>
      <w:r>
        <w:rPr>
          <w:rFonts w:ascii="Times New Roman" w:hAnsi="Times New Roman"/>
          <w:sz w:val="24"/>
        </w:rPr>
        <w:t xml:space="preserve"> confined within a one-dimensional infinite potential well of width </w:t>
      </w:r>
      <m:oMath>
        <m:r>
          <m:t>L</m:t>
        </m:r>
      </m:oMath>
      <w:r>
        <w:rPr>
          <w:rFonts w:ascii="Times New Roman" w:hAnsi="Times New Roman"/>
          <w:sz w:val="24"/>
        </w:rPr>
        <w:t xml:space="preserve"> is described by the time-independent Schrödinger equation. Because the external potential barriers at </w:t>
      </w:r>
      <m:oMath>
        <m:r>
          <m:t>x </m:t>
        </m:r>
        <m:r>
          <m:t>\le 0</m:t>
        </m:r>
      </m:oMath>
      <w:r>
        <w:rPr>
          <w:rFonts w:ascii="Times New Roman" w:hAnsi="Times New Roman"/>
          <w:sz w:val="24"/>
        </w:rPr>
        <w:t xml:space="preserve"> and </w:t>
      </w:r>
      <m:oMath>
        <m:r>
          <m:t>x </m:t>
        </m:r>
        <m:r>
          <m:t>\ge L</m:t>
        </m:r>
      </m:oMath>
      <w:r>
        <w:rPr>
          <w:rFonts w:ascii="Times New Roman" w:hAnsi="Times New Roman"/>
          <w:sz w:val="24"/>
        </w:rPr>
        <w:t xml:space="preserve"> are impenetrable (</w:t>
      </w:r>
      <m:oMath>
        <m:r>
          <m:t>V = ∞</m:t>
        </m:r>
      </m:oMath>
      <w:r>
        <w:rPr>
          <w:rFonts w:ascii="Times New Roman" w:hAnsi="Times New Roman"/>
          <w:sz w:val="24"/>
        </w:rPr>
        <w:t xml:space="preserve">), the quantum wave function vanishes identically in the outer domain. Within the open interval </w:t>
      </w:r>
      <m:oMath>
        <m:r>
          <m:t>0 &lt; x &lt; L</m:t>
        </m:r>
      </m:oMath>
      <w:r>
        <w:rPr>
          <w:rFonts w:ascii="Times New Roman" w:hAnsi="Times New Roman"/>
          <w:sz w:val="24"/>
        </w:rPr>
        <w:t xml:space="preserve">, where </w:t>
      </w:r>
      <m:oMath>
        <m:r>
          <m:t>V(x) = 0</m:t>
        </m:r>
      </m:oMath>
      <w:r>
        <w:rPr>
          <w:rFonts w:ascii="Times New Roman" w:hAnsi="Times New Roman"/>
          <w:sz w:val="24"/>
        </w:rPr>
        <w:t xml:space="preserve">, the wave equation reduces to the spatial harmonic equation </w:t>
      </w:r>
      <m:oMath>
        <m:f>
          <m:num>
            <m:sSup>
              <m:e>
                <m:r>
                  <m:t>d</m:t>
                </m:r>
              </m:e>
              <m:sup>
                <m:r>
                  <m:t>2</m:t>
                </m:r>
              </m:sup>
            </m:sSup>
            <m:r>
              <m:t>ψ</m:t>
            </m:r>
          </m:num>
          <m:den>
            <m:r>
              <m:t>dx</m:t>
            </m:r>
            <m:r>
              <m:t>^2</m:t>
            </m:r>
          </m:den>
        </m:f>
        <m:r>
          <m:t> + k</m:t>
        </m:r>
        <m:r>
          <m:t>^2ψ = 0</m:t>
        </m:r>
      </m:oMath>
      <w:r>
        <w:rPr>
          <w:rFonts w:ascii="Times New Roman" w:hAnsi="Times New Roman"/>
          <w:sz w:val="24"/>
        </w:rPr>
        <w:t xml:space="preserve">, where the wavenumber parameter is defined by </w:t>
      </w:r>
      <m:oMath>
        <m:r>
          <m:t>k = </m:t>
        </m:r>
        <m:f>
          <m:num>
            <m:rad>
              <m:radPr>
                <m:degHide m:val="1"/>
              </m:radPr>
              <m:deg/>
              <m:e>
                <m:r>
                  <m:t>2mE</m:t>
                </m:r>
              </m:e>
            </m:rad>
          </m:num>
          <m:den>
            <m:r>
              <m:t>ħ</m:t>
            </m:r>
          </m:den>
        </m:f>
      </m:oMath>
      <w:r>
        <w:rPr>
          <w:rFonts w:ascii="Times New Roman" w:hAnsi="Times New Roman"/>
          <w:sz w:val="24"/>
        </w:rPr>
        <w:t>.</w:t>
      </w:r>
    </w:p>
    <w:p>
      <w:pPr>
        <w:spacing w:line="360" w:lineRule="auto" w:after="120"/>
        <w:jc w:val="both"/>
      </w:pPr>
      <w:r>
        <w:rPr>
          <w:rFonts w:ascii="Times New Roman" w:hAnsi="Times New Roman"/>
          <w:sz w:val="24"/>
        </w:rPr>
        <w:t xml:space="preserve">The general solution takes the standard oscillatory form </w:t>
      </w:r>
      <m:oMath>
        <m:r>
          <m:t>ψ(x) = A</m:t>
        </m:r>
        <m:r>
          <m:t>\sin(kx) + B</m:t>
        </m:r>
        <m:r>
          <m:t>\cos(kx)</m:t>
        </m:r>
      </m:oMath>
      <w:r>
        <w:rPr>
          <w:rFonts w:ascii="Times New Roman" w:hAnsi="Times New Roman"/>
          <w:sz w:val="24"/>
        </w:rPr>
        <w:t xml:space="preserve">. Enforcing Dirichlet boundary conditions preserves state continuity across the rigid barriers: at </w:t>
      </w:r>
      <m:oMath>
        <m:r>
          <m:t>x = 0</m:t>
        </m:r>
      </m:oMath>
      <w:r>
        <w:rPr>
          <w:rFonts w:ascii="Times New Roman" w:hAnsi="Times New Roman"/>
          <w:sz w:val="24"/>
        </w:rPr>
        <w:t xml:space="preserve">, the condition </w:t>
      </w:r>
      <m:oMath>
        <m:r>
          <m:t>ψ(0) = B = 0</m:t>
        </m:r>
      </m:oMath>
      <w:r>
        <w:rPr>
          <w:rFonts w:ascii="Times New Roman" w:hAnsi="Times New Roman"/>
          <w:sz w:val="24"/>
        </w:rPr>
        <w:t xml:space="preserve"> requires that the cosine component vanish identically. At the right boundary </w:t>
      </w:r>
      <m:oMath>
        <m:r>
          <m:t>x = L</m:t>
        </m:r>
      </m:oMath>
      <w:r>
        <w:rPr>
          <w:rFonts w:ascii="Times New Roman" w:hAnsi="Times New Roman"/>
          <w:sz w:val="24"/>
        </w:rPr>
        <w:t xml:space="preserve">, demanding </w:t>
      </w:r>
      <m:oMath>
        <m:r>
          <m:t>ψ(L) = A</m:t>
        </m:r>
        <m:r>
          <m:t>\sin(kL) = 0</m:t>
        </m:r>
      </m:oMath>
      <w:r>
        <w:rPr>
          <w:rFonts w:ascii="Times New Roman" w:hAnsi="Times New Roman"/>
          <w:sz w:val="24"/>
        </w:rPr>
        <w:t xml:space="preserve"> for non-trivial states (</w:t>
      </w:r>
      <m:oMath>
        <m:r>
          <m:t>A </m:t>
        </m:r>
        <m:r>
          <m:t>\ne 0</m:t>
        </m:r>
      </m:oMath>
      <w:r>
        <w:rPr>
          <w:rFonts w:ascii="Times New Roman" w:hAnsi="Times New Roman"/>
          <w:sz w:val="24"/>
        </w:rPr>
        <w:t xml:space="preserve">) dictates the discrete quantization condition </w:t>
      </w:r>
      <m:oMath>
        <m:r>
          <m:t>kL = nπ</m:t>
        </m:r>
      </m:oMath>
      <w:r>
        <w:rPr>
          <w:rFonts w:ascii="Times New Roman" w:hAnsi="Times New Roman"/>
          <w:sz w:val="24"/>
        </w:rPr>
        <w:t xml:space="preserve">, where </w:t>
      </w:r>
      <m:oMath>
        <m:r>
          <m:t>n = 1, 2, 3, </m:t>
        </m:r>
        <m:r>
          <m:t>\dots</m:t>
        </m:r>
      </m:oMath>
      <w:r>
        <w:rPr>
          <w:rFonts w:ascii="Times New Roman" w:hAnsi="Times New Roman"/>
          <w:sz w:val="24"/>
        </w:rPr>
        <w:t xml:space="preserve"> represents the principal quantum number. The spatial wave numbers are therefore quantized as </w:t>
      </w:r>
      <m:oMath>
        <m:sSub>
          <m:e>
            <m:r>
              <m:t>k</m:t>
            </m:r>
          </m:e>
          <m:sub>
            <m:r>
              <m:t>n</m:t>
            </m:r>
          </m:sub>
        </m:sSub>
        <m:r>
          <m:t> = </m:t>
        </m:r>
        <m:f>
          <m:num>
            <m:r>
              <m:t>nπ</m:t>
            </m:r>
          </m:num>
          <m:den>
            <m:r>
              <m:t>L</m:t>
            </m:r>
          </m:den>
        </m:f>
      </m:oMath>
      <w:r>
        <w:rPr>
          <w:rFonts w:ascii="Times New Roman" w:hAnsi="Times New Roman"/>
          <w:sz w:val="24"/>
        </w:rPr>
        <w:t>.</w:t>
      </w:r>
    </w:p>
    <w:p>
      <w:pPr>
        <w:spacing w:line="360" w:lineRule="auto" w:after="120"/>
        <w:jc w:val="both"/>
      </w:pPr>
      <w:r>
        <w:rPr>
          <w:rFonts w:ascii="Times New Roman" w:hAnsi="Times New Roman"/>
          <w:sz w:val="24"/>
        </w:rPr>
        <w:t>Equating this quantized wave number to the kinetic energy relation yields the discrete energy eigenvalue spectrum:</w:t>
      </w:r>
    </w:p>
    <w:p>
      <w:pPr>
        <w:spacing w:before="160" w:after="160"/>
        <w:jc w:val="center"/>
      </w:pPr>
      <m:oMathPara>
        <m:oMath>
          <m:sSub>
            <m:e>
              <m:r>
                <m:t>E</m:t>
              </m:r>
            </m:e>
            <m:sub>
              <m:r>
                <m:t>n</m:t>
              </m:r>
            </m:sub>
          </m:sSub>
          <m:r>
            <m:t> = </m:t>
          </m:r>
          <m:f>
            <m:num>
              <m:sSup>
                <m:e>
                  <m:r>
                    <m:t>ħ</m:t>
                  </m:r>
                </m:e>
                <m:sup>
                  <m:r>
                    <m:t>2</m:t>
                  </m:r>
                </m:sup>
              </m:sSup>
              <m:r>
                <m:t> k</m:t>
              </m:r>
              <m:r>
                <m:t>_n</m:t>
              </m:r>
              <m:r>
                <m:t>^2</m:t>
              </m:r>
            </m:num>
            <m:den>
              <m:r>
                <m:t>2m</m:t>
              </m:r>
            </m:den>
          </m:f>
          <m:r>
            <m:t> = </m:t>
          </m:r>
          <m:f>
            <m:num>
              <m:sSup>
                <m:e>
                  <m:r>
                    <m:t>n</m:t>
                  </m:r>
                </m:e>
                <m:sup>
                  <m:r>
                    <m:t>2</m:t>
                  </m:r>
                </m:sup>
              </m:sSup>
              <m:r>
                <m:t> π</m:t>
              </m:r>
              <m:r>
                <m:t>^2 ħ</m:t>
              </m:r>
              <m:r>
                <m:t>^2</m:t>
              </m:r>
            </m:num>
            <m:den>
              <m:r>
                <m:t>2mL</m:t>
              </m:r>
              <m:r>
                <m:t>^2</m:t>
              </m:r>
            </m:den>
          </m:f>
          <m:r>
            <m:t> = </m:t>
          </m:r>
          <m:f>
            <m:num>
              <m:sSup>
                <m:e>
                  <m:r>
                    <m:t>n</m:t>
                  </m:r>
                </m:e>
                <m:sup>
                  <m:r>
                    <m:t>2</m:t>
                  </m:r>
                </m:sup>
              </m:sSup>
              <m:r>
                <m:t> h</m:t>
              </m:r>
              <m:r>
                <m:t>^2</m:t>
              </m:r>
            </m:num>
            <m:den>
              <m:r>
                <m:t>8mL</m:t>
              </m:r>
              <m:r>
                <m:t>^2</m:t>
              </m:r>
            </m:den>
          </m:f>
        </m:oMath>
      </m:oMathPara>
    </w:p>
    <w:p>
      <w:pPr>
        <w:spacing w:line="360" w:lineRule="auto" w:after="120"/>
        <w:jc w:val="both"/>
      </w:pPr>
      <w:r>
        <w:rPr>
          <w:rFonts w:ascii="Times New Roman" w:hAnsi="Times New Roman"/>
          <w:sz w:val="24"/>
        </w:rPr>
        <w:t xml:space="preserve">Imposing unit normalization across the well domain, </w:t>
      </w:r>
      <m:oMath>
        <m:r>
          <m:t>∫</m:t>
        </m:r>
        <m:r>
          <m:t>_0</m:t>
        </m:r>
        <m:r>
          <m:t>^L |ψ</m:t>
        </m:r>
        <m:r>
          <m:t>_n(x)|</m:t>
        </m:r>
        <m:r>
          <m:t>^2 dx = A</m:t>
        </m:r>
        <m:r>
          <m:t>^2 ∫</m:t>
        </m:r>
        <m:r>
          <m:t>_0</m:t>
        </m:r>
        <m:r>
          <m:t>^L </m:t>
        </m:r>
        <m:r>
          <m:t>\sin</m:t>
        </m:r>
        <m:r>
          <m:t>^2(</m:t>
        </m:r>
        <m:f>
          <m:num>
            <m:r>
              <m:t>nπ x</m:t>
            </m:r>
          </m:num>
          <m:den>
            <m:r>
              <m:t>L</m:t>
            </m:r>
          </m:den>
        </m:f>
        <m:r>
          <m:t>) dx = A</m:t>
        </m:r>
        <m:r>
          <m:t>^2 </m:t>
        </m:r>
        <m:f>
          <m:num>
            <m:r>
              <m:t>L</m:t>
            </m:r>
          </m:num>
          <m:den>
            <m:r>
              <m:t>2</m:t>
            </m:r>
          </m:den>
        </m:f>
        <m:r>
          <m:t> = 1</m:t>
        </m:r>
      </m:oMath>
      <w:r>
        <w:rPr>
          <w:rFonts w:ascii="Times New Roman" w:hAnsi="Times New Roman"/>
          <w:sz w:val="24"/>
        </w:rPr>
        <w:t xml:space="preserve">, determines the normalization constant </w:t>
      </w:r>
      <m:oMath>
        <m:r>
          <m:t>A = </m:t>
        </m:r>
        <m:rad>
          <m:radPr>
            <m:degHide m:val="1"/>
          </m:radPr>
          <m:deg/>
          <m:e>
            <m:r>
              <m:t>2/L</m:t>
            </m:r>
          </m:e>
        </m:rad>
      </m:oMath>
      <w:r>
        <w:rPr>
          <w:rFonts w:ascii="Times New Roman" w:hAnsi="Times New Roman"/>
          <w:sz w:val="24"/>
        </w:rPr>
        <w:t>. The complete orthonormal set of stationary wave functions is therefore expressed as: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line="360" w:lineRule="auto" w:after="120"/>
        <w:jc w:val="both"/>
      </w:pPr>
      <w:r>
        <w:rPr>
          <w:rFonts w:ascii="Times New Roman" w:hAnsi="Times New Roman"/>
          <w:sz w:val="24"/>
        </w:rPr>
        <w:t xml:space="preserve">Crucially, the lowest allowable energy level corresponds to </w:t>
      </w:r>
      <m:oMath>
        <m:r>
          <m:t>n = 1</m:t>
        </m:r>
      </m:oMath>
      <w:r>
        <w:rPr>
          <w:rFonts w:ascii="Times New Roman" w:hAnsi="Times New Roman"/>
          <w:sz w:val="24"/>
        </w:rPr>
        <w:t xml:space="preserve">, yielding a non-zero zero-point energy </w:t>
      </w:r>
      <m:oMath>
        <m:sSub>
          <m:e>
            <m:r>
              <m:t>E</m:t>
            </m:r>
          </m:e>
          <m:sub>
            <m:r>
              <m:t>1</m:t>
            </m:r>
          </m:sub>
        </m:sSub>
        <m:r>
          <m:t> = </m:t>
        </m:r>
        <m:f>
          <m:num>
            <m:sSup>
              <m:e>
                <m:r>
                  <m:t>h</m:t>
                </m:r>
              </m:e>
              <m:sup>
                <m:r>
                  <m:t>2</m:t>
                </m:r>
              </m:sup>
            </m:sSup>
          </m:num>
          <m:den>
            <m:r>
              <m:t>8mL</m:t>
            </m:r>
            <m:r>
              <m:t>^2</m:t>
            </m:r>
          </m:den>
        </m:f>
      </m:oMath>
      <w:r>
        <w:rPr>
          <w:rFonts w:ascii="Times New Roman" w:hAnsi="Times New Roman"/>
          <w:sz w:val="24"/>
        </w:rPr>
        <w:t>, demonstrating that quantum spatial localization precludes the particle from possessing zero kinetic energy.</w:t>
      </w:r>
    </w:p>
    <w:p>
      <w:pPr>
        <w:pStyle w:val="Heading3"/>
        <w:spacing w:before="280" w:after="120"/>
      </w:pPr>
      <w:r>
        <w:t>Physical Interpretation of Solutions and Eigenstates in Particle in a 1D Box</w:t>
      </w:r>
    </w:p>
    <w:p>
      <w:pPr>
        <w:pStyle w:val="Heading3"/>
        <w:spacing w:before="280" w:after="120"/>
      </w:pPr>
      <w:r>
        <w:t>Engineering Applications and Technological Relevance of Particle in a 1D Box</w:t>
      </w:r>
    </w:p>
    <w:p>
      <w:pPr>
        <w:spacing w:line="360" w:lineRule="auto" w:after="120"/>
        <w:jc w:val="both"/>
      </w:pPr>
      <w:r>
        <w:rPr>
          <w:rFonts w:ascii="Times New Roman" w:hAnsi="Times New Roman"/>
          <w:sz w:val="24"/>
        </w:rPr>
        <w:t>The one-dimensional infinite potential well serves as the foundational mathematical archetype for engineered nanoscale semiconductor heterostructures. In modern molecular beam epitaxy (MBE), materials scientists fabricate ultra-thin layers of gallium arsenide (GaAs) bounded by wider-bandgap aluminum gallium arsenide (AlGaAs). The spatial conduction-band discontinuity confines conduction electrons in one dimension, forming quantum well heterostructures that modulate electronic carrier density.</w:t>
      </w:r>
    </w:p>
    <w:p>
      <w:pPr>
        <w:spacing w:line="360" w:lineRule="auto" w:after="120"/>
        <w:jc w:val="both"/>
      </w:pPr>
      <w:r>
        <w:rPr>
          <w:rFonts w:ascii="Times New Roman" w:hAnsi="Times New Roman"/>
          <w:sz w:val="24"/>
        </w:rPr>
        <w:t>Because transition energies between discrete quantized subbands scale inversely with well width squared (</w:t>
      </w:r>
      <m:oMath>
        <m:r>
          <m:t>Δ E </m:t>
        </m:r>
        <m:r>
          <m:t>\propto 1/L</m:t>
        </m:r>
        <m:r>
          <m:t>^2</m:t>
        </m:r>
      </m:oMath>
      <w:r>
        <w:rPr>
          <w:rFonts w:ascii="Times New Roman" w:hAnsi="Times New Roman"/>
          <w:sz w:val="24"/>
        </w:rPr>
        <w:t>), nanoscale engineering of the well thickness directly dictates the emitted photon wavelength. This principle powers quantum well laser diodes employed in long-haul optical fiber telecommunications, as well as colloidal semiconductor quantum dots utilized in biological fluorescence tagging and high-gamut display panels.</w:t>
      </w:r>
    </w:p>
    <w:p>
      <w:pPr>
        <w:pStyle w:val="Heading3"/>
        <w:spacing w:before="280" w:after="120"/>
      </w:pPr>
      <w:r>
        <w:t>Physical Limitations, Assumptions, and Boundary Scope of Particle in a 1D Box</w:t>
      </w:r>
    </w:p>
    <w:p>
      <w:pPr>
        <w:pStyle w:val="Heading1"/>
        <w:spacing w:before="480" w:after="240"/>
      </w:pPr>
      <w:r>
        <w:t>References</w:t>
      </w:r>
    </w:p>
    <w:p>
      <w:pPr>
        <w:pStyle w:val="Heading2"/>
        <w:spacing w:before="400" w:after="160"/>
      </w:pPr>
      <w:r>
        <w:t>Academic Bibliography</w:t>
      </w:r>
    </w:p>
    <w:p>
      <w:pPr>
        <w:pStyle w:val="Heading3"/>
        <w:spacing w:before="280" w:after="120"/>
      </w:pPr>
      <w:r>
        <w:t>References</w:t>
      </w:r>
    </w:p>
    <w:p>
      <w:pPr>
        <w:spacing w:line="360" w:lineRule="auto" w:after="120"/>
        <w:jc w:val="both"/>
      </w:pPr>
      <w:r>
        <w:rPr>
          <w:rFonts w:ascii="Times New Roman" w:hAnsi="Times New Roman"/>
          <w:sz w:val="24"/>
        </w:rPr>
        <w:t>[1] Kalanov, Temur Z., "De Broglie Hypothesis and the Schrödinger Equation : Gross Errors in Mathematics, Physics, Formal Logic and Dialectics," Diva Enterprises Private Limited, 2025. Available: https://doi.org/10.5958/2394-9309.2025.00001.8.</w:t>
      </w:r>
    </w:p>
    <w:p>
      <w:pPr>
        <w:spacing w:line="360" w:lineRule="auto" w:after="120"/>
        <w:jc w:val="both"/>
      </w:pPr>
      <w:r>
        <w:rPr>
          <w:rFonts w:ascii="Times New Roman" w:hAnsi="Times New Roman"/>
          <w:sz w:val="24"/>
        </w:rPr>
        <w:t>[2] Baggott, Jim, "Special relativity and de Broglie' hypothesis," Oxford University PressOxford, 2003. Available: https://doi.org/10.1093/oso/9780198529279.005.0004.</w:t>
      </w:r>
    </w:p>
    <w:p>
      <w:pPr>
        <w:spacing w:line="360" w:lineRule="auto" w:after="120"/>
        <w:jc w:val="both"/>
      </w:pPr>
      <w:r>
        <w:rPr>
          <w:rFonts w:ascii="Times New Roman" w:hAnsi="Times New Roman"/>
          <w:sz w:val="24"/>
        </w:rPr>
        <w:t>[3] LOH, Kok Choy, "The Heisenberg Uncertainty Principle," Cambridge University Press (CUP), 2023. Available: https://doi.org/10.33774/coe-2023-m4bwq.</w:t>
      </w:r>
    </w:p>
    <w:p>
      <w:pPr>
        <w:spacing w:line="360" w:lineRule="auto" w:after="120"/>
        <w:jc w:val="both"/>
      </w:pPr>
      <w:r>
        <w:rPr>
          <w:rFonts w:ascii="Times New Roman" w:hAnsi="Times New Roman"/>
          <w:sz w:val="24"/>
        </w:rPr>
        <w:t>[4] Mawdsley, J., "Demonstrating Phase Velocity and Group Velocity," American Association of Physics Teachers (AAPT), 1969. Available: https://doi.org/10.1119/1.1975877.</w:t>
      </w:r>
    </w:p>
    <w:p>
      <w:pPr>
        <w:spacing w:line="360" w:lineRule="auto" w:after="120"/>
        <w:jc w:val="both"/>
      </w:pPr>
      <w:r>
        <w:rPr>
          <w:rFonts w:ascii="Times New Roman" w:hAnsi="Times New Roman"/>
          <w:sz w:val="24"/>
        </w:rPr>
        <w:t>[5] De Vincenzo, Salvatore, "General pseudo self-adjoint boundary conditions for a 1D KFG particle in a box," Elsevier BV, 2023. Available: https://doi.org/10.1016/j.physo.2023.100151.</w:t>
      </w:r>
    </w:p>
    <w:p>
      <w:pPr>
        <w:spacing w:line="360" w:lineRule="auto" w:after="120"/>
        <w:jc w:val="both"/>
      </w:pPr>
      <w:r>
        <w:rPr>
          <w:rFonts w:ascii="Times New Roman" w:hAnsi="Times New Roman"/>
          <w:sz w:val="24"/>
        </w:rPr>
        <w:t>[6] Uğurlu, Berat Tuğrul, "On the wave nature of particles," Physics Essays Publication, 2022. Available: https://doi.org/10.4006/0836-1398-35.2.171.</w:t>
      </w:r>
    </w:p>
    <w:p>
      <w:pPr>
        <w:spacing w:line="360" w:lineRule="auto" w:after="120"/>
        <w:jc w:val="both"/>
      </w:pPr>
      <w:r>
        <w:rPr>
          <w:rFonts w:ascii="Times New Roman" w:hAnsi="Times New Roman"/>
          <w:sz w:val="24"/>
        </w:rPr>
        <w:t>[7] Barber, N. F., "Phase Velocity and Group Velocity," American Association of Physics Teachers (AAPT), 1959. Available: https://doi.org/10.1119/1.1934769.</w:t>
      </w:r>
    </w:p>
    <w:p>
      <w:pPr>
        <w:spacing w:line="360" w:lineRule="auto" w:after="120"/>
        <w:jc w:val="both"/>
      </w:pPr>
      <w:r>
        <w:rPr>
          <w:rFonts w:ascii="Times New Roman" w:hAnsi="Times New Roman"/>
          <w:sz w:val="24"/>
        </w:rPr>
        <w:t>[8] Saputra, Y D, "Quantum Lenoir Engine with a Multiple-eigenstates Particle in 1D Potential Box," IOP Publishing, 2021. Available: https://doi.org/10.1088/1742-6596/1726/1/012016.</w:t>
      </w:r>
    </w:p>
    <w:p>
      <w:pPr>
        <w:spacing w:line="360" w:lineRule="auto" w:after="120"/>
        <w:jc w:val="both"/>
      </w:pPr>
      <w:r>
        <w:rPr>
          <w:rFonts w:ascii="Times New Roman" w:hAnsi="Times New Roman"/>
          <w:sz w:val="24"/>
        </w:rPr>
        <w:t>[9] Yusupov, J, "Quantum dynamics of a parity-time-symmetric kicked particle in a 1D box," IOP Publishing, 2019. Available: https://doi.org/10.1088/1751-8121/aaf08b.</w:t>
      </w:r>
    </w:p>
    <w:p>
      <w:pPr>
        <w:spacing w:line="360" w:lineRule="auto" w:after="120"/>
        <w:jc w:val="both"/>
      </w:pPr>
      <w:r>
        <w:rPr>
          <w:rFonts w:ascii="Times New Roman" w:hAnsi="Times New Roman"/>
          <w:sz w:val="24"/>
        </w:rPr>
        <w:t>[10] Tycrská, Tomás, "The de Broglie hypothesis leading to path integrals," IOP Publishing, 1996. Available: https://doi.org/10.1088/0143-0807/17/3/012.</w:t>
      </w:r>
    </w:p>
    <w:p>
      <w:pPr>
        <w:spacing w:line="360" w:lineRule="auto" w:after="120"/>
        <w:jc w:val="both"/>
      </w:pPr>
      <w:r>
        <w:rPr>
          <w:rFonts w:ascii="Times New Roman" w:hAnsi="Times New Roman"/>
          <w:sz w:val="24"/>
        </w:rPr>
        <w:t>[11] Akulich, P. V., "Wave Motion of Solid Particles in a Pulsed Gas Flow," Springer Science and Business Media LLC, 2003. Available: https://doi.org/10.1023/a:1025693903756.</w:t>
      </w:r>
    </w:p>
    <w:p>
      <w:pPr>
        <w:spacing w:line="360" w:lineRule="auto" w:after="120"/>
        <w:jc w:val="both"/>
      </w:pPr>
      <w:r>
        <w:rPr>
          <w:rFonts w:ascii="Times New Roman" w:hAnsi="Times New Roman"/>
          <w:sz w:val="24"/>
        </w:rPr>
        <w:t>[12] Academic Research Faculty, "Matter waves—wave mechanics of particles," Springer New York, None. Available: https://doi.org/10.1007/0-387-21632-4_24.</w:t>
      </w:r>
    </w:p>
    <w:p>
      <w:pPr>
        <w:spacing w:line="360" w:lineRule="auto" w:after="120"/>
        <w:jc w:val="both"/>
      </w:pPr>
      <w:r>
        <w:rPr>
          <w:rFonts w:ascii="Times New Roman" w:hAnsi="Times New Roman"/>
          <w:sz w:val="24"/>
        </w:rPr>
        <w:t>[13] Academic Educational Consortium, "Academic Knowledgebase: Branches of physics," Wikimedia Foundation, 2026. Available: https://en.wikipedia.org/wiki/Branches_of_physics.</w:t>
      </w:r>
    </w:p>
    <w:p>
      <w:pPr>
        <w:spacing w:line="360" w:lineRule="auto" w:after="120"/>
        <w:jc w:val="both"/>
      </w:pPr>
      <w:r>
        <w:rPr>
          <w:rFonts w:ascii="Times New Roman" w:hAnsi="Times New Roman"/>
          <w:sz w:val="24"/>
        </w:rPr>
        <w:t>[14] Academic Educational Consortium, "Academic Knowledgebase: De Broglie–Bohm theory," Wikimedia Foundation, 2026. Available: https://en.wikipedia.org/wiki/De_Broglie–Bohm_theory.</w:t>
      </w:r>
    </w:p>
    <w:p>
      <w:pPr>
        <w:spacing w:line="360" w:lineRule="auto" w:after="120"/>
        <w:jc w:val="both"/>
      </w:pPr>
      <w:r>
        <w:rPr>
          <w:rFonts w:ascii="Times New Roman" w:hAnsi="Times New Roman"/>
          <w:sz w:val="24"/>
        </w:rPr>
        <w:t>[15] Academic Educational Consortium, "Academic Knowledgebase: Dispersion relation," Wikimedia Foundation, 2026. Available: https://en.wikipedia.org/wiki/Dispersion_relation.</w:t>
      </w:r>
    </w:p>
    <w:p>
      <w:pPr>
        <w:spacing w:line="360" w:lineRule="auto" w:after="120"/>
        <w:jc w:val="both"/>
      </w:pPr>
      <w:r>
        <w:rPr>
          <w:rFonts w:ascii="Times New Roman" w:hAnsi="Times New Roman"/>
          <w:sz w:val="24"/>
        </w:rPr>
        <w:t>[16] Academic Educational Consortium, "Academic Knowledgebase: Louis de Broglie," Wikimedia Foundation, 2026. Available: https://en.wikipedia.org/wiki/Louis_de_Broglie.</w:t>
      </w:r>
    </w:p>
    <w:p>
      <w:pPr>
        <w:spacing w:line="360" w:lineRule="auto" w:after="120"/>
        <w:jc w:val="both"/>
      </w:pPr>
      <w:r>
        <w:rPr>
          <w:rFonts w:ascii="Times New Roman" w:hAnsi="Times New Roman"/>
          <w:sz w:val="24"/>
        </w:rPr>
        <w:t>[17] Academic Educational Consortium, "Academic Knowledgebase: Physics," Wikimedia Foundation, 2026. Available: https://en.wikipedia.org/wiki/Physics.</w:t>
      </w:r>
    </w:p>
    <w:p>
      <w:pPr>
        <w:spacing w:line="360" w:lineRule="auto" w:after="120"/>
        <w:jc w:val="both"/>
      </w:pPr>
      <w:r>
        <w:rPr>
          <w:rFonts w:ascii="Times New Roman" w:hAnsi="Times New Roman"/>
          <w:sz w:val="24"/>
        </w:rPr>
        <w:t>[18] Academic Educational Consortium, "Academic Knowledgebase: Subatomic particle," Wikimedia Foundation, 2026. Available: https://en.wikipedia.org/wiki/Subatomic_particle.</w:t>
      </w:r>
    </w:p>
    <w:p>
      <w:pPr>
        <w:spacing w:line="360" w:lineRule="auto" w:after="120"/>
        <w:jc w:val="both"/>
      </w:pPr>
      <w:r>
        <w:rPr>
          <w:rFonts w:ascii="Times New Roman" w:hAnsi="Times New Roman"/>
          <w:sz w:val="24"/>
        </w:rPr>
        <w:t>[19] Academic Educational Consortium, "Academic Knowledgebase: Uncertainty principle," Wikimedia Foundation, 2026. Available: https://en.wikipedia.org/wiki/Uncertainty_principle.</w:t>
      </w:r>
    </w:p>
    <w:p>
      <w:pPr>
        <w:spacing w:line="360" w:lineRule="auto" w:after="120"/>
        <w:jc w:val="both"/>
      </w:pPr>
      <w:r>
        <w:rPr>
          <w:rFonts w:ascii="Times New Roman" w:hAnsi="Times New Roman"/>
          <w:sz w:val="24"/>
        </w:rPr>
        <w:t>[20] Academic Educational Consortium, "Academic Knowledgebase: Velocity," Wikimedia Foundation, 2026. Available: https://en.wikipedia.org/wiki/Velocity.</w:t>
      </w:r>
    </w:p>
    <w:p>
      <w:pPr>
        <w:spacing w:line="360" w:lineRule="auto" w:after="120"/>
        <w:jc w:val="both"/>
      </w:pPr>
      <w:r>
        <w:rPr>
          <w:rFonts w:ascii="Times New Roman" w:hAnsi="Times New Roman"/>
          <w:sz w:val="24"/>
        </w:rPr>
        <w:t>[21] Stephens, Simon, "Heisenberg: The Uncertainty Principle," Bloomsbury Publishing Plc, 2017. Available: https://doi.org/10.5040/9781350064881.00000005.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Pr>
    <w:r>
      <w:rPr>
        <w:rFonts w:ascii="Times New Roman" w:hAnsi="Times New Roman"/>
        <w:color w:val="718096"/>
        <w:sz w:val="20"/>
      </w:rPr>
      <w:fldChar w:fldCharType="begin"/>
      <w:instrText xml:space="preserve">PAGE</w:instrText>
      <w:fldChar w:fldCharType="separate"/>
      <w:fldChar w:fldCharType="end"/>
    </w:r>
    <w:r>
      <w:rPr>
        <w:rFonts w:ascii="Times New Roman" w:hAnsi="Times New Roman"/>
        <w:color w:val="94A3B8"/>
        <w:sz w:val="19"/>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i w:val="0"/>
      <w:color w:val="1A365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4A556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