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4F6FA"/>
  <w:body>
    <w:p>
      <w:pPr>
        <w:spacing w:after="40"/>
        <w:jc w:val="center"/>
      </w:pPr>
      <w:r>
        <w:drawing>
          <wp:inline distT="0" distB="0" distL="0" distR="0">
            <wp:extent cx="9144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857250"/>
                    </a:xfrm>
                    <a:prstGeom prst="rect">
                      <a:avLst/>
                    </a:prstGeom>
                  </pic:spPr>
                </pic:pic>
              </a:graphicData>
            </a:graphic>
          </wp:inline>
        </w:drawing>
      </w:r>
    </w:p>
    <w:p>
      <w:pPr>
        <w:spacing w:after="20"/>
        <w:jc w:val="center"/>
      </w:pPr>
      <w:r>
        <w:rPr>
          <w:b/>
          <w:bCs/>
          <w:color w:val="0B4F6C"/>
          <w:sz w:val="44"/>
          <w:szCs w:val="44"/>
        </w:rPr>
        <w:t xml:space="preserve">TERMS &amp; CONDITIONS</w:t>
      </w:r>
    </w:p>
    <w:p>
      <w:pPr>
        <w:spacing w:after="200"/>
        <w:jc w:val="center"/>
      </w:pPr>
      <w:r>
        <w:rPr>
          <w:i/>
          <w:iCs/>
          <w:color w:val="1179A8"/>
          <w:sz w:val="22"/>
          <w:szCs w:val="22"/>
        </w:rPr>
        <w:t xml:space="preserve">Effective Date: 01.07.2026</w:t>
      </w:r>
    </w:p>
    <w:p>
      <w:pPr>
        <w:spacing w:after="220" w:line="300"/>
      </w:pPr>
      <w:r>
        <w:rPr>
          <w:color w:val="1A2B2E"/>
          <w:sz w:val="21"/>
          <w:szCs w:val="21"/>
        </w:rPr>
        <w:t xml:space="preserve">Welcome to the website of Poiya Healthcare India Pvt. Ltd. ("Poiya Healthcare", "Company", "we", "our", or "us"). By accessing or using this website, you agree to comply with and be bound by these Terms &amp; Conditions. If you do not agree with these Terms, please do not use this website.</w:t>
      </w:r>
    </w:p>
    <w:p>
      <w:pPr>
        <w:pStyle w:val="Heading1"/>
        <w:pBdr>
          <w:bottom w:val="single" w:color="1179A8" w:sz="6" w:space="4"/>
        </w:pBdr>
        <w:spacing w:after="120" w:before="260"/>
      </w:pPr>
      <w:r>
        <w:rPr>
          <w:b/>
          <w:bCs/>
          <w:color w:val="0B4F6C"/>
          <w:sz w:val="26"/>
          <w:szCs w:val="26"/>
        </w:rPr>
        <w:t xml:space="preserve">1. </w:t>
      </w:r>
      <w:r>
        <w:rPr>
          <w:b/>
          <w:bCs/>
          <w:color w:val="0B4F6C"/>
          <w:sz w:val="26"/>
          <w:szCs w:val="26"/>
        </w:rPr>
        <w:t xml:space="preserve">Company Information</w:t>
      </w:r>
    </w:p>
    <w:p>
      <w:pPr>
        <w:spacing w:after="140" w:line="300"/>
      </w:pPr>
      <w:r>
        <w:rPr>
          <w:color w:val="1A2B2E"/>
          <w:sz w:val="21"/>
          <w:szCs w:val="21"/>
        </w:rPr>
        <w:t xml:space="preserve">Poiya Healthcare India Pvt. Ltd.</w:t>
      </w:r>
    </w:p>
    <w:p>
      <w:pPr>
        <w:spacing w:after="40"/>
      </w:pPr>
      <w:r>
        <w:rPr>
          <w:b/>
          <w:bCs/>
          <w:color w:val="1A2B2E"/>
          <w:sz w:val="21"/>
          <w:szCs w:val="21"/>
        </w:rPr>
        <w:t xml:space="preserve">Registered Office:</w:t>
      </w:r>
    </w:p>
    <w:p>
      <w:pPr>
        <w:spacing w:after="140" w:line="300"/>
      </w:pPr>
      <w:r>
        <w:rPr>
          <w:color w:val="1A2B2E"/>
          <w:sz w:val="21"/>
          <w:szCs w:val="21"/>
        </w:rPr>
        <w:t xml:space="preserve">301, Trimurti Prime Tower, Jhotwara Industrial Area, Niwaru Road, Jaipur – 302012, Rajasthan, India</w:t>
      </w:r>
    </w:p>
    <w:p>
      <w:pPr>
        <w:spacing w:after="140" w:line="300"/>
      </w:pPr>
      <w:r>
        <w:rPr>
          <w:color w:val="1A2B2E"/>
          <w:sz w:val="21"/>
          <w:szCs w:val="21"/>
        </w:rPr>
        <w:t xml:space="preserve">Phone: +91 9414044499</w:t>
      </w:r>
    </w:p>
    <w:p>
      <w:pPr>
        <w:spacing w:after="140" w:line="300"/>
      </w:pPr>
      <w:r>
        <w:rPr>
          <w:color w:val="1A2B2E"/>
          <w:sz w:val="21"/>
          <w:szCs w:val="21"/>
        </w:rPr>
        <w:t xml:space="preserve">Email: info@poiyahealth.com</w:t>
      </w:r>
    </w:p>
    <w:p>
      <w:pPr>
        <w:pStyle w:val="Heading1"/>
        <w:pBdr>
          <w:bottom w:val="single" w:color="1179A8" w:sz="6" w:space="4"/>
        </w:pBdr>
        <w:spacing w:after="120" w:before="260"/>
      </w:pPr>
      <w:r>
        <w:rPr>
          <w:b/>
          <w:bCs/>
          <w:color w:val="0B4F6C"/>
          <w:sz w:val="26"/>
          <w:szCs w:val="26"/>
        </w:rPr>
        <w:t xml:space="preserve">2. </w:t>
      </w:r>
      <w:r>
        <w:rPr>
          <w:b/>
          <w:bCs/>
          <w:color w:val="0B4F6C"/>
          <w:sz w:val="26"/>
          <w:szCs w:val="26"/>
        </w:rPr>
        <w:t xml:space="preserve">Acceptance of Terms</w:t>
      </w:r>
    </w:p>
    <w:p>
      <w:pPr>
        <w:spacing w:after="140" w:line="300"/>
      </w:pPr>
      <w:r>
        <w:rPr>
          <w:color w:val="1A2B2E"/>
          <w:sz w:val="21"/>
          <w:szCs w:val="21"/>
        </w:rPr>
        <w:t xml:space="preserve">By using this website, you acknowledge that you have read, understood, and accepted these Terms &amp; Conditions. These Terms apply to all visitors, customers, distributors, suppliers, and any other users of the website.</w:t>
      </w:r>
    </w:p>
    <w:p>
      <w:pPr>
        <w:pStyle w:val="Heading1"/>
        <w:pBdr>
          <w:bottom w:val="single" w:color="1179A8" w:sz="6" w:space="4"/>
        </w:pBdr>
        <w:spacing w:after="120" w:before="260"/>
      </w:pPr>
      <w:r>
        <w:rPr>
          <w:b/>
          <w:bCs/>
          <w:color w:val="0B4F6C"/>
          <w:sz w:val="26"/>
          <w:szCs w:val="26"/>
        </w:rPr>
        <w:t xml:space="preserve">3. </w:t>
      </w:r>
      <w:r>
        <w:rPr>
          <w:b/>
          <w:bCs/>
          <w:color w:val="0B4F6C"/>
          <w:sz w:val="26"/>
          <w:szCs w:val="26"/>
        </w:rPr>
        <w:t xml:space="preserve">Products and Services</w:t>
      </w:r>
    </w:p>
    <w:p>
      <w:pPr>
        <w:spacing w:after="140" w:line="300"/>
      </w:pPr>
      <w:r>
        <w:rPr>
          <w:color w:val="1A2B2E"/>
          <w:sz w:val="21"/>
          <w:szCs w:val="21"/>
        </w:rPr>
        <w:t xml:space="preserve">Poiya Healthcare India Pvt. Ltd. supplies, distributes, installs, services, and maintains medical equipment, diagnostic imaging systems, dialysis equipment, hospital furniture, healthcare consumables, X-ray films, and other healthcare solutions.</w:t>
      </w:r>
    </w:p>
    <w:p>
      <w:pPr>
        <w:spacing w:after="140" w:line="300"/>
      </w:pPr>
      <w:r>
        <w:rPr>
          <w:color w:val="1A2B2E"/>
          <w:sz w:val="21"/>
          <w:szCs w:val="21"/>
        </w:rPr>
        <w:t xml:space="preserve">Products displayed on this website are intended for informational purposes only. Availability, specifications, pricing, and configurations may change without prior notice.</w:t>
      </w:r>
    </w:p>
    <w:p>
      <w:pPr>
        <w:pStyle w:val="Heading1"/>
        <w:pBdr>
          <w:bottom w:val="single" w:color="1179A8" w:sz="6" w:space="4"/>
        </w:pBdr>
        <w:spacing w:after="120" w:before="260"/>
      </w:pPr>
      <w:r>
        <w:rPr>
          <w:b/>
          <w:bCs/>
          <w:color w:val="0B4F6C"/>
          <w:sz w:val="26"/>
          <w:szCs w:val="26"/>
        </w:rPr>
        <w:t xml:space="preserve">4. </w:t>
      </w:r>
      <w:r>
        <w:rPr>
          <w:b/>
          <w:bCs/>
          <w:color w:val="0B4F6C"/>
          <w:sz w:val="26"/>
          <w:szCs w:val="26"/>
        </w:rPr>
        <w:t xml:space="preserve">Quotations and Pricing</w:t>
      </w:r>
    </w:p>
    <w:p>
      <w:pPr>
        <w:pStyle w:val="ListParagraph"/>
        <w:numPr>
          <w:ilvl w:val="0"/>
          <w:numId w:val="2"/>
        </w:numPr>
        <w:spacing w:after="60" w:line="280"/>
      </w:pPr>
      <w:r>
        <w:rPr>
          <w:color w:val="1A2B2E"/>
          <w:sz w:val="21"/>
          <w:szCs w:val="21"/>
        </w:rPr>
        <w:t xml:space="preserve">All quotations are valid only for the period mentioned in the quotation.</w:t>
      </w:r>
    </w:p>
    <w:p>
      <w:pPr>
        <w:pStyle w:val="ListParagraph"/>
        <w:numPr>
          <w:ilvl w:val="0"/>
          <w:numId w:val="2"/>
        </w:numPr>
        <w:spacing w:after="60" w:line="280"/>
      </w:pPr>
      <w:r>
        <w:rPr>
          <w:color w:val="1A2B2E"/>
          <w:sz w:val="21"/>
          <w:szCs w:val="21"/>
        </w:rPr>
        <w:t xml:space="preserve">Prices are subject to applicable GST and other statutory taxes.</w:t>
      </w:r>
    </w:p>
    <w:p>
      <w:pPr>
        <w:pStyle w:val="ListParagraph"/>
        <w:numPr>
          <w:ilvl w:val="0"/>
          <w:numId w:val="2"/>
        </w:numPr>
        <w:spacing w:after="60" w:line="280"/>
      </w:pPr>
      <w:r>
        <w:rPr>
          <w:color w:val="1A2B2E"/>
          <w:sz w:val="21"/>
          <w:szCs w:val="21"/>
        </w:rPr>
        <w:t xml:space="preserve">Freight, installation, training, commissioning, and accessories may be charged separately unless specifically included.</w:t>
      </w:r>
    </w:p>
    <w:p>
      <w:pPr>
        <w:pStyle w:val="ListParagraph"/>
        <w:numPr>
          <w:ilvl w:val="0"/>
          <w:numId w:val="2"/>
        </w:numPr>
        <w:spacing w:after="60" w:line="280"/>
      </w:pPr>
      <w:r>
        <w:rPr>
          <w:color w:val="1A2B2E"/>
          <w:sz w:val="21"/>
          <w:szCs w:val="21"/>
        </w:rPr>
        <w:t xml:space="preserve">The Company reserves the right to revise prices without prior notice.</w:t>
      </w:r>
    </w:p>
    <w:p>
      <w:pPr>
        <w:pStyle w:val="Heading1"/>
        <w:pBdr>
          <w:bottom w:val="single" w:color="1179A8" w:sz="6" w:space="4"/>
        </w:pBdr>
        <w:spacing w:after="120" w:before="260"/>
      </w:pPr>
      <w:r>
        <w:rPr>
          <w:b/>
          <w:bCs/>
          <w:color w:val="0B4F6C"/>
          <w:sz w:val="26"/>
          <w:szCs w:val="26"/>
        </w:rPr>
        <w:t xml:space="preserve">5. </w:t>
      </w:r>
      <w:r>
        <w:rPr>
          <w:b/>
          <w:bCs/>
          <w:color w:val="0B4F6C"/>
          <w:sz w:val="26"/>
          <w:szCs w:val="26"/>
        </w:rPr>
        <w:t xml:space="preserve">Orders</w:t>
      </w:r>
    </w:p>
    <w:p>
      <w:pPr>
        <w:spacing w:after="140" w:line="300"/>
      </w:pPr>
      <w:r>
        <w:rPr>
          <w:color w:val="1A2B2E"/>
          <w:sz w:val="21"/>
          <w:szCs w:val="21"/>
        </w:rPr>
        <w:t xml:space="preserve">Orders placed through our website, email, or other communication channels are subject to acceptance by the Company.</w:t>
      </w:r>
    </w:p>
    <w:p>
      <w:pPr>
        <w:spacing w:after="60"/>
      </w:pPr>
      <w:r>
        <w:rPr>
          <w:color w:val="1A2B2E"/>
          <w:sz w:val="21"/>
          <w:szCs w:val="21"/>
        </w:rPr>
        <w:t xml:space="preserve">We reserve the right to:</w:t>
      </w:r>
    </w:p>
    <w:p>
      <w:pPr>
        <w:pStyle w:val="ListParagraph"/>
        <w:numPr>
          <w:ilvl w:val="0"/>
          <w:numId w:val="2"/>
        </w:numPr>
        <w:spacing w:after="60" w:line="280"/>
      </w:pPr>
      <w:r>
        <w:rPr>
          <w:color w:val="1A2B2E"/>
          <w:sz w:val="21"/>
          <w:szCs w:val="21"/>
        </w:rPr>
        <w:t xml:space="preserve">Reject or cancel any order.</w:t>
      </w:r>
    </w:p>
    <w:p>
      <w:pPr>
        <w:pStyle w:val="ListParagraph"/>
        <w:numPr>
          <w:ilvl w:val="0"/>
          <w:numId w:val="2"/>
        </w:numPr>
        <w:spacing w:after="60" w:line="280"/>
      </w:pPr>
      <w:r>
        <w:rPr>
          <w:color w:val="1A2B2E"/>
          <w:sz w:val="21"/>
          <w:szCs w:val="21"/>
        </w:rPr>
        <w:t xml:space="preserve">Modify delivery schedules due to product availability.</w:t>
      </w:r>
    </w:p>
    <w:p>
      <w:pPr>
        <w:pStyle w:val="ListParagraph"/>
        <w:numPr>
          <w:ilvl w:val="0"/>
          <w:numId w:val="2"/>
        </w:numPr>
        <w:spacing w:after="60" w:line="280"/>
      </w:pPr>
      <w:r>
        <w:rPr>
          <w:color w:val="1A2B2E"/>
          <w:sz w:val="21"/>
          <w:szCs w:val="21"/>
        </w:rPr>
        <w:t xml:space="preserve">Request additional documentation before processing an order.</w:t>
      </w:r>
    </w:p>
    <w:p>
      <w:pPr>
        <w:pStyle w:val="Heading1"/>
        <w:pBdr>
          <w:bottom w:val="single" w:color="1179A8" w:sz="6" w:space="4"/>
        </w:pBdr>
        <w:spacing w:after="120" w:before="260"/>
      </w:pPr>
      <w:r>
        <w:rPr>
          <w:b/>
          <w:bCs/>
          <w:color w:val="0B4F6C"/>
          <w:sz w:val="26"/>
          <w:szCs w:val="26"/>
        </w:rPr>
        <w:t xml:space="preserve">6. </w:t>
      </w:r>
      <w:r>
        <w:rPr>
          <w:b/>
          <w:bCs/>
          <w:color w:val="0B4F6C"/>
          <w:sz w:val="26"/>
          <w:szCs w:val="26"/>
        </w:rPr>
        <w:t xml:space="preserve">Payment Terms</w:t>
      </w:r>
    </w:p>
    <w:p>
      <w:pPr>
        <w:spacing w:after="60"/>
      </w:pPr>
      <w:r>
        <w:rPr>
          <w:color w:val="1A2B2E"/>
          <w:sz w:val="21"/>
          <w:szCs w:val="21"/>
        </w:rPr>
        <w:t xml:space="preserve">Unless otherwise agreed in writing:</w:t>
      </w:r>
    </w:p>
    <w:p>
      <w:pPr>
        <w:pStyle w:val="ListParagraph"/>
        <w:numPr>
          <w:ilvl w:val="0"/>
          <w:numId w:val="2"/>
        </w:numPr>
        <w:spacing w:after="60" w:line="280"/>
      </w:pPr>
      <w:r>
        <w:rPr>
          <w:color w:val="1A2B2E"/>
          <w:sz w:val="21"/>
          <w:szCs w:val="21"/>
        </w:rPr>
        <w:t xml:space="preserve">Payments shall be made according to the agreed payment schedule.</w:t>
      </w:r>
    </w:p>
    <w:p>
      <w:pPr>
        <w:pStyle w:val="ListParagraph"/>
        <w:numPr>
          <w:ilvl w:val="0"/>
          <w:numId w:val="2"/>
        </w:numPr>
        <w:spacing w:after="60" w:line="280"/>
      </w:pPr>
      <w:r>
        <w:rPr>
          <w:color w:val="1A2B2E"/>
          <w:sz w:val="21"/>
          <w:szCs w:val="21"/>
        </w:rPr>
        <w:t xml:space="preserve">Ownership of goods remains with Poiya Healthcare until full payment is received.</w:t>
      </w:r>
    </w:p>
    <w:p>
      <w:pPr>
        <w:pStyle w:val="ListParagraph"/>
        <w:numPr>
          <w:ilvl w:val="0"/>
          <w:numId w:val="2"/>
        </w:numPr>
        <w:spacing w:after="60" w:line="280"/>
      </w:pPr>
      <w:r>
        <w:rPr>
          <w:color w:val="1A2B2E"/>
          <w:sz w:val="21"/>
          <w:szCs w:val="21"/>
        </w:rPr>
        <w:t xml:space="preserve">Delayed payments may attract applicable interest and recovery charges.</w:t>
      </w:r>
    </w:p>
    <w:p>
      <w:pPr>
        <w:pStyle w:val="Heading1"/>
        <w:pBdr>
          <w:bottom w:val="single" w:color="1179A8" w:sz="6" w:space="4"/>
        </w:pBdr>
        <w:spacing w:after="120" w:before="260"/>
      </w:pPr>
      <w:r>
        <w:rPr>
          <w:b/>
          <w:bCs/>
          <w:color w:val="0B4F6C"/>
          <w:sz w:val="26"/>
          <w:szCs w:val="26"/>
        </w:rPr>
        <w:t xml:space="preserve">7. </w:t>
      </w:r>
      <w:r>
        <w:rPr>
          <w:b/>
          <w:bCs/>
          <w:color w:val="0B4F6C"/>
          <w:sz w:val="26"/>
          <w:szCs w:val="26"/>
        </w:rPr>
        <w:t xml:space="preserve">Delivery and Installation</w:t>
      </w:r>
    </w:p>
    <w:p>
      <w:pPr>
        <w:spacing w:after="140" w:line="300"/>
      </w:pPr>
      <w:r>
        <w:rPr>
          <w:color w:val="1A2B2E"/>
          <w:sz w:val="21"/>
          <w:szCs w:val="21"/>
        </w:rPr>
        <w:t xml:space="preserve">Delivery timelines are estimates and may vary due to logistics, customs clearance, manufacturer schedules, or unforeseen circumstances.</w:t>
      </w:r>
    </w:p>
    <w:p>
      <w:pPr>
        <w:spacing w:after="60"/>
      </w:pPr>
      <w:r>
        <w:rPr>
          <w:color w:val="1A2B2E"/>
          <w:sz w:val="21"/>
          <w:szCs w:val="21"/>
        </w:rPr>
        <w:t xml:space="preserve">Installation and commissioning shall be carried out only after:</w:t>
      </w:r>
    </w:p>
    <w:p>
      <w:pPr>
        <w:pStyle w:val="ListParagraph"/>
        <w:numPr>
          <w:ilvl w:val="0"/>
          <w:numId w:val="2"/>
        </w:numPr>
        <w:spacing w:after="60" w:line="280"/>
      </w:pPr>
      <w:r>
        <w:rPr>
          <w:color w:val="1A2B2E"/>
          <w:sz w:val="21"/>
          <w:szCs w:val="21"/>
        </w:rPr>
        <w:t xml:space="preserve">Complete site readiness.</w:t>
      </w:r>
    </w:p>
    <w:p>
      <w:pPr>
        <w:pStyle w:val="ListParagraph"/>
        <w:numPr>
          <w:ilvl w:val="0"/>
          <w:numId w:val="2"/>
        </w:numPr>
        <w:spacing w:after="60" w:line="280"/>
      </w:pPr>
      <w:r>
        <w:rPr>
          <w:color w:val="1A2B2E"/>
          <w:sz w:val="21"/>
          <w:szCs w:val="21"/>
        </w:rPr>
        <w:t xml:space="preserve">Availability of necessary electrical and civil infrastructure.</w:t>
      </w:r>
    </w:p>
    <w:p>
      <w:pPr>
        <w:pStyle w:val="ListParagraph"/>
        <w:numPr>
          <w:ilvl w:val="0"/>
          <w:numId w:val="2"/>
        </w:numPr>
        <w:spacing w:after="60" w:line="280"/>
      </w:pPr>
      <w:r>
        <w:rPr>
          <w:color w:val="1A2B2E"/>
          <w:sz w:val="21"/>
          <w:szCs w:val="21"/>
        </w:rPr>
        <w:t xml:space="preserve">Compliance with manufacturer installation requirements.</w:t>
      </w:r>
    </w:p>
    <w:p>
      <w:pPr>
        <w:spacing w:after="140" w:line="300"/>
      </w:pPr>
      <w:r>
        <w:rPr>
          <w:color w:val="1A2B2E"/>
          <w:sz w:val="21"/>
          <w:szCs w:val="21"/>
        </w:rPr>
        <w:t xml:space="preserve">The Company shall not be responsible for delays caused by incomplete site preparation.</w:t>
      </w:r>
    </w:p>
    <w:p>
      <w:pPr>
        <w:pStyle w:val="Heading1"/>
        <w:pBdr>
          <w:bottom w:val="single" w:color="1179A8" w:sz="6" w:space="4"/>
        </w:pBdr>
        <w:spacing w:after="120" w:before="260"/>
      </w:pPr>
      <w:r>
        <w:rPr>
          <w:b/>
          <w:bCs/>
          <w:color w:val="0B4F6C"/>
          <w:sz w:val="26"/>
          <w:szCs w:val="26"/>
        </w:rPr>
        <w:t xml:space="preserve">8. </w:t>
      </w:r>
      <w:r>
        <w:rPr>
          <w:b/>
          <w:bCs/>
          <w:color w:val="0B4F6C"/>
          <w:sz w:val="26"/>
          <w:szCs w:val="26"/>
        </w:rPr>
        <w:t xml:space="preserve">Warranty</w:t>
      </w:r>
    </w:p>
    <w:p>
      <w:pPr>
        <w:spacing w:after="140" w:line="300"/>
      </w:pPr>
      <w:r>
        <w:rPr>
          <w:color w:val="1A2B2E"/>
          <w:sz w:val="21"/>
          <w:szCs w:val="21"/>
        </w:rPr>
        <w:t xml:space="preserve">Warranty shall be provided only as specifically mentioned in the quotation, invoice, purchase order, or warranty certificate.</w:t>
      </w:r>
    </w:p>
    <w:p>
      <w:pPr>
        <w:spacing w:after="60"/>
      </w:pPr>
      <w:r>
        <w:rPr>
          <w:color w:val="1A2B2E"/>
          <w:sz w:val="21"/>
          <w:szCs w:val="21"/>
        </w:rPr>
        <w:t xml:space="preserve">Warranty does not cover:</w:t>
      </w:r>
    </w:p>
    <w:p>
      <w:pPr>
        <w:pStyle w:val="ListParagraph"/>
        <w:numPr>
          <w:ilvl w:val="0"/>
          <w:numId w:val="2"/>
        </w:numPr>
        <w:spacing w:after="60" w:line="280"/>
      </w:pPr>
      <w:r>
        <w:rPr>
          <w:color w:val="1A2B2E"/>
          <w:sz w:val="21"/>
          <w:szCs w:val="21"/>
        </w:rPr>
        <w:t xml:space="preserve">Physical damage</w:t>
      </w:r>
    </w:p>
    <w:p>
      <w:pPr>
        <w:pStyle w:val="ListParagraph"/>
        <w:numPr>
          <w:ilvl w:val="0"/>
          <w:numId w:val="2"/>
        </w:numPr>
        <w:spacing w:after="60" w:line="280"/>
      </w:pPr>
      <w:r>
        <w:rPr>
          <w:color w:val="1A2B2E"/>
          <w:sz w:val="21"/>
          <w:szCs w:val="21"/>
        </w:rPr>
        <w:t xml:space="preserve">Mishandling</w:t>
      </w:r>
    </w:p>
    <w:p>
      <w:pPr>
        <w:pStyle w:val="ListParagraph"/>
        <w:numPr>
          <w:ilvl w:val="0"/>
          <w:numId w:val="2"/>
        </w:numPr>
        <w:spacing w:after="60" w:line="280"/>
      </w:pPr>
      <w:r>
        <w:rPr>
          <w:color w:val="1A2B2E"/>
          <w:sz w:val="21"/>
          <w:szCs w:val="21"/>
        </w:rPr>
        <w:t xml:space="preserve">Unauthorized repairs</w:t>
      </w:r>
    </w:p>
    <w:p>
      <w:pPr>
        <w:pStyle w:val="ListParagraph"/>
        <w:numPr>
          <w:ilvl w:val="0"/>
          <w:numId w:val="2"/>
        </w:numPr>
        <w:spacing w:after="60" w:line="280"/>
      </w:pPr>
      <w:r>
        <w:rPr>
          <w:color w:val="1A2B2E"/>
          <w:sz w:val="21"/>
          <w:szCs w:val="21"/>
        </w:rPr>
        <w:t xml:space="preserve">Improper installation by third parties</w:t>
      </w:r>
    </w:p>
    <w:p>
      <w:pPr>
        <w:pStyle w:val="ListParagraph"/>
        <w:numPr>
          <w:ilvl w:val="0"/>
          <w:numId w:val="2"/>
        </w:numPr>
        <w:spacing w:after="60" w:line="280"/>
      </w:pPr>
      <w:r>
        <w:rPr>
          <w:color w:val="1A2B2E"/>
          <w:sz w:val="21"/>
          <w:szCs w:val="21"/>
        </w:rPr>
        <w:t xml:space="preserve">Voltage fluctuations</w:t>
      </w:r>
    </w:p>
    <w:p>
      <w:pPr>
        <w:pStyle w:val="ListParagraph"/>
        <w:numPr>
          <w:ilvl w:val="0"/>
          <w:numId w:val="2"/>
        </w:numPr>
        <w:spacing w:after="60" w:line="280"/>
      </w:pPr>
      <w:r>
        <w:rPr>
          <w:color w:val="1A2B2E"/>
          <w:sz w:val="21"/>
          <w:szCs w:val="21"/>
        </w:rPr>
        <w:t xml:space="preserve">Fire, flood, or natural disasters</w:t>
      </w:r>
    </w:p>
    <w:p>
      <w:pPr>
        <w:pStyle w:val="ListParagraph"/>
        <w:numPr>
          <w:ilvl w:val="0"/>
          <w:numId w:val="2"/>
        </w:numPr>
        <w:spacing w:after="60" w:line="280"/>
      </w:pPr>
      <w:r>
        <w:rPr>
          <w:color w:val="1A2B2E"/>
          <w:sz w:val="21"/>
          <w:szCs w:val="21"/>
        </w:rPr>
        <w:t xml:space="preserve">Normal wear and tear</w:t>
      </w:r>
    </w:p>
    <w:p>
      <w:pPr>
        <w:pStyle w:val="ListParagraph"/>
        <w:numPr>
          <w:ilvl w:val="0"/>
          <w:numId w:val="2"/>
        </w:numPr>
        <w:spacing w:after="60" w:line="280"/>
      </w:pPr>
      <w:r>
        <w:rPr>
          <w:color w:val="1A2B2E"/>
          <w:sz w:val="21"/>
          <w:szCs w:val="21"/>
        </w:rPr>
        <w:t xml:space="preserve">Consumable items</w:t>
      </w:r>
    </w:p>
    <w:p>
      <w:pPr>
        <w:spacing w:after="140" w:line="300"/>
      </w:pPr>
      <w:r>
        <w:rPr>
          <w:color w:val="1A2B2E"/>
          <w:sz w:val="21"/>
          <w:szCs w:val="21"/>
        </w:rPr>
        <w:t xml:space="preserve">Repairs outside warranty shall be chargeable.</w:t>
      </w:r>
    </w:p>
    <w:p>
      <w:pPr>
        <w:pStyle w:val="Heading1"/>
        <w:pBdr>
          <w:bottom w:val="single" w:color="1179A8" w:sz="6" w:space="4"/>
        </w:pBdr>
        <w:spacing w:after="120" w:before="260"/>
      </w:pPr>
      <w:r>
        <w:rPr>
          <w:b/>
          <w:bCs/>
          <w:color w:val="0B4F6C"/>
          <w:sz w:val="26"/>
          <w:szCs w:val="26"/>
        </w:rPr>
        <w:t xml:space="preserve">9. </w:t>
      </w:r>
      <w:r>
        <w:rPr>
          <w:b/>
          <w:bCs/>
          <w:color w:val="0B4F6C"/>
          <w:sz w:val="26"/>
          <w:szCs w:val="26"/>
        </w:rPr>
        <w:t xml:space="preserve">Preventive Maintenance and Service</w:t>
      </w:r>
    </w:p>
    <w:p>
      <w:pPr>
        <w:spacing w:after="60"/>
      </w:pPr>
      <w:r>
        <w:rPr>
          <w:color w:val="1A2B2E"/>
          <w:sz w:val="21"/>
          <w:szCs w:val="21"/>
        </w:rPr>
        <w:t xml:space="preserve">Service support may be provided under:</w:t>
      </w:r>
    </w:p>
    <w:p>
      <w:pPr>
        <w:pStyle w:val="ListParagraph"/>
        <w:numPr>
          <w:ilvl w:val="0"/>
          <w:numId w:val="2"/>
        </w:numPr>
        <w:spacing w:after="60" w:line="280"/>
      </w:pPr>
      <w:r>
        <w:rPr>
          <w:color w:val="1A2B2E"/>
          <w:sz w:val="21"/>
          <w:szCs w:val="21"/>
        </w:rPr>
        <w:t xml:space="preserve">Warranty</w:t>
      </w:r>
    </w:p>
    <w:p>
      <w:pPr>
        <w:pStyle w:val="ListParagraph"/>
        <w:numPr>
          <w:ilvl w:val="0"/>
          <w:numId w:val="2"/>
        </w:numPr>
        <w:spacing w:after="60" w:line="280"/>
      </w:pPr>
      <w:r>
        <w:rPr>
          <w:color w:val="1A2B2E"/>
          <w:sz w:val="21"/>
          <w:szCs w:val="21"/>
        </w:rPr>
        <w:t xml:space="preserve">Annual Maintenance Contract (AMC)</w:t>
      </w:r>
    </w:p>
    <w:p>
      <w:pPr>
        <w:pStyle w:val="ListParagraph"/>
        <w:numPr>
          <w:ilvl w:val="0"/>
          <w:numId w:val="2"/>
        </w:numPr>
        <w:spacing w:after="60" w:line="280"/>
      </w:pPr>
      <w:r>
        <w:rPr>
          <w:color w:val="1A2B2E"/>
          <w:sz w:val="21"/>
          <w:szCs w:val="21"/>
        </w:rPr>
        <w:t xml:space="preserve">Comprehensive Maintenance Contract (CMC)</w:t>
      </w:r>
    </w:p>
    <w:p>
      <w:pPr>
        <w:pStyle w:val="ListParagraph"/>
        <w:numPr>
          <w:ilvl w:val="0"/>
          <w:numId w:val="2"/>
        </w:numPr>
        <w:spacing w:after="60" w:line="280"/>
      </w:pPr>
      <w:r>
        <w:rPr>
          <w:color w:val="1A2B2E"/>
          <w:sz w:val="21"/>
          <w:szCs w:val="21"/>
        </w:rPr>
        <w:t xml:space="preserve">Chargeable service visits</w:t>
      </w:r>
    </w:p>
    <w:p>
      <w:pPr>
        <w:spacing w:after="140" w:line="300"/>
      </w:pPr>
      <w:r>
        <w:rPr>
          <w:color w:val="1A2B2E"/>
          <w:sz w:val="21"/>
          <w:szCs w:val="21"/>
        </w:rPr>
        <w:t xml:space="preserve">Response times may vary depending upon customer location, spare part availability, and working days.</w:t>
      </w:r>
    </w:p>
    <w:p>
      <w:pPr>
        <w:pStyle w:val="Heading1"/>
        <w:pBdr>
          <w:bottom w:val="single" w:color="1179A8" w:sz="6" w:space="4"/>
        </w:pBdr>
        <w:spacing w:after="120" w:before="260"/>
      </w:pPr>
      <w:r>
        <w:rPr>
          <w:b/>
          <w:bCs/>
          <w:color w:val="0B4F6C"/>
          <w:sz w:val="26"/>
          <w:szCs w:val="26"/>
        </w:rPr>
        <w:t xml:space="preserve">10. </w:t>
      </w:r>
      <w:r>
        <w:rPr>
          <w:b/>
          <w:bCs/>
          <w:color w:val="0B4F6C"/>
          <w:sz w:val="26"/>
          <w:szCs w:val="26"/>
        </w:rPr>
        <w:t xml:space="preserve">Medical Disclaimer</w:t>
      </w:r>
    </w:p>
    <w:p>
      <w:pPr>
        <w:spacing w:after="140" w:line="300"/>
      </w:pPr>
      <w:r>
        <w:rPr>
          <w:color w:val="1A2B2E"/>
          <w:sz w:val="21"/>
          <w:szCs w:val="21"/>
        </w:rPr>
        <w:t xml:space="preserve">The information available on this website is intended solely for general informational purposes.</w:t>
      </w:r>
    </w:p>
    <w:p>
      <w:pPr>
        <w:spacing w:after="60"/>
      </w:pPr>
      <w:r>
        <w:rPr>
          <w:color w:val="1A2B2E"/>
          <w:sz w:val="21"/>
          <w:szCs w:val="21"/>
        </w:rPr>
        <w:t xml:space="preserve">Nothing on this website shall be construed as:</w:t>
      </w:r>
    </w:p>
    <w:p>
      <w:pPr>
        <w:pStyle w:val="ListParagraph"/>
        <w:numPr>
          <w:ilvl w:val="0"/>
          <w:numId w:val="2"/>
        </w:numPr>
        <w:spacing w:after="60" w:line="280"/>
      </w:pPr>
      <w:r>
        <w:rPr>
          <w:color w:val="1A2B2E"/>
          <w:sz w:val="21"/>
          <w:szCs w:val="21"/>
        </w:rPr>
        <w:t xml:space="preserve">Medical advice</w:t>
      </w:r>
    </w:p>
    <w:p>
      <w:pPr>
        <w:pStyle w:val="ListParagraph"/>
        <w:numPr>
          <w:ilvl w:val="0"/>
          <w:numId w:val="2"/>
        </w:numPr>
        <w:spacing w:after="60" w:line="280"/>
      </w:pPr>
      <w:r>
        <w:rPr>
          <w:color w:val="1A2B2E"/>
          <w:sz w:val="21"/>
          <w:szCs w:val="21"/>
        </w:rPr>
        <w:t xml:space="preserve">Clinical diagnosis</w:t>
      </w:r>
    </w:p>
    <w:p>
      <w:pPr>
        <w:pStyle w:val="ListParagraph"/>
        <w:numPr>
          <w:ilvl w:val="0"/>
          <w:numId w:val="2"/>
        </w:numPr>
        <w:spacing w:after="60" w:line="280"/>
      </w:pPr>
      <w:r>
        <w:rPr>
          <w:color w:val="1A2B2E"/>
          <w:sz w:val="21"/>
          <w:szCs w:val="21"/>
        </w:rPr>
        <w:t xml:space="preserve">Treatment recommendation</w:t>
      </w:r>
    </w:p>
    <w:p>
      <w:pPr>
        <w:pStyle w:val="ListParagraph"/>
        <w:numPr>
          <w:ilvl w:val="0"/>
          <w:numId w:val="2"/>
        </w:numPr>
        <w:spacing w:after="60" w:line="280"/>
      </w:pPr>
      <w:r>
        <w:rPr>
          <w:color w:val="1A2B2E"/>
          <w:sz w:val="21"/>
          <w:szCs w:val="21"/>
        </w:rPr>
        <w:t xml:space="preserve">Prescription</w:t>
      </w:r>
    </w:p>
    <w:p>
      <w:pPr>
        <w:spacing w:after="140" w:line="300"/>
      </w:pPr>
      <w:r>
        <w:rPr>
          <w:color w:val="1A2B2E"/>
          <w:sz w:val="21"/>
          <w:szCs w:val="21"/>
        </w:rPr>
        <w:t xml:space="preserve">Users should always consult qualified healthcare professionals before making medical decisions.</w:t>
      </w:r>
    </w:p>
    <w:p>
      <w:pPr>
        <w:pStyle w:val="Heading1"/>
        <w:pBdr>
          <w:bottom w:val="single" w:color="1179A8" w:sz="6" w:space="4"/>
        </w:pBdr>
        <w:spacing w:after="120" w:before="260"/>
      </w:pPr>
      <w:r>
        <w:rPr>
          <w:b/>
          <w:bCs/>
          <w:color w:val="0B4F6C"/>
          <w:sz w:val="26"/>
          <w:szCs w:val="26"/>
        </w:rPr>
        <w:t xml:space="preserve">11. </w:t>
      </w:r>
      <w:r>
        <w:rPr>
          <w:b/>
          <w:bCs/>
          <w:color w:val="0B4F6C"/>
          <w:sz w:val="26"/>
          <w:szCs w:val="26"/>
        </w:rPr>
        <w:t xml:space="preserve">Intellectual Property</w:t>
      </w:r>
    </w:p>
    <w:p>
      <w:pPr>
        <w:spacing w:after="60"/>
      </w:pPr>
      <w:r>
        <w:rPr>
          <w:color w:val="1A2B2E"/>
          <w:sz w:val="21"/>
          <w:szCs w:val="21"/>
        </w:rPr>
        <w:t xml:space="preserve">All website content including:</w:t>
      </w:r>
    </w:p>
    <w:p>
      <w:pPr>
        <w:pStyle w:val="ListParagraph"/>
        <w:numPr>
          <w:ilvl w:val="0"/>
          <w:numId w:val="2"/>
        </w:numPr>
        <w:spacing w:after="60" w:line="280"/>
      </w:pPr>
      <w:r>
        <w:rPr>
          <w:color w:val="1A2B2E"/>
          <w:sz w:val="21"/>
          <w:szCs w:val="21"/>
        </w:rPr>
        <w:t xml:space="preserve">Logos</w:t>
      </w:r>
    </w:p>
    <w:p>
      <w:pPr>
        <w:pStyle w:val="ListParagraph"/>
        <w:numPr>
          <w:ilvl w:val="0"/>
          <w:numId w:val="2"/>
        </w:numPr>
        <w:spacing w:after="60" w:line="280"/>
      </w:pPr>
      <w:r>
        <w:rPr>
          <w:color w:val="1A2B2E"/>
          <w:sz w:val="21"/>
          <w:szCs w:val="21"/>
        </w:rPr>
        <w:t xml:space="preserve">Trademarks</w:t>
      </w:r>
    </w:p>
    <w:p>
      <w:pPr>
        <w:pStyle w:val="ListParagraph"/>
        <w:numPr>
          <w:ilvl w:val="0"/>
          <w:numId w:val="2"/>
        </w:numPr>
        <w:spacing w:after="60" w:line="280"/>
      </w:pPr>
      <w:r>
        <w:rPr>
          <w:color w:val="1A2B2E"/>
          <w:sz w:val="21"/>
          <w:szCs w:val="21"/>
        </w:rPr>
        <w:t xml:space="preserve">Product images</w:t>
      </w:r>
    </w:p>
    <w:p>
      <w:pPr>
        <w:pStyle w:val="ListParagraph"/>
        <w:numPr>
          <w:ilvl w:val="0"/>
          <w:numId w:val="2"/>
        </w:numPr>
        <w:spacing w:after="60" w:line="280"/>
      </w:pPr>
      <w:r>
        <w:rPr>
          <w:color w:val="1A2B2E"/>
          <w:sz w:val="21"/>
          <w:szCs w:val="21"/>
        </w:rPr>
        <w:t xml:space="preserve">Brochures</w:t>
      </w:r>
    </w:p>
    <w:p>
      <w:pPr>
        <w:pStyle w:val="ListParagraph"/>
        <w:numPr>
          <w:ilvl w:val="0"/>
          <w:numId w:val="2"/>
        </w:numPr>
        <w:spacing w:after="60" w:line="280"/>
      </w:pPr>
      <w:r>
        <w:rPr>
          <w:color w:val="1A2B2E"/>
          <w:sz w:val="21"/>
          <w:szCs w:val="21"/>
        </w:rPr>
        <w:t xml:space="preserve">Catalogues</w:t>
      </w:r>
    </w:p>
    <w:p>
      <w:pPr>
        <w:pStyle w:val="ListParagraph"/>
        <w:numPr>
          <w:ilvl w:val="0"/>
          <w:numId w:val="2"/>
        </w:numPr>
        <w:spacing w:after="60" w:line="280"/>
      </w:pPr>
      <w:r>
        <w:rPr>
          <w:color w:val="1A2B2E"/>
          <w:sz w:val="21"/>
          <w:szCs w:val="21"/>
        </w:rPr>
        <w:t xml:space="preserve">Text</w:t>
      </w:r>
    </w:p>
    <w:p>
      <w:pPr>
        <w:pStyle w:val="ListParagraph"/>
        <w:numPr>
          <w:ilvl w:val="0"/>
          <w:numId w:val="2"/>
        </w:numPr>
        <w:spacing w:after="60" w:line="280"/>
      </w:pPr>
      <w:r>
        <w:rPr>
          <w:color w:val="1A2B2E"/>
          <w:sz w:val="21"/>
          <w:szCs w:val="21"/>
        </w:rPr>
        <w:t xml:space="preserve">Graphics</w:t>
      </w:r>
    </w:p>
    <w:p>
      <w:pPr>
        <w:pStyle w:val="ListParagraph"/>
        <w:numPr>
          <w:ilvl w:val="0"/>
          <w:numId w:val="2"/>
        </w:numPr>
        <w:spacing w:after="60" w:line="280"/>
      </w:pPr>
      <w:r>
        <w:rPr>
          <w:color w:val="1A2B2E"/>
          <w:sz w:val="21"/>
          <w:szCs w:val="21"/>
        </w:rPr>
        <w:t xml:space="preserve">Documents</w:t>
      </w:r>
    </w:p>
    <w:p>
      <w:pPr>
        <w:pStyle w:val="ListParagraph"/>
        <w:numPr>
          <w:ilvl w:val="0"/>
          <w:numId w:val="2"/>
        </w:numPr>
        <w:spacing w:after="60" w:line="280"/>
      </w:pPr>
      <w:r>
        <w:rPr>
          <w:color w:val="1A2B2E"/>
          <w:sz w:val="21"/>
          <w:szCs w:val="21"/>
        </w:rPr>
        <w:t xml:space="preserve">Videos</w:t>
      </w:r>
    </w:p>
    <w:p>
      <w:pPr>
        <w:spacing w:after="140" w:line="300"/>
      </w:pPr>
      <w:r>
        <w:rPr>
          <w:color w:val="1A2B2E"/>
          <w:sz w:val="21"/>
          <w:szCs w:val="21"/>
        </w:rPr>
        <w:t xml:space="preserve">are the exclusive property of Poiya Healthcare India Pvt. Ltd. or their respective owners.</w:t>
      </w:r>
    </w:p>
    <w:p>
      <w:pPr>
        <w:spacing w:after="140" w:line="300"/>
      </w:pPr>
      <w:r>
        <w:rPr>
          <w:color w:val="1A2B2E"/>
          <w:sz w:val="21"/>
          <w:szCs w:val="21"/>
        </w:rPr>
        <w:t xml:space="preserve">No material may be copied, reproduced, modified, distributed, or published without prior written permission.</w:t>
      </w:r>
    </w:p>
    <w:p>
      <w:pPr>
        <w:pStyle w:val="Heading1"/>
        <w:pBdr>
          <w:bottom w:val="single" w:color="1179A8" w:sz="6" w:space="4"/>
        </w:pBdr>
        <w:spacing w:after="120" w:before="260"/>
      </w:pPr>
      <w:r>
        <w:rPr>
          <w:b/>
          <w:bCs/>
          <w:color w:val="0B4F6C"/>
          <w:sz w:val="26"/>
          <w:szCs w:val="26"/>
        </w:rPr>
        <w:t xml:space="preserve">12. </w:t>
      </w:r>
      <w:r>
        <w:rPr>
          <w:b/>
          <w:bCs/>
          <w:color w:val="0B4F6C"/>
          <w:sz w:val="26"/>
          <w:szCs w:val="26"/>
        </w:rPr>
        <w:t xml:space="preserve">Website Usage</w:t>
      </w:r>
    </w:p>
    <w:p>
      <w:pPr>
        <w:spacing w:after="60"/>
      </w:pPr>
      <w:r>
        <w:rPr>
          <w:color w:val="1A2B2E"/>
          <w:sz w:val="21"/>
          <w:szCs w:val="21"/>
        </w:rPr>
        <w:t xml:space="preserve">Users agree not to:</w:t>
      </w:r>
    </w:p>
    <w:p>
      <w:pPr>
        <w:pStyle w:val="ListParagraph"/>
        <w:numPr>
          <w:ilvl w:val="0"/>
          <w:numId w:val="2"/>
        </w:numPr>
        <w:spacing w:after="60" w:line="280"/>
      </w:pPr>
      <w:r>
        <w:rPr>
          <w:color w:val="1A2B2E"/>
          <w:sz w:val="21"/>
          <w:szCs w:val="21"/>
        </w:rPr>
        <w:t xml:space="preserve">Upload malicious software.</w:t>
      </w:r>
    </w:p>
    <w:p>
      <w:pPr>
        <w:pStyle w:val="ListParagraph"/>
        <w:numPr>
          <w:ilvl w:val="0"/>
          <w:numId w:val="2"/>
        </w:numPr>
        <w:spacing w:after="60" w:line="280"/>
      </w:pPr>
      <w:r>
        <w:rPr>
          <w:color w:val="1A2B2E"/>
          <w:sz w:val="21"/>
          <w:szCs w:val="21"/>
        </w:rPr>
        <w:t xml:space="preserve">Attempt unauthorized access.</w:t>
      </w:r>
    </w:p>
    <w:p>
      <w:pPr>
        <w:pStyle w:val="ListParagraph"/>
        <w:numPr>
          <w:ilvl w:val="0"/>
          <w:numId w:val="2"/>
        </w:numPr>
        <w:spacing w:after="60" w:line="280"/>
      </w:pPr>
      <w:r>
        <w:rPr>
          <w:color w:val="1A2B2E"/>
          <w:sz w:val="21"/>
          <w:szCs w:val="21"/>
        </w:rPr>
        <w:t xml:space="preserve">Interfere with website operations.</w:t>
      </w:r>
    </w:p>
    <w:p>
      <w:pPr>
        <w:pStyle w:val="ListParagraph"/>
        <w:numPr>
          <w:ilvl w:val="0"/>
          <w:numId w:val="2"/>
        </w:numPr>
        <w:spacing w:after="60" w:line="280"/>
      </w:pPr>
      <w:r>
        <w:rPr>
          <w:color w:val="1A2B2E"/>
          <w:sz w:val="21"/>
          <w:szCs w:val="21"/>
        </w:rPr>
        <w:t xml:space="preserve">Copy or misuse website content.</w:t>
      </w:r>
    </w:p>
    <w:p>
      <w:pPr>
        <w:pStyle w:val="ListParagraph"/>
        <w:numPr>
          <w:ilvl w:val="0"/>
          <w:numId w:val="2"/>
        </w:numPr>
        <w:spacing w:after="60" w:line="280"/>
      </w:pPr>
      <w:r>
        <w:rPr>
          <w:color w:val="1A2B2E"/>
          <w:sz w:val="21"/>
          <w:szCs w:val="21"/>
        </w:rPr>
        <w:t xml:space="preserve">Use the website for unlawful purposes.</w:t>
      </w:r>
    </w:p>
    <w:p>
      <w:pPr>
        <w:spacing w:after="140" w:line="300"/>
      </w:pPr>
      <w:r>
        <w:rPr>
          <w:color w:val="1A2B2E"/>
          <w:sz w:val="21"/>
          <w:szCs w:val="21"/>
        </w:rPr>
        <w:t xml:space="preserve">Violation may result in legal action.</w:t>
      </w:r>
    </w:p>
    <w:p>
      <w:pPr>
        <w:pStyle w:val="Heading1"/>
        <w:pBdr>
          <w:bottom w:val="single" w:color="1179A8" w:sz="6" w:space="4"/>
        </w:pBdr>
        <w:spacing w:after="120" w:before="260"/>
      </w:pPr>
      <w:r>
        <w:rPr>
          <w:b/>
          <w:bCs/>
          <w:color w:val="0B4F6C"/>
          <w:sz w:val="26"/>
          <w:szCs w:val="26"/>
        </w:rPr>
        <w:t xml:space="preserve">13. </w:t>
      </w:r>
      <w:r>
        <w:rPr>
          <w:b/>
          <w:bCs/>
          <w:color w:val="0B4F6C"/>
          <w:sz w:val="26"/>
          <w:szCs w:val="26"/>
        </w:rPr>
        <w:t xml:space="preserve">Third-Party Products</w:t>
      </w:r>
    </w:p>
    <w:p>
      <w:pPr>
        <w:spacing w:after="140" w:line="300"/>
      </w:pPr>
      <w:r>
        <w:rPr>
          <w:color w:val="1A2B2E"/>
          <w:sz w:val="21"/>
          <w:szCs w:val="21"/>
        </w:rPr>
        <w:t xml:space="preserve">Some products displayed may belong to third-party manufacturers.</w:t>
      </w:r>
    </w:p>
    <w:p>
      <w:pPr>
        <w:spacing w:after="140" w:line="300"/>
      </w:pPr>
      <w:r>
        <w:rPr>
          <w:color w:val="1A2B2E"/>
          <w:sz w:val="21"/>
          <w:szCs w:val="21"/>
        </w:rPr>
        <w:t xml:space="preserve">All trademarks, product names, and brand names remain the property of their respective owners.</w:t>
      </w:r>
    </w:p>
    <w:p>
      <w:pPr>
        <w:pStyle w:val="Heading1"/>
        <w:pBdr>
          <w:bottom w:val="single" w:color="1179A8" w:sz="6" w:space="4"/>
        </w:pBdr>
        <w:spacing w:after="120" w:before="260"/>
      </w:pPr>
      <w:r>
        <w:rPr>
          <w:b/>
          <w:bCs/>
          <w:color w:val="0B4F6C"/>
          <w:sz w:val="26"/>
          <w:szCs w:val="26"/>
        </w:rPr>
        <w:t xml:space="preserve">14. </w:t>
      </w:r>
      <w:r>
        <w:rPr>
          <w:b/>
          <w:bCs/>
          <w:color w:val="0B4F6C"/>
          <w:sz w:val="26"/>
          <w:szCs w:val="26"/>
        </w:rPr>
        <w:t xml:space="preserve">Limitation of Liability</w:t>
      </w:r>
    </w:p>
    <w:p>
      <w:pPr>
        <w:spacing w:after="60"/>
      </w:pPr>
      <w:r>
        <w:rPr>
          <w:color w:val="1A2B2E"/>
          <w:sz w:val="21"/>
          <w:szCs w:val="21"/>
        </w:rPr>
        <w:t xml:space="preserve">Poiya Healthcare India Pvt. Ltd. shall not be liable for:</w:t>
      </w:r>
    </w:p>
    <w:p>
      <w:pPr>
        <w:pStyle w:val="ListParagraph"/>
        <w:numPr>
          <w:ilvl w:val="0"/>
          <w:numId w:val="2"/>
        </w:numPr>
        <w:spacing w:after="60" w:line="280"/>
      </w:pPr>
      <w:r>
        <w:rPr>
          <w:color w:val="1A2B2E"/>
          <w:sz w:val="21"/>
          <w:szCs w:val="21"/>
        </w:rPr>
        <w:t xml:space="preserve">Indirect damages</w:t>
      </w:r>
    </w:p>
    <w:p>
      <w:pPr>
        <w:pStyle w:val="ListParagraph"/>
        <w:numPr>
          <w:ilvl w:val="0"/>
          <w:numId w:val="2"/>
        </w:numPr>
        <w:spacing w:after="60" w:line="280"/>
      </w:pPr>
      <w:r>
        <w:rPr>
          <w:color w:val="1A2B2E"/>
          <w:sz w:val="21"/>
          <w:szCs w:val="21"/>
        </w:rPr>
        <w:t xml:space="preserve">Consequential losses</w:t>
      </w:r>
    </w:p>
    <w:p>
      <w:pPr>
        <w:pStyle w:val="ListParagraph"/>
        <w:numPr>
          <w:ilvl w:val="0"/>
          <w:numId w:val="2"/>
        </w:numPr>
        <w:spacing w:after="60" w:line="280"/>
      </w:pPr>
      <w:r>
        <w:rPr>
          <w:color w:val="1A2B2E"/>
          <w:sz w:val="21"/>
          <w:szCs w:val="21"/>
        </w:rPr>
        <w:t xml:space="preserve">Loss of profits</w:t>
      </w:r>
    </w:p>
    <w:p>
      <w:pPr>
        <w:pStyle w:val="ListParagraph"/>
        <w:numPr>
          <w:ilvl w:val="0"/>
          <w:numId w:val="2"/>
        </w:numPr>
        <w:spacing w:after="60" w:line="280"/>
      </w:pPr>
      <w:r>
        <w:rPr>
          <w:color w:val="1A2B2E"/>
          <w:sz w:val="21"/>
          <w:szCs w:val="21"/>
        </w:rPr>
        <w:t xml:space="preserve">Business interruption</w:t>
      </w:r>
    </w:p>
    <w:p>
      <w:pPr>
        <w:pStyle w:val="ListParagraph"/>
        <w:numPr>
          <w:ilvl w:val="0"/>
          <w:numId w:val="2"/>
        </w:numPr>
        <w:spacing w:after="60" w:line="280"/>
      </w:pPr>
      <w:r>
        <w:rPr>
          <w:color w:val="1A2B2E"/>
          <w:sz w:val="21"/>
          <w:szCs w:val="21"/>
        </w:rPr>
        <w:t xml:space="preserve">Data loss</w:t>
      </w:r>
    </w:p>
    <w:p>
      <w:pPr>
        <w:pStyle w:val="ListParagraph"/>
        <w:numPr>
          <w:ilvl w:val="0"/>
          <w:numId w:val="2"/>
        </w:numPr>
        <w:spacing w:after="60" w:line="280"/>
      </w:pPr>
      <w:r>
        <w:rPr>
          <w:color w:val="1A2B2E"/>
          <w:sz w:val="21"/>
          <w:szCs w:val="21"/>
        </w:rPr>
        <w:t xml:space="preserve">Delays caused by manufacturers, transporters, or external agencies</w:t>
      </w:r>
    </w:p>
    <w:p>
      <w:pPr>
        <w:spacing w:after="140" w:line="300"/>
      </w:pPr>
      <w:r>
        <w:rPr>
          <w:color w:val="1A2B2E"/>
          <w:sz w:val="21"/>
          <w:szCs w:val="21"/>
        </w:rPr>
        <w:t xml:space="preserve">Our maximum liability shall not exceed the value of the concerned product or service purchased from us.</w:t>
      </w:r>
    </w:p>
    <w:p>
      <w:pPr>
        <w:pStyle w:val="Heading1"/>
        <w:pBdr>
          <w:bottom w:val="single" w:color="1179A8" w:sz="6" w:space="4"/>
        </w:pBdr>
        <w:spacing w:after="120" w:before="260"/>
      </w:pPr>
      <w:r>
        <w:rPr>
          <w:b/>
          <w:bCs/>
          <w:color w:val="0B4F6C"/>
          <w:sz w:val="26"/>
          <w:szCs w:val="26"/>
        </w:rPr>
        <w:t xml:space="preserve">15. </w:t>
      </w:r>
      <w:r>
        <w:rPr>
          <w:b/>
          <w:bCs/>
          <w:color w:val="0B4F6C"/>
          <w:sz w:val="26"/>
          <w:szCs w:val="26"/>
        </w:rPr>
        <w:t xml:space="preserve">Accuracy of Information</w:t>
      </w:r>
    </w:p>
    <w:p>
      <w:pPr>
        <w:spacing w:after="140" w:line="300"/>
      </w:pPr>
      <w:r>
        <w:rPr>
          <w:color w:val="1A2B2E"/>
          <w:sz w:val="21"/>
          <w:szCs w:val="21"/>
        </w:rPr>
        <w:t xml:space="preserve">While every effort is made to ensure accuracy, the Company does not guarantee that all information on the website is complete, current, or error-free.</w:t>
      </w:r>
    </w:p>
    <w:p>
      <w:pPr>
        <w:spacing w:after="140" w:line="300"/>
      </w:pPr>
      <w:r>
        <w:rPr>
          <w:color w:val="1A2B2E"/>
          <w:sz w:val="21"/>
          <w:szCs w:val="21"/>
        </w:rPr>
        <w:t xml:space="preserve">Product specifications may change without notice.</w:t>
      </w:r>
    </w:p>
    <w:p>
      <w:pPr>
        <w:pStyle w:val="Heading1"/>
        <w:pBdr>
          <w:bottom w:val="single" w:color="1179A8" w:sz="6" w:space="4"/>
        </w:pBdr>
        <w:spacing w:after="120" w:before="260"/>
      </w:pPr>
      <w:r>
        <w:rPr>
          <w:b/>
          <w:bCs/>
          <w:color w:val="0B4F6C"/>
          <w:sz w:val="26"/>
          <w:szCs w:val="26"/>
        </w:rPr>
        <w:t xml:space="preserve">16. </w:t>
      </w:r>
      <w:r>
        <w:rPr>
          <w:b/>
          <w:bCs/>
          <w:color w:val="0B4F6C"/>
          <w:sz w:val="26"/>
          <w:szCs w:val="26"/>
        </w:rPr>
        <w:t xml:space="preserve">Links to Third-Party Websites</w:t>
      </w:r>
    </w:p>
    <w:p>
      <w:pPr>
        <w:spacing w:after="140" w:line="300"/>
      </w:pPr>
      <w:r>
        <w:rPr>
          <w:color w:val="1A2B2E"/>
          <w:sz w:val="21"/>
          <w:szCs w:val="21"/>
        </w:rPr>
        <w:t xml:space="preserve">Our website may contain links to external websites.</w:t>
      </w:r>
    </w:p>
    <w:p>
      <w:pPr>
        <w:spacing w:after="140" w:line="300"/>
      </w:pPr>
      <w:r>
        <w:rPr>
          <w:color w:val="1A2B2E"/>
          <w:sz w:val="21"/>
          <w:szCs w:val="21"/>
        </w:rPr>
        <w:t xml:space="preserve">Poiya Healthcare has no control over such websites and accepts no responsibility for their content, privacy policies, or practices.</w:t>
      </w:r>
    </w:p>
    <w:p>
      <w:pPr>
        <w:pStyle w:val="Heading1"/>
        <w:pBdr>
          <w:bottom w:val="single" w:color="1179A8" w:sz="6" w:space="4"/>
        </w:pBdr>
        <w:spacing w:after="120" w:before="260"/>
      </w:pPr>
      <w:r>
        <w:rPr>
          <w:b/>
          <w:bCs/>
          <w:color w:val="0B4F6C"/>
          <w:sz w:val="26"/>
          <w:szCs w:val="26"/>
        </w:rPr>
        <w:t xml:space="preserve">17. </w:t>
      </w:r>
      <w:r>
        <w:rPr>
          <w:b/>
          <w:bCs/>
          <w:color w:val="0B4F6C"/>
          <w:sz w:val="26"/>
          <w:szCs w:val="26"/>
        </w:rPr>
        <w:t xml:space="preserve">Privacy</w:t>
      </w:r>
    </w:p>
    <w:p>
      <w:pPr>
        <w:spacing w:after="140" w:line="300"/>
      </w:pPr>
      <w:r>
        <w:rPr>
          <w:color w:val="1A2B2E"/>
          <w:sz w:val="21"/>
          <w:szCs w:val="21"/>
        </w:rPr>
        <w:t xml:space="preserve">Use of this website is also governed by our Privacy Policy.</w:t>
      </w:r>
    </w:p>
    <w:p>
      <w:pPr>
        <w:spacing w:after="140" w:line="300"/>
      </w:pPr>
      <w:r>
        <w:rPr>
          <w:color w:val="1A2B2E"/>
          <w:sz w:val="21"/>
          <w:szCs w:val="21"/>
        </w:rPr>
        <w:t xml:space="preserve">By using this website, you consent to the collection and use of information as described in the Privacy Policy.</w:t>
      </w:r>
    </w:p>
    <w:p>
      <w:pPr>
        <w:pStyle w:val="Heading1"/>
        <w:pBdr>
          <w:bottom w:val="single" w:color="1179A8" w:sz="6" w:space="4"/>
        </w:pBdr>
        <w:spacing w:after="120" w:before="260"/>
      </w:pPr>
      <w:r>
        <w:rPr>
          <w:b/>
          <w:bCs/>
          <w:color w:val="0B4F6C"/>
          <w:sz w:val="26"/>
          <w:szCs w:val="26"/>
        </w:rPr>
        <w:t xml:space="preserve">18. </w:t>
      </w:r>
      <w:r>
        <w:rPr>
          <w:b/>
          <w:bCs/>
          <w:color w:val="0B4F6C"/>
          <w:sz w:val="26"/>
          <w:szCs w:val="26"/>
        </w:rPr>
        <w:t xml:space="preserve">Force Majeure</w:t>
      </w:r>
    </w:p>
    <w:p>
      <w:pPr>
        <w:spacing w:after="60"/>
      </w:pPr>
      <w:r>
        <w:rPr>
          <w:color w:val="1A2B2E"/>
          <w:sz w:val="21"/>
          <w:szCs w:val="21"/>
        </w:rPr>
        <w:t xml:space="preserve">The Company shall not be responsible for delays or failure in performance due to events beyond its reasonable control, including but not limited to:</w:t>
      </w:r>
    </w:p>
    <w:p>
      <w:pPr>
        <w:pStyle w:val="ListParagraph"/>
        <w:numPr>
          <w:ilvl w:val="0"/>
          <w:numId w:val="2"/>
        </w:numPr>
        <w:spacing w:after="60" w:line="280"/>
      </w:pPr>
      <w:r>
        <w:rPr>
          <w:color w:val="1A2B2E"/>
          <w:sz w:val="21"/>
          <w:szCs w:val="21"/>
        </w:rPr>
        <w:t xml:space="preserve">Natural disasters</w:t>
      </w:r>
    </w:p>
    <w:p>
      <w:pPr>
        <w:pStyle w:val="ListParagraph"/>
        <w:numPr>
          <w:ilvl w:val="0"/>
          <w:numId w:val="2"/>
        </w:numPr>
        <w:spacing w:after="60" w:line="280"/>
      </w:pPr>
      <w:r>
        <w:rPr>
          <w:color w:val="1A2B2E"/>
          <w:sz w:val="21"/>
          <w:szCs w:val="21"/>
        </w:rPr>
        <w:t xml:space="preserve">Pandemic</w:t>
      </w:r>
    </w:p>
    <w:p>
      <w:pPr>
        <w:pStyle w:val="ListParagraph"/>
        <w:numPr>
          <w:ilvl w:val="0"/>
          <w:numId w:val="2"/>
        </w:numPr>
        <w:spacing w:after="60" w:line="280"/>
      </w:pPr>
      <w:r>
        <w:rPr>
          <w:color w:val="1A2B2E"/>
          <w:sz w:val="21"/>
          <w:szCs w:val="21"/>
        </w:rPr>
        <w:t xml:space="preserve">Government restrictions</w:t>
      </w:r>
    </w:p>
    <w:p>
      <w:pPr>
        <w:pStyle w:val="ListParagraph"/>
        <w:numPr>
          <w:ilvl w:val="0"/>
          <w:numId w:val="2"/>
        </w:numPr>
        <w:spacing w:after="60" w:line="280"/>
      </w:pPr>
      <w:r>
        <w:rPr>
          <w:color w:val="1A2B2E"/>
          <w:sz w:val="21"/>
          <w:szCs w:val="21"/>
        </w:rPr>
        <w:t xml:space="preserve">Transportation disruptions</w:t>
      </w:r>
    </w:p>
    <w:p>
      <w:pPr>
        <w:pStyle w:val="ListParagraph"/>
        <w:numPr>
          <w:ilvl w:val="0"/>
          <w:numId w:val="2"/>
        </w:numPr>
        <w:spacing w:after="60" w:line="280"/>
      </w:pPr>
      <w:r>
        <w:rPr>
          <w:color w:val="1A2B2E"/>
          <w:sz w:val="21"/>
          <w:szCs w:val="21"/>
        </w:rPr>
        <w:t xml:space="preserve">War</w:t>
      </w:r>
    </w:p>
    <w:p>
      <w:pPr>
        <w:pStyle w:val="ListParagraph"/>
        <w:numPr>
          <w:ilvl w:val="0"/>
          <w:numId w:val="2"/>
        </w:numPr>
        <w:spacing w:after="60" w:line="280"/>
      </w:pPr>
      <w:r>
        <w:rPr>
          <w:color w:val="1A2B2E"/>
          <w:sz w:val="21"/>
          <w:szCs w:val="21"/>
        </w:rPr>
        <w:t xml:space="preserve">Labour strikes</w:t>
      </w:r>
    </w:p>
    <w:p>
      <w:pPr>
        <w:pStyle w:val="ListParagraph"/>
        <w:numPr>
          <w:ilvl w:val="0"/>
          <w:numId w:val="2"/>
        </w:numPr>
        <w:spacing w:after="60" w:line="280"/>
      </w:pPr>
      <w:r>
        <w:rPr>
          <w:color w:val="1A2B2E"/>
          <w:sz w:val="21"/>
          <w:szCs w:val="21"/>
        </w:rPr>
        <w:t xml:space="preserve">Fire</w:t>
      </w:r>
    </w:p>
    <w:p>
      <w:pPr>
        <w:pStyle w:val="ListParagraph"/>
        <w:numPr>
          <w:ilvl w:val="0"/>
          <w:numId w:val="2"/>
        </w:numPr>
        <w:spacing w:after="60" w:line="280"/>
      </w:pPr>
      <w:r>
        <w:rPr>
          <w:color w:val="1A2B2E"/>
          <w:sz w:val="21"/>
          <w:szCs w:val="21"/>
        </w:rPr>
        <w:t xml:space="preserve">Flood</w:t>
      </w:r>
    </w:p>
    <w:p>
      <w:pPr>
        <w:pStyle w:val="ListParagraph"/>
        <w:numPr>
          <w:ilvl w:val="0"/>
          <w:numId w:val="2"/>
        </w:numPr>
        <w:spacing w:after="60" w:line="280"/>
      </w:pPr>
      <w:r>
        <w:rPr>
          <w:color w:val="1A2B2E"/>
          <w:sz w:val="21"/>
          <w:szCs w:val="21"/>
        </w:rPr>
        <w:t xml:space="preserve">Power failures</w:t>
      </w:r>
    </w:p>
    <w:p>
      <w:pPr>
        <w:pStyle w:val="Heading1"/>
        <w:pBdr>
          <w:bottom w:val="single" w:color="1179A8" w:sz="6" w:space="4"/>
        </w:pBdr>
        <w:spacing w:after="120" w:before="260"/>
      </w:pPr>
      <w:r>
        <w:rPr>
          <w:b/>
          <w:bCs/>
          <w:color w:val="0B4F6C"/>
          <w:sz w:val="26"/>
          <w:szCs w:val="26"/>
        </w:rPr>
        <w:t xml:space="preserve">19. </w:t>
      </w:r>
      <w:r>
        <w:rPr>
          <w:b/>
          <w:bCs/>
          <w:color w:val="0B4F6C"/>
          <w:sz w:val="26"/>
          <w:szCs w:val="26"/>
        </w:rPr>
        <w:t xml:space="preserve">Modification of Terms</w:t>
      </w:r>
    </w:p>
    <w:p>
      <w:pPr>
        <w:spacing w:after="140" w:line="300"/>
      </w:pPr>
      <w:r>
        <w:rPr>
          <w:color w:val="1A2B2E"/>
          <w:sz w:val="21"/>
          <w:szCs w:val="21"/>
        </w:rPr>
        <w:t xml:space="preserve">Poiya Healthcare India Pvt. Ltd. reserves the right to modify these Terms &amp; Conditions at any time without prior notice.</w:t>
      </w:r>
    </w:p>
    <w:p>
      <w:pPr>
        <w:spacing w:after="140" w:line="300"/>
      </w:pPr>
      <w:r>
        <w:rPr>
          <w:color w:val="1A2B2E"/>
          <w:sz w:val="21"/>
          <w:szCs w:val="21"/>
        </w:rPr>
        <w:t xml:space="preserve">Continued use of the website constitutes acceptance of the revised Terms.</w:t>
      </w:r>
    </w:p>
    <w:p>
      <w:pPr>
        <w:pStyle w:val="Heading1"/>
        <w:pBdr>
          <w:bottom w:val="single" w:color="1179A8" w:sz="6" w:space="4"/>
        </w:pBdr>
        <w:spacing w:after="120" w:before="260"/>
      </w:pPr>
      <w:r>
        <w:rPr>
          <w:b/>
          <w:bCs/>
          <w:color w:val="0B4F6C"/>
          <w:sz w:val="26"/>
          <w:szCs w:val="26"/>
        </w:rPr>
        <w:t xml:space="preserve">20. </w:t>
      </w:r>
      <w:r>
        <w:rPr>
          <w:b/>
          <w:bCs/>
          <w:color w:val="0B4F6C"/>
          <w:sz w:val="26"/>
          <w:szCs w:val="26"/>
        </w:rPr>
        <w:t xml:space="preserve">Governing Law</w:t>
      </w:r>
    </w:p>
    <w:p>
      <w:pPr>
        <w:spacing w:after="140" w:line="300"/>
      </w:pPr>
      <w:r>
        <w:rPr>
          <w:color w:val="1A2B2E"/>
          <w:sz w:val="21"/>
          <w:szCs w:val="21"/>
        </w:rPr>
        <w:t xml:space="preserve">These Terms &amp; Conditions shall be governed by the laws of India.</w:t>
      </w:r>
    </w:p>
    <w:p>
      <w:pPr>
        <w:spacing w:after="140" w:line="300"/>
      </w:pPr>
      <w:r>
        <w:rPr>
          <w:color w:val="1A2B2E"/>
          <w:sz w:val="21"/>
          <w:szCs w:val="21"/>
        </w:rPr>
        <w:t xml:space="preserve">Any dispute arising out of or relating to these Terms shall be subject to the exclusive jurisdiction of the competent courts at Jaipur, Rajasthan.</w:t>
      </w:r>
    </w:p>
    <w:p>
      <w:pPr>
        <w:pStyle w:val="Heading1"/>
        <w:pBdr>
          <w:bottom w:val="single" w:color="1179A8" w:sz="6" w:space="4"/>
        </w:pBdr>
        <w:spacing w:after="120" w:before="260"/>
      </w:pPr>
      <w:r>
        <w:rPr>
          <w:b/>
          <w:bCs/>
          <w:color w:val="0B4F6C"/>
          <w:sz w:val="26"/>
          <w:szCs w:val="26"/>
        </w:rPr>
        <w:t xml:space="preserve">21. </w:t>
      </w:r>
      <w:r>
        <w:rPr>
          <w:b/>
          <w:bCs/>
          <w:color w:val="0B4F6C"/>
          <w:sz w:val="26"/>
          <w:szCs w:val="26"/>
        </w:rPr>
        <w:t xml:space="preserve">Contact Us</w:t>
      </w:r>
    </w:p>
    <w:p>
      <w:pPr>
        <w:spacing w:after="140" w:line="300"/>
      </w:pPr>
      <w:r>
        <w:rPr>
          <w:color w:val="1A2B2E"/>
          <w:sz w:val="21"/>
          <w:szCs w:val="21"/>
        </w:rPr>
        <w:t xml:space="preserve">For any questions regarding these Terms &amp; Conditions, please contact:</w:t>
      </w:r>
    </w:p>
    <w:p>
      <w:pPr>
        <w:spacing w:after="140" w:line="300"/>
      </w:pPr>
      <w:r>
        <w:rPr>
          <w:color w:val="1A2B2E"/>
          <w:sz w:val="21"/>
          <w:szCs w:val="21"/>
        </w:rPr>
        <w:t xml:space="preserve">Poiya Healthcare India Pvt. Ltd.</w:t>
      </w:r>
    </w:p>
    <w:p>
      <w:pPr>
        <w:spacing w:after="140" w:line="300"/>
      </w:pPr>
      <w:r>
        <w:rPr>
          <w:color w:val="1A2B2E"/>
          <w:sz w:val="21"/>
          <w:szCs w:val="21"/>
        </w:rPr>
        <w:t xml:space="preserve">301, Trimurti Prime Tower, Jhotwara Industrial Area, Niwaru Road, Jaipur – 302012, Rajasthan, India</w:t>
      </w:r>
    </w:p>
    <w:p>
      <w:pPr>
        <w:spacing w:after="140" w:line="300"/>
      </w:pPr>
      <w:r>
        <w:rPr>
          <w:color w:val="1A2B2E"/>
          <w:sz w:val="21"/>
          <w:szCs w:val="21"/>
        </w:rPr>
        <w:t xml:space="preserve">Phone: +91 9414044499</w:t>
      </w:r>
    </w:p>
    <w:p>
      <w:pPr>
        <w:spacing w:after="140" w:line="300"/>
      </w:pPr>
      <w:r>
        <w:rPr>
          <w:color w:val="1A2B2E"/>
          <w:sz w:val="21"/>
          <w:szCs w:val="21"/>
        </w:rPr>
        <w:t xml:space="preserve">Email: info@poiyahealth.com</w:t>
      </w:r>
    </w:p>
    <w:p>
      <w:pPr>
        <w:spacing w:after="140" w:line="300"/>
      </w:pPr>
      <w:r>
        <w:rPr>
          <w:color w:val="1A2B2E"/>
          <w:sz w:val="21"/>
          <w:szCs w:val="21"/>
        </w:rPr>
        <w:t xml:space="preserve">Website: www.poiyahealth.com</w:t>
      </w:r>
    </w:p>
    <w:sectPr>
      <w:headerReference w:type="default" r:id="rId7"/>
      <w:footerReference w:type="default" r:id="rId8"/>
      <w:pgSz w:w="12240" w:h="15840" w:orient="portrait"/>
      <w:pgMar w:top="13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6" w:space="6"/>
      </w:pBdr>
      <w:tabs>
        <w:tab w:val="right" w:pos="9026"/>
      </w:tabs>
      <w:spacing w:before="60"/>
    </w:pPr>
    <w:r>
      <w:rPr>
        <w:color w:val="1179A8"/>
        <w:sz w:val="16"/>
        <w:szCs w:val="16"/>
      </w:rPr>
      <w:t xml:space="preserve">www.poiyahealth.com  |  info@poiyahealth.com</w:t>
    </w:r>
    <w:r>
      <w:rPr>
        <w:color w:val="1A2B2E"/>
        <w:sz w:val="16"/>
        <w:szCs w:val="16"/>
      </w:rPr>
      <w:t xml:space="preserve">	Page </w:t>
    </w:r>
    <w:r>
      <w:rPr>
        <w:color w:val="1A2B2E"/>
        <w:sz w:val="16"/>
        <w:szCs w:val="16"/>
      </w:rPr>
      <w:fldChar w:fldCharType="begin"/>
      <w:instrText xml:space="preserve">PAGE</w:instrText>
      <w:fldChar w:fldCharType="separate"/>
      <w:fldChar w:fldCharType="end"/>
    </w:r>
    <w:r>
      <w:rPr>
        <w:color w:val="1A2B2E"/>
        <w:sz w:val="16"/>
        <w:szCs w:val="16"/>
      </w:rPr>
      <w:t xml:space="preserve"> of </w:t>
    </w:r>
    <w:r>
      <w:rPr>
        <w:color w:val="1A2B2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8" w:space="6"/>
      </w:pBdr>
      <w:spacing w:after="120"/>
    </w:pPr>
    <w:r>
      <w:drawing>
        <wp:anchor distT="0" distB="0" distL="0" distR="0" simplePos="0" allowOverlap="1" behindDoc="1" locked="0" layoutInCell="1" relativeHeight="3829050">
          <wp:simplePos x="0" y="0"/>
          <wp:positionH relativeFrom="page">
            <wp:align>center</wp:align>
          </wp:positionH>
          <wp:positionV relativeFrom="page">
            <wp:align>center</wp:align>
          </wp:positionV>
          <wp:extent cx="4095750" cy="3829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095750" cy="3829050"/>
                  </a:xfrm>
                  <a:prstGeom prst="rect">
                    <a:avLst/>
                  </a:prstGeom>
                </pic:spPr>
              </pic:pic>
            </a:graphicData>
          </a:graphic>
        </wp:anchor>
      </w:drawing>
    </w:r>
    <w:r>
      <w:drawing>
        <wp:inline distT="0" distB="0" distL="0" distR="0">
          <wp:extent cx="4381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09575"/>
                  </a:xfrm>
                  <a:prstGeom prst="rect">
                    <a:avLst/>
                  </a:prstGeom>
                </pic:spPr>
              </pic:pic>
            </a:graphicData>
          </a:graphic>
        </wp:inline>
      </w:drawing>
    </w:r>
    <w:r>
      <w:rPr>
        <w:b/>
        <w:bCs/>
        <w:color w:val="0B4F6C"/>
        <w:sz w:val="20"/>
        <w:szCs w:val="20"/>
      </w:rPr>
      <w:t xml:space="preserve">   POIYA HEALTHCARE INDIA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rPr>
        <w:color w:val="1179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b2e5e211e1f277f2d4fd475b81f7057fa2f5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bb2e5e211e1f277f2d4fd475b81f7057fa2f5d6.png"/><Relationship Id="rId1" Type="http://schemas.openxmlformats.org/officeDocument/2006/relationships/image" Target="media/ae6a0173ad75cddf4707f8cd1232d50a89f1d46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2026-07-03T09:53:11.899Z</dcterms:created>
  <dcterms:modified xsi:type="dcterms:W3CDTF">2026-07-03T09:53:11.899Z</dcterms:modified>
</cp:coreProperties>
</file>

<file path=docProps/custom.xml><?xml version="1.0" encoding="utf-8"?>
<Properties xmlns="http://schemas.openxmlformats.org/officeDocument/2006/custom-properties" xmlns:vt="http://schemas.openxmlformats.org/officeDocument/2006/docPropsVTypes"/>
</file>