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FR-02 PRINT SPEC – POLICY SCHEDULE</w:t>
      </w:r>
    </w:p>
    <w:p>
      <w:r>
        <w:t>Template Image (Actual values replaced with numeric markers)</w:t>
      </w:r>
    </w:p>
    <w:p>
      <w:r>
        <w:drawing>
          <wp:inline xmlns:a="http://schemas.openxmlformats.org/drawingml/2006/main" xmlns:pic="http://schemas.openxmlformats.org/drawingml/2006/picture">
            <wp:extent cx="5486400" cy="7757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-02_MARKERS_WORK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Field Mapping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Position</w:t>
            </w:r>
          </w:p>
        </w:tc>
        <w:tc>
          <w:tcPr>
            <w:tcW w:type="dxa" w:w="2880"/>
          </w:tcPr>
          <w:p>
            <w:r>
              <w:t>Field Label</w:t>
            </w:r>
          </w:p>
        </w:tc>
        <w:tc>
          <w:tcPr>
            <w:tcW w:type="dxa" w:w="2880"/>
          </w:tcPr>
          <w:p>
            <w:r>
              <w:t>JSON Path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Policy Number</w:t>
            </w:r>
          </w:p>
        </w:tc>
        <w:tc>
          <w:tcPr>
            <w:tcW w:type="dxa" w:w="2880"/>
          </w:tcPr>
          <w:p>
            <w:r>
              <w:t>data.policy.policyNumber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Insured Name</w:t>
            </w:r>
          </w:p>
        </w:tc>
        <w:tc>
          <w:tcPr>
            <w:tcW w:type="dxa" w:w="2880"/>
          </w:tcPr>
          <w:p>
            <w:r>
              <w:t>data.customer.name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Policy Period (From)</w:t>
            </w:r>
          </w:p>
        </w:tc>
        <w:tc>
          <w:tcPr>
            <w:tcW w:type="dxa" w:w="2880"/>
          </w:tcPr>
          <w:p>
            <w:r>
              <w:t>data.policy.startDate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Policy Period (To)</w:t>
            </w:r>
          </w:p>
        </w:tc>
        <w:tc>
          <w:tcPr>
            <w:tcW w:type="dxa" w:w="2880"/>
          </w:tcPr>
          <w:p>
            <w:r>
              <w:t>data.policy.endDate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Premium (Own Damage + TP)</w:t>
            </w:r>
          </w:p>
        </w:tc>
        <w:tc>
          <w:tcPr>
            <w:tcW w:type="dxa" w:w="2880"/>
          </w:tcPr>
          <w:p>
            <w:r>
              <w:t>data.policy.premiumTotal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Insured Declared Value (IDV)</w:t>
            </w:r>
          </w:p>
        </w:tc>
        <w:tc>
          <w:tcPr>
            <w:tcW w:type="dxa" w:w="2880"/>
          </w:tcPr>
          <w:p>
            <w:r>
              <w:t>data.policy.idv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Compulsory Deductible</w:t>
            </w:r>
          </w:p>
        </w:tc>
        <w:tc>
          <w:tcPr>
            <w:tcW w:type="dxa" w:w="2880"/>
          </w:tcPr>
          <w:p>
            <w:r>
              <w:t>data.policy.compulsoryDeductible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