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FR-34 PRINT SPEC – VEHICLE &amp; RIDER DETAILS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Template Image (Actual values replaced with numeric markers)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0" distT="0" distL="114300" distR="114300">
            <wp:extent cx="5486400" cy="775747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74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Field Mapping Table</w:t>
      </w:r>
    </w:p>
    <w:tbl>
      <w:tblPr>
        <w:tblStyle w:val="Table1"/>
        <w:tblW w:w="8640.0" w:type="dxa"/>
        <w:jc w:val="left"/>
        <w:tblInd w:w="-115.0" w:type="dxa"/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Position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Field Label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JSON Path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Vehicle Make &amp; Model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policy.forms[].formInfo.vehicleMakeModel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Registration Number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policy.forms[].formInfo.registrationNumber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Engine Number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policy.forms[].formInfo.engineNumber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Chassis Number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policy.forms[].formInfo..chassisNumber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Seating Capacity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policy.forms[].formInfo..seatingCapacity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Fuel Type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policy.forms[].formInfo.fuelType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Riders / Add-ons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policy.forms[].formInfo.riders</w:t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xzmanmVvo9qFo7G3n90yz05JgA==">CgMxLjA4AHIhMXRWZFBOVzFMbmhPejNrdUNGRDlsb29nTmQtRmFZeGRh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