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before="200" w:line="480" w:lineRule="auto"/>
        <w:rPr>
          <w:sz w:val="24"/>
          <w:szCs w:val="24"/>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60" w:before="0" w:line="480" w:lineRule="auto"/>
        <w:jc w:val="center"/>
        <w:rPr>
          <w:sz w:val="24"/>
          <w:szCs w:val="24"/>
        </w:rPr>
      </w:pPr>
      <w:r w:rsidDel="00000000" w:rsidR="00000000" w:rsidRPr="00000000">
        <w:rPr>
          <w:rFonts w:ascii="Arial" w:cs="Arial" w:eastAsia="Arial" w:hAnsi="Arial"/>
          <w:b w:val="1"/>
          <w:bCs w:val="1"/>
          <w:smallCaps w:val="1"/>
          <w:sz w:val="24"/>
          <w:szCs w:val="24"/>
          <w:rtl w:val="0"/>
        </w:rPr>
        <w:t xml:space="preserve">PORTFOLIO ARTIFACT — EXPLANATORY DOCUMENT</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80" w:before="0" w:line="480" w:lineRule="auto"/>
        <w:jc w:val="center"/>
        <w:rPr>
          <w:sz w:val="24"/>
          <w:szCs w:val="24"/>
        </w:rPr>
      </w:pPr>
      <w:r w:rsidDel="00000000" w:rsidR="00000000" w:rsidRPr="00000000">
        <w:rPr>
          <w:rFonts w:ascii="Arial" w:cs="Arial" w:eastAsia="Arial" w:hAnsi="Arial"/>
          <w:b w:val="1"/>
          <w:bCs w:val="1"/>
          <w:sz w:val="24"/>
          <w:szCs w:val="24"/>
          <w:rtl w:val="0"/>
        </w:rPr>
        <w:t xml:space="preserve">Training Frontier LLMs:</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60" w:before="0" w:line="480" w:lineRule="auto"/>
        <w:jc w:val="center"/>
        <w:rPr>
          <w:sz w:val="24"/>
          <w:szCs w:val="24"/>
        </w:rPr>
      </w:pPr>
      <w:r w:rsidDel="00000000" w:rsidR="00000000" w:rsidRPr="00000000">
        <w:rPr>
          <w:rFonts w:ascii="Arial" w:cs="Arial" w:eastAsia="Arial" w:hAnsi="Arial"/>
          <w:sz w:val="24"/>
          <w:szCs w:val="24"/>
          <w:rtl w:val="0"/>
        </w:rPr>
        <w:t xml:space="preserve">Process, Resources &amp; Costs</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40" w:before="0" w:line="480" w:lineRule="auto"/>
        <w:jc w:val="center"/>
        <w:rPr>
          <w:sz w:val="24"/>
          <w:szCs w:val="24"/>
        </w:rPr>
      </w:pPr>
      <w:r w:rsidDel="00000000" w:rsidR="00000000" w:rsidRPr="00000000">
        <w:rPr>
          <w:rFonts w:ascii="Arial" w:cs="Arial" w:eastAsia="Arial" w:hAnsi="Arial"/>
          <w:i w:val="1"/>
          <w:iCs w:val="1"/>
          <w:sz w:val="24"/>
          <w:szCs w:val="24"/>
          <w:rtl w:val="0"/>
        </w:rPr>
        <w:t xml:space="preserve">Infographic Design Rationale &amp; Summary</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before="480" w:line="480" w:lineRule="auto"/>
        <w:rPr>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before="480" w:line="480" w:lineRule="auto"/>
        <w:rPr>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before="480" w:line="480" w:lineRule="auto"/>
        <w:rPr>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before="480" w:line="480" w:lineRule="auto"/>
        <w:rPr>
          <w:sz w:val="24"/>
          <w:szCs w:val="24"/>
        </w:rPr>
      </w:pPr>
      <w:r w:rsidDel="00000000" w:rsidR="00000000" w:rsidRPr="00000000">
        <w:rPr>
          <w:rtl w:val="0"/>
        </w:rPr>
      </w:r>
    </w:p>
    <w:p w:rsidR="00000000" w:rsidDel="00000000" w:rsidP="00000000" w:rsidRDefault="00000000" w:rsidRPr="00000000" w14:paraId="0000000A">
      <w:pPr>
        <w:spacing w:before="200" w:line="480" w:lineRule="auto"/>
        <w:jc w:val="center"/>
        <w:rPr>
          <w:sz w:val="24"/>
          <w:szCs w:val="24"/>
        </w:rPr>
      </w:pPr>
      <w:r w:rsidDel="00000000" w:rsidR="00000000" w:rsidRPr="00000000">
        <w:rPr>
          <w:sz w:val="24"/>
          <w:szCs w:val="24"/>
          <w:rtl w:val="0"/>
        </w:rPr>
        <w:t xml:space="preserve">Shivani Mandora</w:t>
      </w:r>
    </w:p>
    <w:p w:rsidR="00000000" w:rsidDel="00000000" w:rsidP="00000000" w:rsidRDefault="00000000" w:rsidRPr="00000000" w14:paraId="0000000B">
      <w:pPr>
        <w:spacing w:before="200" w:line="480" w:lineRule="auto"/>
        <w:jc w:val="center"/>
        <w:rPr>
          <w:sz w:val="24"/>
          <w:szCs w:val="24"/>
        </w:rPr>
      </w:pPr>
      <w:r w:rsidDel="00000000" w:rsidR="00000000" w:rsidRPr="00000000">
        <w:rPr>
          <w:sz w:val="24"/>
          <w:szCs w:val="24"/>
          <w:rtl w:val="0"/>
        </w:rPr>
        <w:t xml:space="preserve">Indiana Wesleyan University</w:t>
      </w:r>
    </w:p>
    <w:p w:rsidR="00000000" w:rsidDel="00000000" w:rsidP="00000000" w:rsidRDefault="00000000" w:rsidRPr="00000000" w14:paraId="0000000C">
      <w:pPr>
        <w:spacing w:before="200" w:line="480" w:lineRule="auto"/>
        <w:jc w:val="center"/>
        <w:rPr>
          <w:sz w:val="24"/>
          <w:szCs w:val="24"/>
        </w:rPr>
      </w:pPr>
      <w:r w:rsidDel="00000000" w:rsidR="00000000" w:rsidRPr="00000000">
        <w:rPr>
          <w:sz w:val="24"/>
          <w:szCs w:val="24"/>
          <w:rtl w:val="0"/>
        </w:rPr>
        <w:t xml:space="preserve">Model Development(AIML-501-01R3C)</w:t>
      </w:r>
    </w:p>
    <w:p w:rsidR="00000000" w:rsidDel="00000000" w:rsidP="00000000" w:rsidRDefault="00000000" w:rsidRPr="00000000" w14:paraId="0000000D">
      <w:pPr>
        <w:spacing w:before="200" w:line="480" w:lineRule="auto"/>
        <w:jc w:val="center"/>
        <w:rPr>
          <w:sz w:val="24"/>
          <w:szCs w:val="24"/>
        </w:rPr>
      </w:pPr>
      <w:r w:rsidDel="00000000" w:rsidR="00000000" w:rsidRPr="00000000">
        <w:rPr>
          <w:sz w:val="24"/>
          <w:szCs w:val="24"/>
          <w:highlight w:val="white"/>
          <w:rtl w:val="0"/>
        </w:rPr>
        <w:t xml:space="preserve">Professor Dr. Mary</w:t>
      </w:r>
      <w:r w:rsidDel="00000000" w:rsidR="00000000" w:rsidRPr="00000000">
        <w:rPr>
          <w:rtl w:val="0"/>
        </w:rPr>
      </w:r>
    </w:p>
    <w:p w:rsidR="00000000" w:rsidDel="00000000" w:rsidP="00000000" w:rsidRDefault="00000000" w:rsidRPr="00000000" w14:paraId="0000000E">
      <w:pPr>
        <w:spacing w:before="200" w:line="480" w:lineRule="auto"/>
        <w:jc w:val="center"/>
        <w:rPr>
          <w:sz w:val="24"/>
          <w:szCs w:val="24"/>
        </w:rPr>
      </w:pPr>
      <w:r w:rsidDel="00000000" w:rsidR="00000000" w:rsidRPr="00000000">
        <w:rPr>
          <w:sz w:val="24"/>
          <w:szCs w:val="24"/>
          <w:rtl w:val="0"/>
        </w:rPr>
        <w:t xml:space="preserve">May 21, 2026</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before="480" w:line="480" w:lineRule="auto"/>
        <w:rPr>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480" w:lineRule="auto"/>
        <w:rPr>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480" w:lineRule="auto"/>
        <w:rPr>
          <w:b w:val="1"/>
          <w:bCs w:val="1"/>
          <w:sz w:val="24"/>
          <w:szCs w:val="24"/>
        </w:rPr>
      </w:pPr>
      <w:r w:rsidDel="00000000" w:rsidR="00000000" w:rsidRPr="00000000">
        <w:rPr>
          <w:b w:val="1"/>
          <w:bCs w:val="1"/>
          <w:sz w:val="24"/>
          <w:szCs w:val="24"/>
          <w:rtl w:val="0"/>
        </w:rPr>
        <w:t xml:space="preserve">1. Artifact Summary</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100" w:before="80" w:line="480" w:lineRule="auto"/>
        <w:jc w:val="both"/>
        <w:rPr>
          <w:sz w:val="24"/>
          <w:szCs w:val="24"/>
        </w:rPr>
      </w:pPr>
      <w:r w:rsidDel="00000000" w:rsidR="00000000" w:rsidRPr="00000000">
        <w:rPr>
          <w:rFonts w:ascii="Arial" w:cs="Arial" w:eastAsia="Arial" w:hAnsi="Arial"/>
          <w:sz w:val="24"/>
          <w:szCs w:val="24"/>
          <w:rtl w:val="0"/>
        </w:rPr>
        <w:t xml:space="preserve">This explanatory document accompanies the infographic titled "Training the World's Largest AI Models," created as a portfolio artifact for the Generative AI and Machine Learning course. The infographic is a five-section visual reference designed to communicate, to a technically varied audience, both how frontier large language models (LLMs) are trained and what resources that process demands.</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00" w:before="80" w:line="480" w:lineRule="auto"/>
        <w:jc w:val="both"/>
        <w:rPr>
          <w:sz w:val="24"/>
          <w:szCs w:val="24"/>
        </w:rPr>
      </w:pPr>
      <w:r w:rsidDel="00000000" w:rsidR="00000000" w:rsidRPr="00000000">
        <w:rPr>
          <w:rFonts w:ascii="Arial" w:cs="Arial" w:eastAsia="Arial" w:hAnsi="Arial"/>
          <w:sz w:val="24"/>
          <w:szCs w:val="24"/>
          <w:rtl w:val="0"/>
        </w:rPr>
        <w:t xml:space="preserve">The artifact covers four major LLMs — GPT-4 (OpenAI), Claude 3 (Anthropic), Gemini Ultra (Google DeepMind), and LLaMA 3 (Meta AI) — and organizes information across five thematic sections: training pipeline steps, resource category costs, model-by-model comparison, energy and environmental impact, and a chronological training timeline.</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480" w:lineRule="auto"/>
        <w:rPr>
          <w:b w:val="1"/>
          <w:bCs w:val="1"/>
          <w:sz w:val="24"/>
          <w:szCs w:val="24"/>
        </w:rPr>
      </w:pPr>
      <w:r w:rsidDel="00000000" w:rsidR="00000000" w:rsidRPr="00000000">
        <w:rPr>
          <w:b w:val="1"/>
          <w:bCs w:val="1"/>
          <w:sz w:val="24"/>
          <w:szCs w:val="24"/>
          <w:rtl w:val="0"/>
        </w:rPr>
        <w:t xml:space="preserve">2. Key Points Illustrated</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480" w:lineRule="auto"/>
        <w:rPr>
          <w:b w:val="1"/>
          <w:bCs w:val="1"/>
          <w:sz w:val="24"/>
          <w:szCs w:val="24"/>
        </w:rPr>
      </w:pPr>
      <w:r w:rsidDel="00000000" w:rsidR="00000000" w:rsidRPr="00000000">
        <w:rPr>
          <w:b w:val="1"/>
          <w:bCs w:val="1"/>
          <w:sz w:val="24"/>
          <w:szCs w:val="24"/>
          <w:rtl w:val="0"/>
        </w:rPr>
        <w:t xml:space="preserve">2.1 The Six-Stage Training Pipeline</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100" w:before="80" w:line="480" w:lineRule="auto"/>
        <w:jc w:val="both"/>
        <w:rPr>
          <w:sz w:val="24"/>
          <w:szCs w:val="24"/>
        </w:rPr>
      </w:pPr>
      <w:r w:rsidDel="00000000" w:rsidR="00000000" w:rsidRPr="00000000">
        <w:rPr>
          <w:rFonts w:ascii="Arial" w:cs="Arial" w:eastAsia="Arial" w:hAnsi="Arial"/>
          <w:sz w:val="24"/>
          <w:szCs w:val="24"/>
          <w:rtl w:val="0"/>
        </w:rPr>
        <w:t xml:space="preserve">The infographic presents LLM training as a sequential six-stage process. Understanding this pipeline is essential because each stage introduces distinct cost centers and quality dependencies — a failure or shortcut at any stage propagates through all subsequent ones.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Stage 1 — </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Data Collection: Web crawls, licensed books, code repositories, and curated datasets form the raw corpus — often several trillion tokens.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Stage 2 — </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Data Cleaning: Deduplication, quality filtering, and toxic content removal. Typically 40–60% of raw crawl data is discarded at this stage.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Stage 3 — </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Pre-Training: Self-supervised next-token prediction on the full corpus. The most computationally expensive and time-consuming stage.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Stage 4 — </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Supervised Fine-Tuning (SFT): Training on human-written demonstration examples to teach the model instruction-following behavior.</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Stage 5 — </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RLHF / Alignment: A reward model trained on human preference comparisons is used to further align outputs via reinforcement learning.</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Stage 6 — </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Safety Evaluation &amp; Deployment: Red-teaming, capability benchmarks, bias audits, and staged rollout before public availability.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120.0" w:type="dxa"/>
              <w:left w:w="200.0" w:type="dxa"/>
              <w:bottom w:w="120.0" w:type="dxa"/>
              <w:right w:w="200.0" w:type="dxa"/>
            </w:tcMar>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60" w:before="0" w:line="480" w:lineRule="auto"/>
              <w:rPr>
                <w:sz w:val="24"/>
                <w:szCs w:val="24"/>
              </w:rPr>
            </w:pPr>
            <w:r w:rsidDel="00000000" w:rsidR="00000000" w:rsidRPr="00000000">
              <w:rPr>
                <w:rFonts w:ascii="Arial" w:cs="Arial" w:eastAsia="Arial" w:hAnsi="Arial"/>
                <w:b w:val="1"/>
                <w:bCs w:val="1"/>
                <w:sz w:val="24"/>
                <w:szCs w:val="24"/>
                <w:rtl w:val="0"/>
              </w:rPr>
              <w:t xml:space="preserve">Why the Pipeline Matters</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before="0" w:line="480" w:lineRule="auto"/>
              <w:jc w:val="both"/>
              <w:rPr>
                <w:sz w:val="24"/>
                <w:szCs w:val="24"/>
              </w:rPr>
            </w:pPr>
            <w:r w:rsidDel="00000000" w:rsidR="00000000" w:rsidRPr="00000000">
              <w:rPr>
                <w:rFonts w:ascii="Arial" w:cs="Arial" w:eastAsia="Arial" w:hAnsi="Arial"/>
                <w:sz w:val="24"/>
                <w:szCs w:val="24"/>
                <w:rtl w:val="0"/>
              </w:rPr>
              <w:t xml:space="preserve">Each stage is a cost multiplier on the previous one. Poorly cleaned data increases pre-training loss, requiring more compute to compensate. Inadequate fine-tuning increases RLHF iterations. Understanding the pipeline is essential for estimating total project cost and timeline.</w:t>
            </w:r>
            <w:r w:rsidDel="00000000" w:rsidR="00000000" w:rsidRPr="00000000">
              <w:rPr>
                <w:rtl w:val="0"/>
              </w:rPr>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pacing w:line="480" w:lineRule="auto"/>
        <w:rPr>
          <w:b w:val="1"/>
          <w:bCs w:val="1"/>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480" w:lineRule="auto"/>
        <w:rPr>
          <w:b w:val="1"/>
          <w:bCs w:val="1"/>
          <w:sz w:val="24"/>
          <w:szCs w:val="24"/>
        </w:rPr>
      </w:pPr>
      <w:r w:rsidDel="00000000" w:rsidR="00000000" w:rsidRPr="00000000">
        <w:rPr>
          <w:b w:val="1"/>
          <w:bCs w:val="1"/>
          <w:sz w:val="24"/>
          <w:szCs w:val="24"/>
          <w:rtl w:val="0"/>
        </w:rPr>
        <w:t xml:space="preserve">2.2 Resource Categories and Cost Estimates</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100" w:before="80" w:line="480" w:lineRule="auto"/>
        <w:jc w:val="both"/>
        <w:rPr>
          <w:sz w:val="24"/>
          <w:szCs w:val="24"/>
        </w:rPr>
      </w:pPr>
      <w:r w:rsidDel="00000000" w:rsidR="00000000" w:rsidRPr="00000000">
        <w:rPr>
          <w:rFonts w:ascii="Arial" w:cs="Arial" w:eastAsia="Arial" w:hAnsi="Arial"/>
          <w:sz w:val="24"/>
          <w:szCs w:val="24"/>
          <w:rtl w:val="0"/>
        </w:rPr>
        <w:t xml:space="preserve">The infographic organizes training resources into four categories, each with estimated cost ranges based on publicly available information, analyst research, and disclosed compute details: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Data — </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Data ($1M–$10M+): Licensing, annotation, storage, and human labelers for RLHF. Often underestimated relative to compute costs but critical for model quality.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Compute — </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Compute ($50M–$500M+): The dominant cost category. Frontier models require clusters of thousands of NVIDIA H100 or A100 GPUs running for months. Cloud rental at ~$2–4/GPU/hr scales rapidly.</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Energy — </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Energy (1–100+ GWh): GPT-3's training run consumed an estimated 1,287 MWh — equivalent to 122 US homes running for a year. Newer frontier models consume 10–50× more.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Time — </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Time (3–18+ months): From data pipeline to deployment-ready model. Even with extreme parallelism, the training process cannot be compressed below certain practical limits.</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480" w:lineRule="auto"/>
        <w:rPr>
          <w:b w:val="1"/>
          <w:bCs w:val="1"/>
          <w:sz w:val="24"/>
          <w:szCs w:val="24"/>
        </w:rPr>
      </w:pPr>
      <w:r w:rsidDel="00000000" w:rsidR="00000000" w:rsidRPr="00000000">
        <w:rPr>
          <w:b w:val="1"/>
          <w:bCs w:val="1"/>
          <w:sz w:val="24"/>
          <w:szCs w:val="24"/>
          <w:rtl w:val="0"/>
        </w:rPr>
        <w:t xml:space="preserve">2.3 Model-Specific Examples</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00" w:before="80" w:line="480" w:lineRule="auto"/>
        <w:jc w:val="both"/>
        <w:rPr>
          <w:sz w:val="24"/>
          <w:szCs w:val="24"/>
        </w:rPr>
      </w:pPr>
      <w:r w:rsidDel="00000000" w:rsidR="00000000" w:rsidRPr="00000000">
        <w:rPr>
          <w:rFonts w:ascii="Arial" w:cs="Arial" w:eastAsia="Arial" w:hAnsi="Arial"/>
          <w:sz w:val="24"/>
          <w:szCs w:val="24"/>
          <w:rtl w:val="0"/>
        </w:rPr>
        <w:t xml:space="preserve">Four specific models are compared across parameters, estimated training cost, training token count, and a defining technical characteristic:</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GPT-4 — </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GPT-4 (OpenAI): Estimated ~$100M+ training cost; reportedly uses a Mixture-of-Experts architecture (~1.8T parameters); multimodal capabilities.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Claude 3 — </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Claude 3 Opus (Anthropic): Estimated $50–100M; notable for Constitutional AI alignment methodology and a 200,000-token context window.</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Gemini — </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Gemini Ultra (Google DeepMind): Estimated $190M+ by analysts; natively multimodal from the ground up rather than vision-patched.</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LLaMA 3 — </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LLaMA 3 405B (Meta AI): Estimated $20–60M; open-weights release makes it the most accessible frontier-class model for researchers.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cfe8" w:space="0" w:sz="4" w:val="single"/>
              <w:left w:color="bbcfe8" w:space="0" w:sz="4" w:val="single"/>
              <w:bottom w:color="bbcfe8" w:space="0" w:sz="4" w:val="single"/>
              <w:right w:color="bbcfe8" w:space="0" w:sz="4" w:val="single"/>
            </w:tcBorders>
            <w:shd w:fill="fef9e7" w:val="clear"/>
            <w:tcMar>
              <w:top w:w="120.0" w:type="dxa"/>
              <w:left w:w="200.0" w:type="dxa"/>
              <w:bottom w:w="120.0" w:type="dxa"/>
              <w:right w:w="200.0" w:type="dxa"/>
            </w:tcMar>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60" w:before="0" w:line="480" w:lineRule="auto"/>
              <w:rPr>
                <w:sz w:val="24"/>
                <w:szCs w:val="24"/>
              </w:rPr>
            </w:pPr>
            <w:r w:rsidDel="00000000" w:rsidR="00000000" w:rsidRPr="00000000">
              <w:rPr>
                <w:rFonts w:ascii="Arial" w:cs="Arial" w:eastAsia="Arial" w:hAnsi="Arial"/>
                <w:b w:val="1"/>
                <w:bCs w:val="1"/>
                <w:sz w:val="24"/>
                <w:szCs w:val="24"/>
                <w:rtl w:val="0"/>
              </w:rPr>
              <w:t xml:space="preserve">Important Note on Estimates</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before="0" w:line="480" w:lineRule="auto"/>
              <w:jc w:val="both"/>
              <w:rPr>
                <w:sz w:val="24"/>
                <w:szCs w:val="24"/>
              </w:rPr>
            </w:pPr>
            <w:r w:rsidDel="00000000" w:rsidR="00000000" w:rsidRPr="00000000">
              <w:rPr>
                <w:rFonts w:ascii="Arial" w:cs="Arial" w:eastAsia="Arial" w:hAnsi="Arial"/>
                <w:sz w:val="24"/>
                <w:szCs w:val="24"/>
                <w:rtl w:val="0"/>
              </w:rPr>
              <w:t xml:space="preserve">No frontier lab has disclosed exact training costs. All figures in the infographic are derived from public GPU pricing, reported training durations, analyst modeling (e.g., SemiAnalysis, Epoch AI), and academic compute estimates. Actual costs may differ significantly.</w:t>
            </w:r>
            <w:r w:rsidDel="00000000" w:rsidR="00000000" w:rsidRPr="00000000">
              <w:rPr>
                <w:rtl w:val="0"/>
              </w:rPr>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pacing w:line="480" w:lineRule="auto"/>
        <w:rPr>
          <w:b w:val="1"/>
          <w:bCs w:val="1"/>
          <w:sz w:val="24"/>
          <w:szCs w:val="24"/>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480" w:lineRule="auto"/>
        <w:rPr>
          <w:b w:val="1"/>
          <w:bCs w:val="1"/>
          <w:sz w:val="24"/>
          <w:szCs w:val="24"/>
        </w:rPr>
      </w:pPr>
      <w:r w:rsidDel="00000000" w:rsidR="00000000" w:rsidRPr="00000000">
        <w:rPr>
          <w:b w:val="1"/>
          <w:bCs w:val="1"/>
          <w:sz w:val="24"/>
          <w:szCs w:val="24"/>
          <w:rtl w:val="0"/>
        </w:rPr>
        <w:t xml:space="preserve">2.4 Energy and Environmental Impact</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00" w:before="80" w:line="480" w:lineRule="auto"/>
        <w:jc w:val="both"/>
        <w:rPr>
          <w:sz w:val="24"/>
          <w:szCs w:val="24"/>
        </w:rPr>
      </w:pPr>
      <w:r w:rsidDel="00000000" w:rsidR="00000000" w:rsidRPr="00000000">
        <w:rPr>
          <w:rFonts w:ascii="Arial" w:cs="Arial" w:eastAsia="Arial" w:hAnsi="Arial"/>
          <w:sz w:val="24"/>
          <w:szCs w:val="24"/>
          <w:rtl w:val="0"/>
        </w:rPr>
        <w:t xml:space="preserve">The energy section grounds abstract compute figures in relatable real-world terms. GPT-3's training run is estimated to have produced approximately 552 tonnes of CO₂ equivalent — roughly 60 transatlantic flights. Frontier models trained since 2022 are significantly more energy-intensive. This section is included because energy cost and carbon footprint are increasingly relevant to enterprise AI adoption decisions, regulatory compliance, and investor ESG considerations.</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480" w:lineRule="auto"/>
        <w:rPr>
          <w:b w:val="1"/>
          <w:bCs w:val="1"/>
          <w:sz w:val="24"/>
          <w:szCs w:val="24"/>
        </w:rPr>
      </w:pPr>
      <w:r w:rsidDel="00000000" w:rsidR="00000000" w:rsidRPr="00000000">
        <w:rPr>
          <w:b w:val="1"/>
          <w:bCs w:val="1"/>
          <w:sz w:val="24"/>
          <w:szCs w:val="24"/>
          <w:rtl w:val="0"/>
        </w:rPr>
        <w:t xml:space="preserve">2.5 Training Timeline</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100" w:before="80" w:line="480" w:lineRule="auto"/>
        <w:jc w:val="both"/>
        <w:rPr>
          <w:sz w:val="24"/>
          <w:szCs w:val="24"/>
        </w:rPr>
      </w:pPr>
      <w:r w:rsidDel="00000000" w:rsidR="00000000" w:rsidRPr="00000000">
        <w:rPr>
          <w:rFonts w:ascii="Arial" w:cs="Arial" w:eastAsia="Arial" w:hAnsi="Arial"/>
          <w:sz w:val="24"/>
          <w:szCs w:val="24"/>
          <w:rtl w:val="0"/>
        </w:rPr>
        <w:t xml:space="preserve">The chronological timeline illustrates that building a frontier LLM is a 12–18 month undertaking when all phases are included. This challenges the popular perception of AI development as a rapid, software-only process. The timeline makes clear that pre-training alone can require 1–6 months of continuous GPU cluster operation, and that post-training alignment and safety evaluation add months of additional skilled labor before any model reaches users.</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480" w:lineRule="auto"/>
        <w:rPr>
          <w:b w:val="1"/>
          <w:bCs w:val="1"/>
          <w:sz w:val="24"/>
          <w:szCs w:val="24"/>
        </w:rPr>
      </w:pPr>
      <w:r w:rsidDel="00000000" w:rsidR="00000000" w:rsidRPr="00000000">
        <w:rPr>
          <w:b w:val="1"/>
          <w:bCs w:val="1"/>
          <w:sz w:val="24"/>
          <w:szCs w:val="24"/>
          <w:rtl w:val="0"/>
        </w:rPr>
        <w:t xml:space="preserve">3. Design Rationale</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480" w:lineRule="auto"/>
        <w:rPr>
          <w:b w:val="1"/>
          <w:bCs w:val="1"/>
          <w:sz w:val="24"/>
          <w:szCs w:val="24"/>
        </w:rPr>
      </w:pPr>
      <w:r w:rsidDel="00000000" w:rsidR="00000000" w:rsidRPr="00000000">
        <w:rPr>
          <w:b w:val="1"/>
          <w:bCs w:val="1"/>
          <w:sz w:val="24"/>
          <w:szCs w:val="24"/>
          <w:rtl w:val="0"/>
        </w:rPr>
        <w:t xml:space="preserve">3.1 Intended Audience</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100" w:before="80" w:line="480" w:lineRule="auto"/>
        <w:jc w:val="both"/>
        <w:rPr>
          <w:sz w:val="24"/>
          <w:szCs w:val="24"/>
        </w:rPr>
      </w:pPr>
      <w:r w:rsidDel="00000000" w:rsidR="00000000" w:rsidRPr="00000000">
        <w:rPr>
          <w:rFonts w:ascii="Arial" w:cs="Arial" w:eastAsia="Arial" w:hAnsi="Arial"/>
          <w:sz w:val="24"/>
          <w:szCs w:val="24"/>
          <w:rtl w:val="0"/>
        </w:rPr>
        <w:t xml:space="preserve">The infographic is designed for a mixed audience: technical practitioners who need accurate cost and process information; business and investment stakeholders evaluating AI build-vs-buy decisions; and policy audiences concerned with market concentration and environmental impact. This drove the decision to pair quantitative data with accessible analogies (homes powered, transatlantic flights) rather than presenting raw figures alone.</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480" w:lineRule="auto"/>
        <w:rPr>
          <w:b w:val="1"/>
          <w:bCs w:val="1"/>
          <w:sz w:val="24"/>
          <w:szCs w:val="24"/>
        </w:rPr>
      </w:pPr>
      <w:r w:rsidDel="00000000" w:rsidR="00000000" w:rsidRPr="00000000">
        <w:rPr>
          <w:b w:val="1"/>
          <w:bCs w:val="1"/>
          <w:sz w:val="24"/>
          <w:szCs w:val="24"/>
          <w:rtl w:val="0"/>
        </w:rPr>
        <w:t xml:space="preserve">3.2 Visual Structure Choices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Color palette — </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Dark theme with high-contrast accent colors was chosen to maximize readability and give the artifact a distinct, professional aesthetic appropriate for a technical portfolio.</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Pipeline layout — </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The six-step pipeline uses a horizontal flow with a connecting gradient line to communicate sequential dependency — the most important structural message of the pipeline section.</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Card design — </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Resource cards use colored top borders to create visual hierarchy without overwhelming the data content. Each card follows an identical internal structure for scanability.</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Bar chart — </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The horizontal bar chart provides immediate comparative intuition for cost differences across models — more effective than a table for this specific comparison.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Timeline — </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The vertical timeline reinforces the sequential, time-bound nature of model development and makes duration estimates immediately interpretable.</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480" w:lineRule="auto"/>
        <w:rPr>
          <w:b w:val="1"/>
          <w:bCs w:val="1"/>
          <w:sz w:val="24"/>
          <w:szCs w:val="24"/>
        </w:rPr>
      </w:pPr>
      <w:r w:rsidDel="00000000" w:rsidR="00000000" w:rsidRPr="00000000">
        <w:rPr>
          <w:b w:val="1"/>
          <w:bCs w:val="1"/>
          <w:sz w:val="24"/>
          <w:szCs w:val="24"/>
          <w:rtl w:val="0"/>
        </w:rPr>
        <w:t xml:space="preserve">3.3 Accessibility Considerations</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00" w:before="80" w:line="480" w:lineRule="auto"/>
        <w:jc w:val="both"/>
        <w:rPr>
          <w:sz w:val="24"/>
          <w:szCs w:val="24"/>
        </w:rPr>
      </w:pPr>
      <w:r w:rsidDel="00000000" w:rsidR="00000000" w:rsidRPr="00000000">
        <w:rPr>
          <w:rFonts w:ascii="Arial" w:cs="Arial" w:eastAsia="Arial" w:hAnsi="Arial"/>
          <w:sz w:val="24"/>
          <w:szCs w:val="24"/>
          <w:rtl w:val="0"/>
        </w:rPr>
        <w:t xml:space="preserve">All text meets minimum contrast ratios for readability. Color is not used as the sole differentiator between data categories — each section uses distinct layout and labeling in addition to color coding. Font sizes are consistent and legible at standard screen resolutions. The infographic is structured so that each section can be understood independently, allowing non-linear reading for audiences who focus on specific resource categories.</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480" w:lineRule="auto"/>
        <w:rPr>
          <w:b w:val="1"/>
          <w:bCs w:val="1"/>
          <w:sz w:val="24"/>
          <w:szCs w:val="24"/>
        </w:rPr>
      </w:pPr>
      <w:r w:rsidDel="00000000" w:rsidR="00000000" w:rsidRPr="00000000">
        <w:rPr>
          <w:b w:val="1"/>
          <w:bCs w:val="1"/>
          <w:sz w:val="24"/>
          <w:szCs w:val="24"/>
          <w:rtl w:val="0"/>
        </w:rPr>
        <w:t xml:space="preserve">4. Key Considerations and Limitations</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100" w:before="80" w:line="480" w:lineRule="auto"/>
        <w:jc w:val="both"/>
        <w:rPr>
          <w:sz w:val="24"/>
          <w:szCs w:val="24"/>
        </w:rPr>
      </w:pPr>
      <w:r w:rsidDel="00000000" w:rsidR="00000000" w:rsidRPr="00000000">
        <w:rPr>
          <w:rFonts w:ascii="Arial" w:cs="Arial" w:eastAsia="Arial" w:hAnsi="Arial"/>
          <w:sz w:val="24"/>
          <w:szCs w:val="24"/>
          <w:rtl w:val="0"/>
        </w:rPr>
        <w:t xml:space="preserve">Several important caveats apply to the information presented in this artifact: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Cost opacity: No frontier AI lab has publicly disclosed exact training costs. All figures are estimates derived from indirect sources and should be treated as order-of-magnitude approximations, not precise financial figures.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Rapid change: GPU pricing, model architectures, and training techniques evolve rapidly. Costs per unit of compute have declined historically, meaning future model training may be significantly cheaper even for equivalent capability levels.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Scope limitation: The infographic covers training costs only. Inference infrastructure, ongoing safety monitoring, and continuous fine-tuning represent substantial additional ongoing costs not captured here.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Model architecture variation: Mixture-of-Experts (MoE) models like GPT-4 may have high reported parameter counts but activate only a subset per forward pass, making direct parameter comparisons across architectures potentially misleading.</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480" w:lineRule="auto"/>
        <w:rPr>
          <w:b w:val="1"/>
          <w:bCs w:val="1"/>
          <w:sz w:val="24"/>
          <w:szCs w:val="24"/>
        </w:rPr>
      </w:pPr>
      <w:r w:rsidDel="00000000" w:rsidR="00000000" w:rsidRPr="00000000">
        <w:rPr>
          <w:b w:val="1"/>
          <w:bCs w:val="1"/>
          <w:sz w:val="24"/>
          <w:szCs w:val="24"/>
          <w:rtl w:val="0"/>
        </w:rPr>
        <w:t xml:space="preserve">5. Conclusion</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00" w:before="80" w:line="480" w:lineRule="auto"/>
        <w:jc w:val="both"/>
        <w:rPr>
          <w:sz w:val="24"/>
          <w:szCs w:val="24"/>
        </w:rPr>
      </w:pPr>
      <w:r w:rsidDel="00000000" w:rsidR="00000000" w:rsidRPr="00000000">
        <w:rPr>
          <w:rFonts w:ascii="Arial" w:cs="Arial" w:eastAsia="Arial" w:hAnsi="Arial"/>
          <w:sz w:val="24"/>
          <w:szCs w:val="24"/>
          <w:rtl w:val="0"/>
        </w:rPr>
        <w:t xml:space="preserve">The core argument of this infographic is that training frontier LLMs is primarily a capital allocation and resource coordination problem, not just a machine learning research problem. The data, compute, energy, and time requirements at the frontier are so large that only a handful of organizations globally can sustain them — which has profound implications for market structure, research access, and regulatory oversight.</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00" w:before="80" w:line="480" w:lineRule="auto"/>
        <w:jc w:val="both"/>
        <w:rPr>
          <w:sz w:val="24"/>
          <w:szCs w:val="24"/>
        </w:rPr>
      </w:pPr>
      <w:r w:rsidDel="00000000" w:rsidR="00000000" w:rsidRPr="00000000">
        <w:rPr>
          <w:rFonts w:ascii="Arial" w:cs="Arial" w:eastAsia="Arial" w:hAnsi="Arial"/>
          <w:sz w:val="24"/>
          <w:szCs w:val="24"/>
          <w:rtl w:val="0"/>
        </w:rPr>
        <w:t xml:space="preserve">Communicating these dynamics clearly to non-specialist audiences — investors, policymakers, and enterprise decision-makers — is an essential skill in applied AI practice. This artifact demonstrates the ability to synthesize technical and economic information into a visually accessible format that supports informed decision-making.</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480" w:lineRule="auto"/>
        <w:jc w:val="center"/>
        <w:rPr>
          <w:sz w:val="24"/>
          <w:szCs w:val="24"/>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480" w:lineRule="auto"/>
        <w:jc w:val="center"/>
        <w:rPr>
          <w:sz w:val="24"/>
          <w:szCs w:val="24"/>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line="480" w:lineRule="auto"/>
        <w:jc w:val="center"/>
        <w:rPr>
          <w:sz w:val="24"/>
          <w:szCs w:val="24"/>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480" w:lineRule="auto"/>
        <w:jc w:val="center"/>
        <w:rPr>
          <w:sz w:val="24"/>
          <w:szCs w:val="24"/>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line="480" w:lineRule="auto"/>
        <w:jc w:val="center"/>
        <w:rPr>
          <w:sz w:val="24"/>
          <w:szCs w:val="24"/>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line="480" w:lineRule="auto"/>
        <w:jc w:val="center"/>
        <w:rPr>
          <w:sz w:val="24"/>
          <w:szCs w:val="24"/>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480" w:lineRule="auto"/>
        <w:jc w:val="center"/>
        <w:rPr>
          <w:sz w:val="24"/>
          <w:szCs w:val="24"/>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line="480" w:lineRule="auto"/>
        <w:jc w:val="center"/>
        <w:rPr>
          <w:sz w:val="24"/>
          <w:szCs w:val="24"/>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line="480" w:lineRule="auto"/>
        <w:jc w:val="center"/>
        <w:rPr>
          <w:sz w:val="24"/>
          <w:szCs w:val="24"/>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line="480" w:lineRule="auto"/>
        <w:jc w:val="center"/>
        <w:rPr>
          <w:sz w:val="24"/>
          <w:szCs w:val="24"/>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line="480" w:lineRule="auto"/>
        <w:jc w:val="center"/>
        <w:rPr>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line="480" w:lineRule="auto"/>
        <w:jc w:val="center"/>
        <w:rPr>
          <w:sz w:val="24"/>
          <w:szCs w:val="2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line="480" w:lineRule="auto"/>
        <w:jc w:val="center"/>
        <w:rPr>
          <w:sz w:val="24"/>
          <w:szCs w:val="24"/>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line="480" w:lineRule="auto"/>
        <w:jc w:val="center"/>
        <w:rPr>
          <w:sz w:val="24"/>
          <w:szCs w:val="24"/>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line="480" w:lineRule="auto"/>
        <w:jc w:val="center"/>
        <w:rPr>
          <w:sz w:val="24"/>
          <w:szCs w:val="24"/>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line="480" w:lineRule="auto"/>
        <w:jc w:val="center"/>
        <w:rPr>
          <w:sz w:val="24"/>
          <w:szCs w:val="24"/>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line="480" w:lineRule="auto"/>
        <w:jc w:val="left"/>
        <w:rPr>
          <w:sz w:val="24"/>
          <w:szCs w:val="24"/>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line="480" w:lineRule="auto"/>
        <w:jc w:val="center"/>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100" w:before="80" w:line="480" w:lineRule="auto"/>
        <w:ind w:left="72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Epoch AI. (2023). Compute trends across three eras of machine learning. </w:t>
      </w:r>
      <w:hyperlink r:id="rId6">
        <w:r w:rsidDel="00000000" w:rsidR="00000000" w:rsidRPr="00000000">
          <w:rPr>
            <w:rFonts w:ascii="Arial" w:cs="Arial" w:eastAsia="Arial" w:hAnsi="Arial"/>
            <w:sz w:val="24"/>
            <w:szCs w:val="24"/>
            <w:u w:val="single"/>
            <w:rtl w:val="0"/>
          </w:rPr>
          <w:t xml:space="preserve">https://epochai.org/blog/compute-trends</w:t>
        </w:r>
      </w:hyperlink>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00" w:before="80" w:line="480" w:lineRule="auto"/>
        <w:ind w:left="72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Meta AI. (2024). Introducing Meta LLaMA 3. </w:t>
      </w:r>
      <w:hyperlink r:id="rId7">
        <w:r w:rsidDel="00000000" w:rsidR="00000000" w:rsidRPr="00000000">
          <w:rPr>
            <w:rFonts w:ascii="Arial" w:cs="Arial" w:eastAsia="Arial" w:hAnsi="Arial"/>
            <w:sz w:val="24"/>
            <w:szCs w:val="24"/>
            <w:u w:val="single"/>
            <w:rtl w:val="0"/>
          </w:rPr>
          <w:t xml:space="preserve">https://ai.meta.com/blog/meta-llama-3/</w:t>
        </w:r>
      </w:hyperlink>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00" w:before="80" w:line="480" w:lineRule="auto"/>
        <w:ind w:left="720" w:hanging="720"/>
        <w:jc w:val="both"/>
        <w:rPr>
          <w:sz w:val="24"/>
          <w:szCs w:val="24"/>
        </w:rPr>
      </w:pPr>
      <w:r w:rsidDel="00000000" w:rsidR="00000000" w:rsidRPr="00000000">
        <w:rPr>
          <w:rFonts w:ascii="Arial" w:cs="Arial" w:eastAsia="Arial" w:hAnsi="Arial"/>
          <w:sz w:val="24"/>
          <w:szCs w:val="24"/>
          <w:rtl w:val="0"/>
        </w:rPr>
        <w:t xml:space="preserve">OpenAI. (2023). GPT-4 technical report. arXiv:2303.08774.</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100" w:before="80" w:line="480" w:lineRule="auto"/>
        <w:ind w:left="720" w:hanging="720"/>
        <w:jc w:val="both"/>
        <w:rPr>
          <w:sz w:val="24"/>
          <w:szCs w:val="24"/>
        </w:rPr>
      </w:pPr>
      <w:r w:rsidDel="00000000" w:rsidR="00000000" w:rsidRPr="00000000">
        <w:rPr>
          <w:rFonts w:ascii="Arial" w:cs="Arial" w:eastAsia="Arial" w:hAnsi="Arial"/>
          <w:sz w:val="24"/>
          <w:szCs w:val="24"/>
          <w:rtl w:val="0"/>
        </w:rPr>
        <w:t xml:space="preserve">Patterson, D., et al. (2021). Carbon considerations for large-scale deep learning. arXiv:2104.10350.</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100" w:before="80" w:line="480" w:lineRule="auto"/>
        <w:ind w:left="720" w:hanging="720"/>
        <w:jc w:val="both"/>
        <w:rPr>
          <w:sz w:val="24"/>
          <w:szCs w:val="24"/>
        </w:rPr>
      </w:pPr>
      <w:r w:rsidDel="00000000" w:rsidR="00000000" w:rsidRPr="00000000">
        <w:rPr>
          <w:rFonts w:ascii="Arial" w:cs="Arial" w:eastAsia="Arial" w:hAnsi="Arial"/>
          <w:sz w:val="24"/>
          <w:szCs w:val="24"/>
          <w:rtl w:val="0"/>
        </w:rPr>
        <w:t xml:space="preserve">SemiAnalysis. (2023). GPT-4 architecture, infrastructure, and training costs. SemiAnalysis Newsletter.</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100" w:before="80" w:line="480" w:lineRule="auto"/>
        <w:ind w:left="72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Wolfram, S. (2023). What is ChatGPT doing and why does it work? </w:t>
      </w:r>
      <w:hyperlink r:id="rId8">
        <w:r w:rsidDel="00000000" w:rsidR="00000000" w:rsidRPr="00000000">
          <w:rPr>
            <w:rFonts w:ascii="Arial" w:cs="Arial" w:eastAsia="Arial" w:hAnsi="Arial"/>
            <w:sz w:val="24"/>
            <w:szCs w:val="24"/>
            <w:u w:val="single"/>
            <w:rtl w:val="0"/>
          </w:rPr>
          <w:t xml:space="preserve">https://writings.stephenwolfram.com/2023/02/what-is-chatgpt-doing-and-why-does-it-work/</w:t>
        </w:r>
      </w:hyperlink>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100" w:before="80" w:line="480" w:lineRule="auto"/>
        <w:jc w:val="both"/>
        <w:rPr>
          <w:sz w:val="24"/>
          <w:szCs w:val="24"/>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before="60" w:line="480" w:lineRule="auto"/>
        <w:rPr>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6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pochai.org/blog/compute-trends" TargetMode="External"/><Relationship Id="rId7" Type="http://schemas.openxmlformats.org/officeDocument/2006/relationships/hyperlink" Target="https://ai.meta.com/blog/meta-llama-3/" TargetMode="External"/><Relationship Id="rId8" Type="http://schemas.openxmlformats.org/officeDocument/2006/relationships/hyperlink" Target="https://writings.stephenwolfram.com/2023/02/what-is-chatgpt-doing-and-why-does-i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