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Explanatory Document: Pre-Trained Model Decision Matrix</w:t>
      </w:r>
      <w:r w:rsidDel="00000000" w:rsidR="00000000" w:rsidRPr="00000000">
        <w:rPr>
          <w:rtl w:val="0"/>
        </w:rPr>
      </w:r>
    </w:p>
    <w:p w:rsidR="00000000" w:rsidDel="00000000" w:rsidP="00000000" w:rsidRDefault="00000000" w:rsidRPr="00000000" w14:paraId="00000003">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before="200"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Shivani Mandora</w:t>
      </w:r>
    </w:p>
    <w:p w:rsidR="00000000" w:rsidDel="00000000" w:rsidP="00000000" w:rsidRDefault="00000000" w:rsidRPr="00000000" w14:paraId="00000010">
      <w:pPr>
        <w:spacing w:before="200"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Indiana Wesleyan University</w:t>
      </w:r>
    </w:p>
    <w:p w:rsidR="00000000" w:rsidDel="00000000" w:rsidP="00000000" w:rsidRDefault="00000000" w:rsidRPr="00000000" w14:paraId="00000011">
      <w:pPr>
        <w:spacing w:before="200"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Model Development(AIML-501-01R3C)</w:t>
      </w:r>
    </w:p>
    <w:p w:rsidR="00000000" w:rsidDel="00000000" w:rsidP="00000000" w:rsidRDefault="00000000" w:rsidRPr="00000000" w14:paraId="00000012">
      <w:pPr>
        <w:spacing w:before="200" w:line="480" w:lineRule="auto"/>
        <w:jc w:val="center"/>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Professor Dr. Mary</w:t>
      </w:r>
      <w:r w:rsidDel="00000000" w:rsidR="00000000" w:rsidRPr="00000000">
        <w:rPr>
          <w:rtl w:val="0"/>
        </w:rPr>
      </w:r>
    </w:p>
    <w:p w:rsidR="00000000" w:rsidDel="00000000" w:rsidP="00000000" w:rsidRDefault="00000000" w:rsidRPr="00000000" w14:paraId="00000013">
      <w:pPr>
        <w:spacing w:before="200"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June 11, 2026</w:t>
      </w:r>
    </w:p>
    <w:p w:rsidR="00000000" w:rsidDel="00000000" w:rsidP="00000000" w:rsidRDefault="00000000" w:rsidRPr="00000000" w14:paraId="00000014">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before="0" w:line="48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8">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Selecting a pre-trained model for a production AI system is rarely a single-criterion decision. A model with exceptional benchmark accuracy may be unusable in a latency-sensitive deployment; a model optimized for edge inference may sacrifice too much accuracy for a medical diagnostic application. Explainability adds a further dimension: in regulated industries such as healthcare and financial services, a model whose decisions cannot be interpreted may be legally or operationally inadmissible regardless of its predictive performance.</w:t>
      </w:r>
    </w:p>
    <w:p w:rsidR="00000000" w:rsidDel="00000000" w:rsidP="00000000" w:rsidRDefault="00000000" w:rsidRPr="00000000" w14:paraId="00000019">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portfolio artifact presents a decision matrix comparing six widely-deployed pre-trained models across three domains — NLP/Generative AI, Computer Vision, and Tabular Data — against four criteria: model size, accuracy, inference speed, and explainability. The goal is to provide a structured, domain-specific reference that supports informed model selection decisions in applied AI/ML contexts.</w:t>
      </w:r>
    </w:p>
    <w:p w:rsidR="00000000" w:rsidDel="00000000" w:rsidP="00000000" w:rsidRDefault="00000000" w:rsidRPr="00000000" w14:paraId="0000001A">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Methodology</w:t>
      </w:r>
      <w:r w:rsidDel="00000000" w:rsidR="00000000" w:rsidRPr="00000000">
        <w:rPr>
          <w:rtl w:val="0"/>
        </w:rPr>
      </w:r>
    </w:p>
    <w:p w:rsidR="00000000" w:rsidDel="00000000" w:rsidP="00000000" w:rsidRDefault="00000000" w:rsidRPr="00000000" w14:paraId="0000001B">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 Selection</w:t>
      </w:r>
      <w:r w:rsidDel="00000000" w:rsidR="00000000" w:rsidRPr="00000000">
        <w:rPr>
          <w:rtl w:val="0"/>
        </w:rPr>
      </w:r>
    </w:p>
    <w:p w:rsidR="00000000" w:rsidDel="00000000" w:rsidP="00000000" w:rsidRDefault="00000000" w:rsidRPr="00000000" w14:paraId="0000001C">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Six models were selected to represent the dominant paradigms in each domain. NLP is represented by GPT-4o (OpenAI, 2024), a large generative model, and BERT-base (Devlin et al., 2019), a compact encoder-only model. Computer Vision is represented by MobileNetV3 (Howard et al., 2019), optimized for edge deployment, and EfficientNetV2-L (Tan &amp; Le, 2021), a SOTA high-accuracy architecture. Tabular data is represented by XGBoost (Chen &amp; Guestrin, 2016) and LightGBM (Ke et al., 2017), both gradient-boosted tree frameworks dominant in structured-data applications.</w:t>
      </w:r>
    </w:p>
    <w:p w:rsidR="00000000" w:rsidDel="00000000" w:rsidP="00000000" w:rsidRDefault="00000000" w:rsidRPr="00000000" w14:paraId="0000001D">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 Sources</w:t>
      </w:r>
      <w:r w:rsidDel="00000000" w:rsidR="00000000" w:rsidRPr="00000000">
        <w:rPr>
          <w:rtl w:val="0"/>
        </w:rPr>
      </w:r>
    </w:p>
    <w:p w:rsidR="00000000" w:rsidDel="00000000" w:rsidP="00000000" w:rsidRDefault="00000000" w:rsidRPr="00000000" w14:paraId="0000001E">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Benchmark figures were drawn from each model's primary publication or official documentation. ImageNet Top-1 accuracy figures are from the respective model papers. MMLU and GLUE scores are from published evaluation reports. Inference speed figures represent approximate GPU latency under standard batch conditions and are intended as relative comparators rather than absolute hardware benchmarks. Explainability ratings reflect the availability of post-hoc interpretation methods (e.g., SHAP, attention visualization) rather than inherent model transparency.</w:t>
      </w:r>
    </w:p>
    <w:p w:rsidR="00000000" w:rsidDel="00000000" w:rsidP="00000000" w:rsidRDefault="00000000" w:rsidRPr="00000000" w14:paraId="0000001F">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Decision Matrix</w:t>
      </w:r>
      <w:r w:rsidDel="00000000" w:rsidR="00000000" w:rsidRPr="00000000">
        <w:rPr>
          <w:rtl w:val="0"/>
        </w:rPr>
      </w:r>
    </w:p>
    <w:p w:rsidR="00000000" w:rsidDel="00000000" w:rsidP="00000000" w:rsidRDefault="00000000" w:rsidRPr="00000000" w14:paraId="00000020">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table below summarizes the six models across all evaluation criteria. Ratings of High, Moderate, and Low are relative within each criterion column, not across columns.</w:t>
      </w:r>
    </w:p>
    <w:p w:rsidR="00000000" w:rsidDel="00000000" w:rsidP="00000000" w:rsidRDefault="00000000" w:rsidRPr="00000000" w14:paraId="00000021">
      <w:pPr>
        <w:spacing w:line="480" w:lineRule="auto"/>
        <w:rPr>
          <w:rFonts w:ascii="Arial" w:cs="Arial" w:eastAsia="Arial" w:hAnsi="Arial"/>
          <w:sz w:val="24"/>
          <w:szCs w:val="24"/>
        </w:rPr>
      </w:pP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100"/>
        <w:gridCol w:w="1200"/>
        <w:gridCol w:w="1100"/>
        <w:gridCol w:w="1100"/>
        <w:gridCol w:w="1100"/>
        <w:gridCol w:w="1360"/>
        <w:tblGridChange w:id="0">
          <w:tblGrid>
            <w:gridCol w:w="1400"/>
            <w:gridCol w:w="1100"/>
            <w:gridCol w:w="1200"/>
            <w:gridCol w:w="1100"/>
            <w:gridCol w:w="1100"/>
            <w:gridCol w:w="11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2">
            <w:pPr>
              <w:spacing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3">
            <w:pPr>
              <w:spacing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4">
            <w:pPr>
              <w:spacing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5">
            <w:pPr>
              <w:spacing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6">
            <w:pPr>
              <w:spacing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7">
            <w:pPr>
              <w:spacing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Explainability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20.0" w:type="dxa"/>
              <w:bottom w:w="80.0" w:type="dxa"/>
              <w:right w:w="120.0" w:type="dxa"/>
            </w:tcMar>
          </w:tcPr>
          <w:p w:rsidR="00000000" w:rsidDel="00000000" w:rsidP="00000000" w:rsidRDefault="00000000" w:rsidRPr="00000000" w14:paraId="00000028">
            <w:pPr>
              <w:spacing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Best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29">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GPT-4o</w:t>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2A">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NLP/GenAI</w:t>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2B">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~200B</w:t>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2C">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Very High</w:t>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2D">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Slow</w:t>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2E">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Low</w:t>
            </w:r>
          </w:p>
        </w:tc>
        <w:tc>
          <w:tcPr>
            <w:tcBorders>
              <w:top w:color="cccccc" w:space="0" w:sz="4" w:val="single"/>
              <w:left w:color="cccccc" w:space="0" w:sz="4" w:val="single"/>
              <w:bottom w:color="cccccc" w:space="0" w:sz="4" w:val="single"/>
              <w:right w:color="cccccc" w:space="0" w:sz="4" w:val="single"/>
            </w:tcBorders>
            <w:shd w:fill="e8f4f8" w:val="clear"/>
            <w:tcMar>
              <w:top w:w="80.0" w:type="dxa"/>
              <w:left w:w="120.0" w:type="dxa"/>
              <w:bottom w:w="80.0" w:type="dxa"/>
              <w:right w:w="120.0" w:type="dxa"/>
            </w:tcMar>
          </w:tcPr>
          <w:p w:rsidR="00000000" w:rsidDel="00000000" w:rsidP="00000000" w:rsidRDefault="00000000" w:rsidRPr="00000000" w14:paraId="0000002F">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Complex reasoning, content generation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BERT-base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NLP/Encoder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110M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Moderate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Classification, NER, search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c" w:val="clear"/>
            <w:tcMar>
              <w:top w:w="80.0" w:type="dxa"/>
              <w:left w:w="120.0" w:type="dxa"/>
              <w:bottom w:w="80.0" w:type="dxa"/>
              <w:right w:w="120.0" w:type="dxa"/>
            </w:tcMar>
          </w:tcPr>
          <w:p w:rsidR="00000000" w:rsidDel="00000000" w:rsidP="00000000" w:rsidRDefault="00000000" w:rsidRPr="00000000" w14:paraId="00000037">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MobileNetV3</w:t>
            </w:r>
          </w:p>
        </w:tc>
        <w:tc>
          <w:tcPr>
            <w:tcBorders>
              <w:top w:color="cccccc" w:space="0" w:sz="4" w:val="single"/>
              <w:left w:color="cccccc" w:space="0" w:sz="4" w:val="single"/>
              <w:bottom w:color="cccccc" w:space="0" w:sz="4" w:val="single"/>
              <w:right w:color="cccccc" w:space="0" w:sz="4" w:val="single"/>
            </w:tcBorders>
            <w:shd w:fill="fdf6ec" w:val="clear"/>
            <w:tcMar>
              <w:top w:w="80.0" w:type="dxa"/>
              <w:left w:w="120.0" w:type="dxa"/>
              <w:bottom w:w="80.0" w:type="dxa"/>
              <w:right w:w="120.0" w:type="dxa"/>
            </w:tcMar>
          </w:tcPr>
          <w:p w:rsidR="00000000" w:rsidDel="00000000" w:rsidP="00000000" w:rsidRDefault="00000000" w:rsidRPr="00000000" w14:paraId="00000038">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Vision</w:t>
            </w:r>
          </w:p>
        </w:tc>
        <w:tc>
          <w:tcPr>
            <w:tcBorders>
              <w:top w:color="cccccc" w:space="0" w:sz="4" w:val="single"/>
              <w:left w:color="cccccc" w:space="0" w:sz="4" w:val="single"/>
              <w:bottom w:color="cccccc" w:space="0" w:sz="4" w:val="single"/>
              <w:right w:color="cccccc" w:space="0" w:sz="4" w:val="single"/>
            </w:tcBorders>
            <w:shd w:fill="fdf6ec" w:val="clear"/>
            <w:tcMar>
              <w:top w:w="80.0" w:type="dxa"/>
              <w:left w:w="120.0" w:type="dxa"/>
              <w:bottom w:w="80.0" w:type="dxa"/>
              <w:right w:w="120.0" w:type="dxa"/>
            </w:tcMar>
          </w:tcPr>
          <w:p w:rsidR="00000000" w:rsidDel="00000000" w:rsidP="00000000" w:rsidRDefault="00000000" w:rsidRPr="00000000" w14:paraId="00000039">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5.4M</w:t>
            </w:r>
          </w:p>
        </w:tc>
        <w:tc>
          <w:tcPr>
            <w:tcBorders>
              <w:top w:color="cccccc" w:space="0" w:sz="4" w:val="single"/>
              <w:left w:color="cccccc" w:space="0" w:sz="4" w:val="single"/>
              <w:bottom w:color="cccccc" w:space="0" w:sz="4" w:val="single"/>
              <w:right w:color="cccccc" w:space="0" w:sz="4" w:val="single"/>
            </w:tcBorders>
            <w:shd w:fill="fdf6ec" w:val="clear"/>
            <w:tcMar>
              <w:top w:w="80.0" w:type="dxa"/>
              <w:left w:w="120.0" w:type="dxa"/>
              <w:bottom w:w="80.0" w:type="dxa"/>
              <w:right w:w="120.0" w:type="dxa"/>
            </w:tcMar>
          </w:tcPr>
          <w:p w:rsidR="00000000" w:rsidDel="00000000" w:rsidP="00000000" w:rsidRDefault="00000000" w:rsidRPr="00000000" w14:paraId="0000003A">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Moderate</w:t>
            </w:r>
          </w:p>
        </w:tc>
        <w:tc>
          <w:tcPr>
            <w:tcBorders>
              <w:top w:color="cccccc" w:space="0" w:sz="4" w:val="single"/>
              <w:left w:color="cccccc" w:space="0" w:sz="4" w:val="single"/>
              <w:bottom w:color="cccccc" w:space="0" w:sz="4" w:val="single"/>
              <w:right w:color="cccccc" w:space="0" w:sz="4" w:val="single"/>
            </w:tcBorders>
            <w:shd w:fill="fdf6ec" w:val="clear"/>
            <w:tcMar>
              <w:top w:w="80.0" w:type="dxa"/>
              <w:left w:w="120.0" w:type="dxa"/>
              <w:bottom w:w="80.0" w:type="dxa"/>
              <w:right w:w="120.0" w:type="dxa"/>
            </w:tcMar>
          </w:tcPr>
          <w:p w:rsidR="00000000" w:rsidDel="00000000" w:rsidP="00000000" w:rsidRDefault="00000000" w:rsidRPr="00000000" w14:paraId="0000003B">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Very Fast</w:t>
            </w:r>
          </w:p>
        </w:tc>
        <w:tc>
          <w:tcPr>
            <w:tcBorders>
              <w:top w:color="cccccc" w:space="0" w:sz="4" w:val="single"/>
              <w:left w:color="cccccc" w:space="0" w:sz="4" w:val="single"/>
              <w:bottom w:color="cccccc" w:space="0" w:sz="4" w:val="single"/>
              <w:right w:color="cccccc" w:space="0" w:sz="4" w:val="single"/>
            </w:tcBorders>
            <w:shd w:fill="fdf6ec" w:val="clear"/>
            <w:tcMar>
              <w:top w:w="80.0" w:type="dxa"/>
              <w:left w:w="120.0" w:type="dxa"/>
              <w:bottom w:w="80.0" w:type="dxa"/>
              <w:right w:w="120.0" w:type="dxa"/>
            </w:tcMar>
          </w:tcPr>
          <w:p w:rsidR="00000000" w:rsidDel="00000000" w:rsidP="00000000" w:rsidRDefault="00000000" w:rsidRPr="00000000" w14:paraId="0000003C">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Moderate</w:t>
            </w:r>
          </w:p>
        </w:tc>
        <w:tc>
          <w:tcPr>
            <w:tcBorders>
              <w:top w:color="cccccc" w:space="0" w:sz="4" w:val="single"/>
              <w:left w:color="cccccc" w:space="0" w:sz="4" w:val="single"/>
              <w:bottom w:color="cccccc" w:space="0" w:sz="4" w:val="single"/>
              <w:right w:color="cccccc" w:space="0" w:sz="4" w:val="single"/>
            </w:tcBorders>
            <w:shd w:fill="fdf6ec" w:val="clear"/>
            <w:tcMar>
              <w:top w:w="80.0" w:type="dxa"/>
              <w:left w:w="120.0" w:type="dxa"/>
              <w:bottom w:w="80.0" w:type="dxa"/>
              <w:right w:w="120.0" w:type="dxa"/>
            </w:tcMar>
          </w:tcPr>
          <w:p w:rsidR="00000000" w:rsidDel="00000000" w:rsidP="00000000" w:rsidRDefault="00000000" w:rsidRPr="00000000" w14:paraId="0000003D">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Edge, mobile, real-time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EfficientNetV2-L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Vision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120M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Very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Low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Medical imaging, fine-grained classification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eff" w:val="clear"/>
            <w:tcMar>
              <w:top w:w="80.0" w:type="dxa"/>
              <w:left w:w="120.0" w:type="dxa"/>
              <w:bottom w:w="80.0" w:type="dxa"/>
              <w:right w:w="120.0" w:type="dxa"/>
            </w:tcMar>
          </w:tcPr>
          <w:p w:rsidR="00000000" w:rsidDel="00000000" w:rsidP="00000000" w:rsidRDefault="00000000" w:rsidRPr="00000000" w14:paraId="00000045">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XGBoost</w:t>
            </w:r>
          </w:p>
        </w:tc>
        <w:tc>
          <w:tcPr>
            <w:tcBorders>
              <w:top w:color="cccccc" w:space="0" w:sz="4" w:val="single"/>
              <w:left w:color="cccccc" w:space="0" w:sz="4" w:val="single"/>
              <w:bottom w:color="cccccc" w:space="0" w:sz="4" w:val="single"/>
              <w:right w:color="cccccc" w:space="0" w:sz="4" w:val="single"/>
            </w:tcBorders>
            <w:shd w:fill="f3eeff" w:val="clear"/>
            <w:tcMar>
              <w:top w:w="80.0" w:type="dxa"/>
              <w:left w:w="120.0" w:type="dxa"/>
              <w:bottom w:w="80.0" w:type="dxa"/>
              <w:right w:w="120.0" w:type="dxa"/>
            </w:tcMar>
          </w:tcPr>
          <w:p w:rsidR="00000000" w:rsidDel="00000000" w:rsidP="00000000" w:rsidRDefault="00000000" w:rsidRPr="00000000" w14:paraId="00000046">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Tabular</w:t>
            </w:r>
          </w:p>
        </w:tc>
        <w:tc>
          <w:tcPr>
            <w:tcBorders>
              <w:top w:color="cccccc" w:space="0" w:sz="4" w:val="single"/>
              <w:left w:color="cccccc" w:space="0" w:sz="4" w:val="single"/>
              <w:bottom w:color="cccccc" w:space="0" w:sz="4" w:val="single"/>
              <w:right w:color="cccccc" w:space="0" w:sz="4" w:val="single"/>
            </w:tcBorders>
            <w:shd w:fill="f3eeff" w:val="clear"/>
            <w:tcMar>
              <w:top w:w="80.0" w:type="dxa"/>
              <w:left w:w="120.0" w:type="dxa"/>
              <w:bottom w:w="80.0" w:type="dxa"/>
              <w:right w:w="120.0" w:type="dxa"/>
            </w:tcMar>
          </w:tcPr>
          <w:p w:rsidR="00000000" w:rsidDel="00000000" w:rsidP="00000000" w:rsidRDefault="00000000" w:rsidRPr="00000000" w14:paraId="00000047">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&lt;100MB</w:t>
            </w:r>
          </w:p>
        </w:tc>
        <w:tc>
          <w:tcPr>
            <w:tcBorders>
              <w:top w:color="cccccc" w:space="0" w:sz="4" w:val="single"/>
              <w:left w:color="cccccc" w:space="0" w:sz="4" w:val="single"/>
              <w:bottom w:color="cccccc" w:space="0" w:sz="4" w:val="single"/>
              <w:right w:color="cccccc" w:space="0" w:sz="4" w:val="single"/>
            </w:tcBorders>
            <w:shd w:fill="f3eeff" w:val="clear"/>
            <w:tcMar>
              <w:top w:w="80.0" w:type="dxa"/>
              <w:left w:w="120.0" w:type="dxa"/>
              <w:bottom w:w="80.0" w:type="dxa"/>
              <w:right w:w="120.0" w:type="dxa"/>
            </w:tcMar>
          </w:tcPr>
          <w:p w:rsidR="00000000" w:rsidDel="00000000" w:rsidP="00000000" w:rsidRDefault="00000000" w:rsidRPr="00000000" w14:paraId="00000048">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c>
          <w:tcPr>
            <w:tcBorders>
              <w:top w:color="cccccc" w:space="0" w:sz="4" w:val="single"/>
              <w:left w:color="cccccc" w:space="0" w:sz="4" w:val="single"/>
              <w:bottom w:color="cccccc" w:space="0" w:sz="4" w:val="single"/>
              <w:right w:color="cccccc" w:space="0" w:sz="4" w:val="single"/>
            </w:tcBorders>
            <w:shd w:fill="f3eeff" w:val="clear"/>
            <w:tcMar>
              <w:top w:w="80.0" w:type="dxa"/>
              <w:left w:w="120.0" w:type="dxa"/>
              <w:bottom w:w="80.0" w:type="dxa"/>
              <w:right w:w="120.0" w:type="dxa"/>
            </w:tcMar>
          </w:tcPr>
          <w:p w:rsidR="00000000" w:rsidDel="00000000" w:rsidP="00000000" w:rsidRDefault="00000000" w:rsidRPr="00000000" w14:paraId="00000049">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Fast</w:t>
            </w:r>
          </w:p>
        </w:tc>
        <w:tc>
          <w:tcPr>
            <w:tcBorders>
              <w:top w:color="cccccc" w:space="0" w:sz="4" w:val="single"/>
              <w:left w:color="cccccc" w:space="0" w:sz="4" w:val="single"/>
              <w:bottom w:color="cccccc" w:space="0" w:sz="4" w:val="single"/>
              <w:right w:color="cccccc" w:space="0" w:sz="4" w:val="single"/>
            </w:tcBorders>
            <w:shd w:fill="f3eeff" w:val="clear"/>
            <w:tcMar>
              <w:top w:w="80.0" w:type="dxa"/>
              <w:left w:w="120.0" w:type="dxa"/>
              <w:bottom w:w="80.0" w:type="dxa"/>
              <w:right w:w="120.0" w:type="dxa"/>
            </w:tcMar>
          </w:tcPr>
          <w:p w:rsidR="00000000" w:rsidDel="00000000" w:rsidP="00000000" w:rsidRDefault="00000000" w:rsidRPr="00000000" w14:paraId="0000004A">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High (SHAP)</w:t>
            </w:r>
          </w:p>
        </w:tc>
        <w:tc>
          <w:tcPr>
            <w:tcBorders>
              <w:top w:color="cccccc" w:space="0" w:sz="4" w:val="single"/>
              <w:left w:color="cccccc" w:space="0" w:sz="4" w:val="single"/>
              <w:bottom w:color="cccccc" w:space="0" w:sz="4" w:val="single"/>
              <w:right w:color="cccccc" w:space="0" w:sz="4" w:val="single"/>
            </w:tcBorders>
            <w:shd w:fill="f3eeff" w:val="clear"/>
            <w:tcMar>
              <w:top w:w="80.0" w:type="dxa"/>
              <w:left w:w="120.0" w:type="dxa"/>
              <w:bottom w:w="80.0" w:type="dxa"/>
              <w:right w:w="120.0" w:type="dxa"/>
            </w:tcMar>
          </w:tcPr>
          <w:p w:rsidR="00000000" w:rsidDel="00000000" w:rsidP="00000000" w:rsidRDefault="00000000" w:rsidRPr="00000000" w14:paraId="0000004B">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Credit scoring, fraud detection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LightGBM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Tabular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&lt;50MB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Very Fast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High (SHAP)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High-volume, real-time pipelines</w:t>
            </w:r>
          </w:p>
        </w:tc>
      </w:tr>
    </w:tbl>
    <w:p w:rsidR="00000000" w:rsidDel="00000000" w:rsidP="00000000" w:rsidRDefault="00000000" w:rsidRPr="00000000" w14:paraId="00000053">
      <w:pPr>
        <w:spacing w:after="0" w:before="0" w:line="48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Analysis and Recommendations</w:t>
      </w:r>
      <w:r w:rsidDel="00000000" w:rsidR="00000000" w:rsidRPr="00000000">
        <w:rPr>
          <w:rtl w:val="0"/>
        </w:rPr>
      </w:r>
    </w:p>
    <w:p w:rsidR="00000000" w:rsidDel="00000000" w:rsidP="00000000" w:rsidRDefault="00000000" w:rsidRPr="00000000" w14:paraId="00000055">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NLP / Generative AI</w:t>
      </w:r>
      <w:r w:rsidDel="00000000" w:rsidR="00000000" w:rsidRPr="00000000">
        <w:rPr>
          <w:rtl w:val="0"/>
        </w:rPr>
      </w:r>
    </w:p>
    <w:p w:rsidR="00000000" w:rsidDel="00000000" w:rsidP="00000000" w:rsidRDefault="00000000" w:rsidRPr="00000000" w14:paraId="00000056">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GPT-4o represents the current frontier of generative language models, with benchmark performance on MMLU at 88.7% reflecting genuine multi-domain reasoning capability. However, its size and inference cost make it unsuitable for latency-critical or budget-constrained deployments. BERT-base occupies the opposite end of the size-speed spectrum: at 110M parameters it is easily fine-tuned on domain-specific data and serves classification and retrieval tasks at near-zero latency on commodity hardware. For organizations building production NLP pipelines, the optimal strategy is typically a two-tier architecture: BERT-class models for high-throughput routing and classification, GPT-class models reserved for complex generation tasks where quality justifies cost.</w:t>
      </w:r>
    </w:p>
    <w:p w:rsidR="00000000" w:rsidDel="00000000" w:rsidP="00000000" w:rsidRDefault="00000000" w:rsidRPr="00000000" w14:paraId="00000057">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Computer Vision</w:t>
      </w:r>
      <w:r w:rsidDel="00000000" w:rsidR="00000000" w:rsidRPr="00000000">
        <w:rPr>
          <w:rtl w:val="0"/>
        </w:rPr>
      </w:r>
    </w:p>
    <w:p w:rsidR="00000000" w:rsidDel="00000000" w:rsidP="00000000" w:rsidRDefault="00000000" w:rsidRPr="00000000" w14:paraId="00000058">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MobileNetV3 and EfficientNetV2-L represent a clear speed-accuracy frontier in the vision domain. MobileNetV3's 5.4M parameters enable sub-millisecond GPU inference and CPU deployment on mobile and IoT devices, making it the practical choice for real-time systems. EfficientNetV2-L, with compound scaling and progressive learning, achieves 87.3% ImageNet Top-1 accuracy — appropriate for applications where classification errors carry high costs, such as pathology imaging or industrial quality inspection. The principal limitation of both models is explainability: unlike tabular models, neural vision architectures require additional tooling (Grad-CAM, LIME) to produce human-interpretable explanations, and these explanations are approximations rather than exact attributions.</w:t>
      </w:r>
    </w:p>
    <w:p w:rsidR="00000000" w:rsidDel="00000000" w:rsidP="00000000" w:rsidRDefault="00000000" w:rsidRPr="00000000" w14:paraId="00000059">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Tabular Data</w:t>
      </w:r>
      <w:r w:rsidDel="00000000" w:rsidR="00000000" w:rsidRPr="00000000">
        <w:rPr>
          <w:rtl w:val="0"/>
        </w:rPr>
      </w:r>
    </w:p>
    <w:p w:rsidR="00000000" w:rsidDel="00000000" w:rsidP="00000000" w:rsidRDefault="00000000" w:rsidRPr="00000000" w14:paraId="0000005A">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XGBoost and LightGBM are the most production-mature models in this comparison. Both support SHAP-based feature attribution natively, providing the highest explainability of any model in the matrix — a decisive advantage in regulated contexts. XGBoost is the more conservative choice with extensive community support and battle-tested reliability; LightGBM's leaf-wise growth strategy and histogram-based splits reduce training time by an order of magnitude on large datasets, making it the preferred option for pipelines processing millions of rows. Neither model requires GPUs, significantly reducing operational cost relative to the deep learning alternatives.</w:t>
      </w:r>
    </w:p>
    <w:p w:rsidR="00000000" w:rsidDel="00000000" w:rsidP="00000000" w:rsidRDefault="00000000" w:rsidRPr="00000000" w14:paraId="0000005B">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Design Rationale</w:t>
      </w:r>
      <w:r w:rsidDel="00000000" w:rsidR="00000000" w:rsidRPr="00000000">
        <w:rPr>
          <w:rtl w:val="0"/>
        </w:rPr>
      </w:r>
    </w:p>
    <w:p w:rsidR="00000000" w:rsidDel="00000000" w:rsidP="00000000" w:rsidRDefault="00000000" w:rsidRPr="00000000" w14:paraId="0000005C">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portfolio artifact uses a dark-themed HTML infographic with a grid background to convey a technical, data-engineering aesthetic appropriate to the subject matter. Domain color-coding — teal for NLP, amber for Computer Vision, violet for Tabular — is applied consistently across cards, table rows, and recommendation panels to create a unified visual language. Horizontal bar charts on each model card give proportional visual weight to the size-accuracy-speed tradeoffs without requiring the viewer to parse raw numbers. The decision matrix table consolidates all six models into a single scannable view, with color-coded row shading by domain to reinforce the grouping. Recommendation cards synthesize the analysis into actionable guidance organized by deployment scenario rather than by model, reflecting how practitioners actually make selection decisions.</w:t>
      </w:r>
    </w:p>
    <w:p w:rsidR="00000000" w:rsidDel="00000000" w:rsidP="00000000" w:rsidRDefault="00000000" w:rsidRPr="00000000" w14:paraId="0000005D">
      <w:pPr>
        <w:spacing w:after="0" w:before="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E">
      <w:pPr>
        <w:spacing w:after="0" w:before="0" w:line="4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single pre-trained model is optimal across all deployment contexts. GPT-4o maximizes output quality at significant compute cost; BERT-base maximizes speed and deployability at moderate accuracy; MobileNetV3 and EfficientNetV2-L represent the edge-accuracy frontier in vision; XGBoost and LightGBM offer the most interpretable and production-efficient tabular solutions. Effective model selection requires matching these characteristics to the specific constraints of the application — regulatory requirements, infrastructure budget, latency tolerance, and accuracy thresholds — rather than defaulting to whichever model achieves the highest benchmark score. The decision matrix presented here provides a structured framework for that matching process.</w:t>
      </w:r>
    </w:p>
    <w:p w:rsidR="00000000" w:rsidDel="00000000" w:rsidP="00000000" w:rsidRDefault="00000000" w:rsidRPr="00000000" w14:paraId="0000005F">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before="0" w:line="48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before="0" w:line="480" w:lineRule="auto"/>
        <w:jc w:val="left"/>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0" w:before="0" w:line="48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References</w:t>
      </w:r>
      <w:r w:rsidDel="00000000" w:rsidR="00000000" w:rsidRPr="00000000">
        <w:rPr>
          <w:rtl w:val="0"/>
        </w:rPr>
      </w:r>
    </w:p>
    <w:p w:rsidR="00000000" w:rsidDel="00000000" w:rsidP="00000000" w:rsidRDefault="00000000" w:rsidRPr="00000000" w14:paraId="0000006F">
      <w:pPr>
        <w:spacing w:line="480" w:lineRule="auto"/>
        <w:ind w:left="720" w:hanging="72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Chen, T., &amp; Guestrin, C. (2016). XGBoost: A scalable tree boosting system. Proceedings of the 22nd ACM SIGKDD International Conference on Knowledge Discovery and Data Mining, 785–794.</w:t>
      </w:r>
    </w:p>
    <w:p w:rsidR="00000000" w:rsidDel="00000000" w:rsidP="00000000" w:rsidRDefault="00000000" w:rsidRPr="00000000" w14:paraId="00000070">
      <w:pPr>
        <w:spacing w:line="480" w:lineRule="auto"/>
        <w:ind w:left="720" w:hanging="72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Devlin, J., Chang, M.-W., Lee, K., &amp; Toutanova, K. (2019). BERT: Pre-training of deep bidirectional transformers for language understanding. Proceedings of NAACL-HLT 2019, 4171–4186.</w:t>
      </w:r>
    </w:p>
    <w:p w:rsidR="00000000" w:rsidDel="00000000" w:rsidP="00000000" w:rsidRDefault="00000000" w:rsidRPr="00000000" w14:paraId="00000071">
      <w:pPr>
        <w:spacing w:line="480" w:lineRule="auto"/>
        <w:ind w:left="720" w:hanging="72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Howard, A., Sandler, M., Chu, G., Chen, L.-C., Chen, B., Tan, M., Wang, W., Zhu, Y., Pang, R., Vasudevan, V., Le, Q. V., &amp; Adam, H. (2019). Searching for MobileNetV3. Proceedings of the IEEE/CVF International Conference on Computer Vision, 1314–1324.</w:t>
      </w:r>
    </w:p>
    <w:p w:rsidR="00000000" w:rsidDel="00000000" w:rsidP="00000000" w:rsidRDefault="00000000" w:rsidRPr="00000000" w14:paraId="00000072">
      <w:pPr>
        <w:spacing w:line="480" w:lineRule="auto"/>
        <w:ind w:left="720" w:hanging="72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Ke, G., Meng, Q., Finley, T., Wang, T., Chen, W., Ma, W., Ye, Q., &amp; Liu, T.-Y. (2017). LightGBM: A highly efficient gradient boosting decision tree. Advances in Neural Information Processing Systems, 30, 3146–3154.</w:t>
      </w:r>
    </w:p>
    <w:p w:rsidR="00000000" w:rsidDel="00000000" w:rsidP="00000000" w:rsidRDefault="00000000" w:rsidRPr="00000000" w14:paraId="00000073">
      <w:pPr>
        <w:spacing w:line="480" w:lineRule="auto"/>
        <w:ind w:left="720" w:hanging="72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OpenAI. (2024). GPT-4o system card. https://openai.com/index/gpt-4o-system-card/</w:t>
      </w:r>
    </w:p>
    <w:p w:rsidR="00000000" w:rsidDel="00000000" w:rsidP="00000000" w:rsidRDefault="00000000" w:rsidRPr="00000000" w14:paraId="00000074">
      <w:pPr>
        <w:spacing w:line="480" w:lineRule="auto"/>
        <w:ind w:left="720" w:hanging="72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Tan, M., &amp; Le, Q. V. (2021). EfficientNetV2: Smaller models and faster training. Proceedings of the 38th International Conference on Machine Learning, 10096–10106.</w:t>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pPr>
    <w:r w:rsidDel="00000000" w:rsidR="00000000" w:rsidRPr="00000000">
      <w:rPr>
        <w:rFonts w:ascii="Times New Roman" w:cs="Times New Roman" w:eastAsia="Times New Roman" w:hAnsi="Times New Roman"/>
        <w:sz w:val="20"/>
        <w:szCs w:val="20"/>
        <w:rtl w:val="0"/>
      </w:rPr>
      <w:t xml:space="preserve">PRE-TRAINED MODEL DECISION MATRIX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