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smallCaps w:val="1"/>
          <w:color w:val="2e75b6"/>
          <w:sz w:val="20"/>
          <w:szCs w:val="20"/>
          <w:rtl w:val="0"/>
        </w:rPr>
        <w:t xml:space="preserve">GRAPHIC EXPLANATORY DOCUMENT</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1f4e79"/>
          <w:sz w:val="38"/>
          <w:szCs w:val="38"/>
          <w:rtl w:val="0"/>
        </w:rPr>
        <w:t xml:space="preserve">Explainable AI:</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i w:val="1"/>
          <w:iCs w:val="1"/>
          <w:color w:val="595959"/>
          <w:sz w:val="22"/>
          <w:szCs w:val="22"/>
          <w:rtl w:val="0"/>
        </w:rPr>
        <w:t xml:space="preserve">Transparency, Validation, and Trust in Frontier LLMs</w:t>
      </w:r>
      <w:r w:rsidDel="00000000" w:rsidR="00000000" w:rsidRPr="00000000">
        <w:rPr>
          <w:rtl w:val="0"/>
        </w:rPr>
      </w:r>
    </w:p>
    <w:p w:rsidR="00000000" w:rsidDel="00000000" w:rsidP="00000000" w:rsidRDefault="00000000" w:rsidRPr="00000000" w14:paraId="00000005">
      <w:pPr>
        <w:spacing w:after="0" w:before="400" w:lineRule="auto"/>
        <w:rPr/>
      </w:pPr>
      <w:r w:rsidDel="00000000" w:rsidR="00000000" w:rsidRPr="00000000">
        <w:rPr>
          <w:rtl w:val="0"/>
        </w:rPr>
      </w:r>
    </w:p>
    <w:p w:rsidR="00000000" w:rsidDel="00000000" w:rsidP="00000000" w:rsidRDefault="00000000" w:rsidRPr="00000000" w14:paraId="00000006">
      <w:pPr>
        <w:spacing w:after="120" w:before="80" w:line="340" w:lineRule="auto"/>
        <w:jc w:val="both"/>
        <w:rPr/>
      </w:pPr>
      <w:r w:rsidDel="00000000" w:rsidR="00000000" w:rsidRPr="00000000">
        <w:rPr>
          <w:rFonts w:ascii="Arial" w:cs="Arial" w:eastAsia="Arial" w:hAnsi="Arial"/>
          <w:color w:val="1a1a1a"/>
          <w:sz w:val="24"/>
          <w:szCs w:val="24"/>
          <w:rtl w:val="0"/>
        </w:rPr>
        <w:t xml:space="preserve">The infographic presents a structured, four-section analysis of Explainable AI (XAI) as it applies to frontier large language models including GPT-4 (OpenAI), Claude (Anthropic), Gemini (Google DeepMind), and LLaMA (Meta AI). The first section establishes the definition and stakes of XAI: it is not simply a technical feature but a prerequisite for deploying AI in high-stakes domains — healthcare, finance, law, and public policy — where decisions must be justifiable, auditable, and contestable by affected parties. The second section maps the six most significant challenges practitioners face in achieving explainability: the sheer scale of parameters in frontier models (estimated 1.8 trillion in GPT-4 alone), the opacity of non-linear transformer computations, emergent behaviors that arise unpredictably at scale, the faithfulness gap between post-hoc explanations and true internal reasoning, cross-jurisdictional regulatory complexity, and the fundamental accuracy-interpretability tradeoff that makes simpler, more transparent models less capable. The third section presents the validation pipeline — from train-test splits through cross-validation, metric evaluation (Accuracy, Precision, Recall, F1 Score, ROC-AUC), confusion matrix analysis, and ultimately red-teaming — as the operational process by which trust in a model is earned, not assumed. The fourth section surveys current solutions: technical methods such as SHAP values, LIME, attention visualization, probing classifiers, and chain-of-thought prompting; and organizational approaches including Anthropic's Constitutional AI methodology, OpenAI's preparedness framework, Google's PAIR research team, and Meta's open-weights release strategy with community auditing.</w:t>
      </w:r>
      <w:r w:rsidDel="00000000" w:rsidR="00000000" w:rsidRPr="00000000">
        <w:rPr>
          <w:rtl w:val="0"/>
        </w:rPr>
      </w:r>
    </w:p>
    <w:p w:rsidR="00000000" w:rsidDel="00000000" w:rsidP="00000000" w:rsidRDefault="00000000" w:rsidRPr="00000000" w14:paraId="00000007">
      <w:pPr>
        <w:spacing w:after="0" w:before="140" w:lineRule="auto"/>
        <w:rPr/>
      </w:pPr>
      <w:r w:rsidDel="00000000" w:rsidR="00000000" w:rsidRPr="00000000">
        <w:rPr>
          <w:rtl w:val="0"/>
        </w:rPr>
      </w:r>
    </w:p>
    <w:p w:rsidR="00000000" w:rsidDel="00000000" w:rsidP="00000000" w:rsidRDefault="00000000" w:rsidRPr="00000000" w14:paraId="00000008">
      <w:pPr>
        <w:spacing w:after="120" w:before="80" w:line="340" w:lineRule="auto"/>
        <w:jc w:val="both"/>
        <w:rPr/>
      </w:pPr>
      <w:r w:rsidDel="00000000" w:rsidR="00000000" w:rsidRPr="00000000">
        <w:rPr>
          <w:rFonts w:ascii="Arial" w:cs="Arial" w:eastAsia="Arial" w:hAnsi="Arial"/>
          <w:color w:val="1a1a1a"/>
          <w:sz w:val="24"/>
          <w:szCs w:val="24"/>
          <w:rtl w:val="0"/>
        </w:rPr>
        <w:t xml:space="preserve">The design of this infographic reflects a deliberate argument about how explainability, validation, and performance metrics interact to build — or undermine — trust in AI systems. Explainability addresses the question of whether a model's reasoning process is transparent enough to be scrutinized; validation addresses whether its measured performance holds on data it has never seen; and performance metrics provide the quantitative language for communicating both. None of these alone is sufficient. A model can be highly accurate on its test set and still be untrustworthy if its reasoning cannot be inspected for hidden biases or failure modes. Conversely, a fully transparent model with poor validation methodology produces explanations that are clear but unreliable. The four-section structure of the infographic encodes this argument visually: moving from definition to challenges to measurement to solutions follows the logical sequence a practitioner must work through when building a responsible AI system. The organization-specific examples in Section 4 were chosen to show that the leading labs are converging on explainability as a shared technical and ethical priority — not just as a compliance obligation — which makes understanding these approaches directly relevant to anyone working in applied AI. The metric bar chart is intentionally modest in its performance numbers to illustrate that high trust requires the full diagnostic picture, not just headline accuracy figures.</w:t>
      </w:r>
      <w:r w:rsidDel="00000000" w:rsidR="00000000" w:rsidRPr="00000000">
        <w:rPr>
          <w:rtl w:val="0"/>
        </w:rPr>
      </w:r>
    </w:p>
    <w:p w:rsidR="00000000" w:rsidDel="00000000" w:rsidP="00000000" w:rsidRDefault="00000000" w:rsidRPr="00000000" w14:paraId="00000009">
      <w:pPr>
        <w:spacing w:after="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140.0" w:type="dxa"/>
              <w:left w:w="220.0" w:type="dxa"/>
              <w:bottom w:w="140.0" w:type="dxa"/>
              <w:right w:w="220.0" w:type="dxa"/>
            </w:tcMar>
          </w:tcPr>
          <w:p w:rsidR="00000000" w:rsidDel="00000000" w:rsidP="00000000" w:rsidRDefault="00000000" w:rsidRPr="00000000" w14:paraId="0000000A">
            <w:pPr>
              <w:spacing w:after="80" w:before="0" w:lineRule="auto"/>
              <w:rPr/>
            </w:pPr>
            <w:r w:rsidDel="00000000" w:rsidR="00000000" w:rsidRPr="00000000">
              <w:rPr>
                <w:rFonts w:ascii="Arial" w:cs="Arial" w:eastAsia="Arial" w:hAnsi="Arial"/>
                <w:b w:val="1"/>
                <w:bCs w:val="1"/>
                <w:color w:val="1f4e79"/>
                <w:sz w:val="24"/>
                <w:szCs w:val="24"/>
                <w:rtl w:val="0"/>
              </w:rPr>
              <w:t xml:space="preserve">Design rationale summary</w:t>
            </w:r>
            <w:r w:rsidDel="00000000" w:rsidR="00000000" w:rsidRPr="00000000">
              <w:rPr>
                <w:rtl w:val="0"/>
              </w:rPr>
            </w:r>
          </w:p>
          <w:p w:rsidR="00000000" w:rsidDel="00000000" w:rsidP="00000000" w:rsidRDefault="00000000" w:rsidRPr="00000000" w14:paraId="0000000B">
            <w:pPr>
              <w:spacing w:after="0" w:before="0" w:lineRule="auto"/>
              <w:jc w:val="both"/>
              <w:rPr/>
            </w:pPr>
            <w:r w:rsidDel="00000000" w:rsidR="00000000" w:rsidRPr="00000000">
              <w:rPr>
                <w:rFonts w:ascii="Arial Unicode MS" w:cs="Arial Unicode MS" w:eastAsia="Arial Unicode MS" w:hAnsi="Arial Unicode MS"/>
                <w:color w:val="1a1a1a"/>
                <w:sz w:val="24"/>
                <w:szCs w:val="24"/>
                <w:rtl w:val="0"/>
              </w:rPr>
              <w:t xml:space="preserve">Definition → challenges → measurement → solutions. Each section of the infographic adds a layer of evidence that the previous one cannot supply alone. Explainability without validation is speculation; validation without explainability is a black box; neither without performance metrics gives practitioners the evidence base to make defensible deployment decisions. The graphic is designed to communicate this interdependence clearly to a technically varied audience.</w:t>
            </w:r>
            <w:r w:rsidDel="00000000" w:rsidR="00000000" w:rsidRPr="00000000">
              <w:rPr>
                <w:rtl w:val="0"/>
              </w:rPr>
            </w:r>
          </w:p>
        </w:tc>
      </w:tr>
    </w:tbl>
    <w:p w:rsidR="00000000" w:rsidDel="00000000" w:rsidP="00000000" w:rsidRDefault="00000000" w:rsidRPr="00000000" w14:paraId="0000000C">
      <w:pPr>
        <w:spacing w:after="0" w:before="6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color="d6e4f0" w:space="4" w:sz="4" w:val="single"/>
      </w:pBdr>
      <w:spacing w:after="0" w:before="80" w:lineRule="auto"/>
      <w:rPr/>
    </w:pPr>
    <w:r w:rsidDel="00000000" w:rsidR="00000000" w:rsidRPr="00000000">
      <w:rPr>
        <w:rFonts w:ascii="Arial" w:cs="Arial" w:eastAsia="Arial" w:hAnsi="Arial"/>
        <w:color w:val="595959"/>
        <w:sz w:val="18"/>
        <w:szCs w:val="18"/>
        <w:rtl w:val="0"/>
      </w:rPr>
      <w:t xml:space="preserve">Explainability, Validation &amp; Trust in AI Systems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bottom w:color="2e75b6" w:space="4" w:sz="6" w:val="single"/>
      </w:pBdr>
      <w:spacing w:after="80" w:before="0" w:lineRule="auto"/>
      <w:rPr/>
    </w:pPr>
    <w:r w:rsidDel="00000000" w:rsidR="00000000" w:rsidRPr="00000000">
      <w:rPr>
        <w:rFonts w:ascii="Arial" w:cs="Arial" w:eastAsia="Arial" w:hAnsi="Arial"/>
        <w:b w:val="1"/>
        <w:bCs w:val="1"/>
        <w:color w:val="595959"/>
        <w:sz w:val="18"/>
        <w:szCs w:val="18"/>
        <w:rtl w:val="0"/>
      </w:rPr>
      <w:t xml:space="preserve">Explainable AI — Graphic Explanatory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