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rial" w:hAnsi="Arial"/>
          <w:b/>
          <w:color w:val="17365D"/>
          <w:sz w:val="50"/>
        </w:rPr>
        <w:t>SMART FILE BACKUP SYSTEM</w:t>
      </w:r>
    </w:p>
    <w:p>
      <w:pPr>
        <w:jc w:val="center"/>
      </w:pPr>
      <w:r>
        <w:rPr>
          <w:b/>
          <w:color w:val="1F4E79"/>
          <w:sz w:val="34"/>
        </w:rPr>
        <w:t>Cross-Team Integration &amp; Deployment Plan</w:t>
      </w:r>
    </w:p>
    <w:p>
      <w:pPr>
        <w:spacing w:before="240"/>
        <w:jc w:val="center"/>
      </w:pPr>
      <w:r>
        <w:rPr>
          <w:sz w:val="22"/>
        </w:rPr>
        <w:t>Teams A, B, C and D | Working agreement for a 1–2 day integration sprint</w:t>
      </w:r>
    </w:p>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17365D"/>
          </w:tcPr>
          <w:p>
            <w:pPr>
              <w:spacing w:after="0"/>
            </w:pPr>
            <w:r/>
            <w:r>
              <w:rPr>
                <w:rFonts w:ascii="Arial" w:hAnsi="Arial"/>
                <w:b/>
                <w:color w:val="FFFFFF"/>
                <w:sz w:val="17"/>
              </w:rPr>
              <w:t>Document purpose</w:t>
            </w:r>
          </w:p>
        </w:tc>
        <w:tc>
          <w:tcPr>
            <w:tcW w:type="dxa" w:w="8136"/>
            <w:vAlign w:val="center"/>
            <w:shd w:fill="17365D"/>
          </w:tcPr>
          <w:p>
            <w:pPr>
              <w:spacing w:after="0"/>
            </w:pPr>
            <w:r/>
            <w:r>
              <w:rPr>
                <w:rFonts w:ascii="Arial" w:hAnsi="Arial"/>
                <w:b/>
                <w:color w:val="FFFFFF"/>
                <w:sz w:val="17"/>
              </w:rPr>
              <w:t>Scope</w:t>
            </w:r>
          </w:p>
        </w:tc>
      </w:tr>
      <w:tr>
        <w:tc>
          <w:tcPr>
            <w:tcW w:type="dxa" w:w="2232"/>
            <w:vAlign w:val="center"/>
          </w:tcPr>
          <w:p>
            <w:pPr>
              <w:spacing w:after="0"/>
            </w:pPr>
            <w:r/>
            <w:r>
              <w:rPr>
                <w:rFonts w:ascii="Arial" w:hAnsi="Arial"/>
                <w:b w:val="0"/>
                <w:sz w:val="16"/>
              </w:rPr>
              <w:t>Align independently developed services before integration.</w:t>
            </w:r>
          </w:p>
        </w:tc>
        <w:tc>
          <w:tcPr>
            <w:tcW w:type="dxa" w:w="8136"/>
            <w:vAlign w:val="center"/>
          </w:tcPr>
          <w:p>
            <w:pPr>
              <w:spacing w:after="0"/>
            </w:pPr>
            <w:r/>
            <w:r>
              <w:rPr>
                <w:rFonts w:ascii="Arial" w:hAnsi="Arial"/>
                <w:b w:val="0"/>
                <w:sz w:val="16"/>
              </w:rPr>
              <w:t>Roles, shared contracts, dependencies, end-to-end workflow, integration sequence, test gates, deployment, and team communication.</w:t>
            </w:r>
          </w:p>
        </w:tc>
      </w:tr>
      <w:tr>
        <w:tc>
          <w:tcPr>
            <w:tcW w:type="dxa" w:w="2232"/>
            <w:vAlign w:val="center"/>
          </w:tcPr>
          <w:p>
            <w:pPr>
              <w:spacing w:after="0"/>
            </w:pPr>
            <w:r/>
            <w:r>
              <w:rPr>
                <w:rFonts w:ascii="Arial" w:hAnsi="Arial"/>
                <w:b w:val="0"/>
                <w:sz w:val="16"/>
              </w:rPr>
              <w:t>Primary rule</w:t>
            </w:r>
          </w:p>
        </w:tc>
        <w:tc>
          <w:tcPr>
            <w:tcW w:type="dxa" w:w="8136"/>
            <w:vAlign w:val="center"/>
          </w:tcPr>
          <w:p>
            <w:pPr>
              <w:spacing w:after="0"/>
            </w:pPr>
            <w:r/>
            <w:r>
              <w:rPr>
                <w:rFonts w:ascii="Arial" w:hAnsi="Arial"/>
                <w:b w:val="0"/>
                <w:sz w:val="16"/>
              </w:rPr>
              <w:t>Keep Team D's existing frontend/backend/API clients stable where practical. Other teams should adapt to the agreed contracts; any unavoidable cross-team contract change must be approved by all affected owners.</w:t>
            </w:r>
          </w:p>
        </w:tc>
      </w:tr>
      <w:tr>
        <w:tc>
          <w:tcPr>
            <w:tcW w:type="dxa" w:w="2232"/>
            <w:vAlign w:val="center"/>
          </w:tcPr>
          <w:p>
            <w:pPr>
              <w:spacing w:after="0"/>
            </w:pPr>
            <w:r/>
            <w:r>
              <w:rPr>
                <w:rFonts w:ascii="Arial" w:hAnsi="Arial"/>
                <w:b w:val="0"/>
                <w:sz w:val="16"/>
              </w:rPr>
              <w:t>Status of this document</w:t>
            </w:r>
          </w:p>
        </w:tc>
        <w:tc>
          <w:tcPr>
            <w:tcW w:type="dxa" w:w="8136"/>
            <w:vAlign w:val="center"/>
          </w:tcPr>
          <w:p>
            <w:pPr>
              <w:spacing w:after="0"/>
            </w:pPr>
            <w:r/>
            <w:r>
              <w:rPr>
                <w:rFonts w:ascii="Arial" w:hAnsi="Arial"/>
                <w:b w:val="0"/>
                <w:sz w:val="16"/>
              </w:rPr>
              <w:t>Proposed integration baseline. API paths known from Team D are listed as existing expectations, not proof that the other teams already implement them. Teams must confirm actual behavior before coding.</w:t>
            </w:r>
          </w:p>
        </w:tc>
      </w:tr>
    </w:tbl>
    <w:p/>
    <w:p>
      <w:r>
        <w:br w:type="page"/>
      </w:r>
    </w:p>
    <w:p>
      <w:pPr>
        <w:pStyle w:val="Heading1"/>
      </w:pPr>
      <w:r>
        <w:t>1. Objective and integration principles</w:t>
      </w:r>
    </w:p>
    <w:p>
      <w:r>
        <w:t>The four teams developed separate modules with limited early coordination. The goal is to connect those modules into one working Smart File Backup System, validate real file backup and restore, and deploy a stable website. This document is the shared working plan; it is not a claim that integration has already succeeded.</w:t>
      </w:r>
    </w:p>
    <w:p>
      <w:pPr>
        <w:pStyle w:val="ListBullet"/>
        <w:spacing w:after="40"/>
      </w:pPr>
      <w:r>
        <w:t>Preserve existing work. Do not rewrite a working frontend or backend just to match a newly invented contract.</w:t>
      </w:r>
    </w:p>
    <w:p>
      <w:pPr>
        <w:pStyle w:val="ListBullet"/>
        <w:spacing w:after="40"/>
      </w:pPr>
      <w:r>
        <w:t>Treat the contracts below as the proposed baseline. Where Team D already has a client contract, the relevant service should match it when practical.</w:t>
      </w:r>
    </w:p>
    <w:p>
      <w:pPr>
        <w:pStyle w:val="ListBullet"/>
        <w:spacing w:after="40"/>
      </w:pPr>
      <w:r>
        <w:t>Agree on identifiers and ownership before connecting services: user_id, file_id, version_id, backup_id, job_id, dedup result ID, storage bucket/key.</w:t>
      </w:r>
    </w:p>
    <w:p>
      <w:pPr>
        <w:pStyle w:val="ListBullet"/>
        <w:spacing w:after="40"/>
      </w:pPr>
      <w:r>
        <w:t>No mock success in acceptance tests. A completed backup/restore must be verified using actual stored bytes and checksums.</w:t>
      </w:r>
    </w:p>
    <w:p>
      <w:pPr>
        <w:pStyle w:val="ListBullet"/>
        <w:spacing w:after="40"/>
      </w:pPr>
      <w:r>
        <w:t>Do not expose service secrets, database credentials, Backblaze B2 keys, JWT secrets, or internal APIs in frontend code, Git, chat messages, or public documentation.</w:t>
      </w:r>
    </w:p>
    <w:p>
      <w:pPr>
        <w:pStyle w:val="ListBullet"/>
        <w:spacing w:after="40"/>
      </w:pPr>
      <w:r>
        <w:t>If a contract change is unavoidable, the owning teams must agree on the change, update the contract, and notify Team D before implementation.</w:t>
      </w:r>
    </w:p>
    <w:p>
      <w:pPr>
        <w:pStyle w:val="Heading1"/>
      </w:pPr>
      <w:r>
        <w:t>2. Team responsibilities and ownership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17365D"/>
          </w:tcPr>
          <w:p>
            <w:pPr>
              <w:spacing w:after="0"/>
            </w:pPr>
            <w:r/>
            <w:r>
              <w:rPr>
                <w:rFonts w:ascii="Arial" w:hAnsi="Arial"/>
                <w:b/>
                <w:color w:val="FFFFFF"/>
                <w:sz w:val="17"/>
              </w:rPr>
              <w:t>Team</w:t>
            </w:r>
          </w:p>
        </w:tc>
        <w:tc>
          <w:tcPr>
            <w:tcW w:type="dxa" w:w="2376"/>
            <w:vAlign w:val="center"/>
            <w:shd w:fill="17365D"/>
          </w:tcPr>
          <w:p>
            <w:pPr>
              <w:spacing w:after="0"/>
            </w:pPr>
            <w:r/>
            <w:r>
              <w:rPr>
                <w:rFonts w:ascii="Arial" w:hAnsi="Arial"/>
                <w:b/>
                <w:color w:val="FFFFFF"/>
                <w:sz w:val="17"/>
              </w:rPr>
              <w:t>Primary responsibility</w:t>
            </w:r>
          </w:p>
        </w:tc>
        <w:tc>
          <w:tcPr>
            <w:tcW w:type="dxa" w:w="3456"/>
            <w:vAlign w:val="center"/>
            <w:shd w:fill="17365D"/>
          </w:tcPr>
          <w:p>
            <w:pPr>
              <w:spacing w:after="0"/>
            </w:pPr>
            <w:r/>
            <w:r>
              <w:rPr>
                <w:rFonts w:ascii="Arial" w:hAnsi="Arial"/>
                <w:b/>
                <w:color w:val="FFFFFF"/>
                <w:sz w:val="17"/>
              </w:rPr>
              <w:t>Owns / must deliver</w:t>
            </w:r>
          </w:p>
        </w:tc>
        <w:tc>
          <w:tcPr>
            <w:tcW w:type="dxa" w:w="2448"/>
            <w:vAlign w:val="center"/>
            <w:shd w:fill="17365D"/>
          </w:tcPr>
          <w:p>
            <w:pPr>
              <w:spacing w:after="0"/>
            </w:pPr>
            <w:r/>
            <w:r>
              <w:rPr>
                <w:rFonts w:ascii="Arial" w:hAnsi="Arial"/>
                <w:b/>
                <w:color w:val="FFFFFF"/>
                <w:sz w:val="17"/>
              </w:rPr>
              <w:t>Must coordinate with</w:t>
            </w:r>
          </w:p>
        </w:tc>
      </w:tr>
      <w:tr>
        <w:tc>
          <w:tcPr>
            <w:tcW w:type="dxa" w:w="1800"/>
            <w:vAlign w:val="center"/>
          </w:tcPr>
          <w:p>
            <w:pPr>
              <w:spacing w:after="0"/>
            </w:pPr>
            <w:r/>
            <w:r>
              <w:rPr>
                <w:rFonts w:ascii="Arial" w:hAnsi="Arial"/>
                <w:b w:val="0"/>
                <w:sz w:val="16"/>
              </w:rPr>
              <w:t>Team A — Backup Scheduler &amp; Executor</w:t>
            </w:r>
          </w:p>
        </w:tc>
        <w:tc>
          <w:tcPr>
            <w:tcW w:type="dxa" w:w="2376"/>
            <w:vAlign w:val="center"/>
          </w:tcPr>
          <w:p>
            <w:pPr>
              <w:spacing w:after="0"/>
            </w:pPr>
            <w:r/>
            <w:r>
              <w:rPr>
                <w:rFonts w:ascii="Arial" w:hAnsi="Arial"/>
                <w:b w:val="0"/>
                <w:sz w:val="16"/>
              </w:rPr>
              <w:t>Accept, schedule, execute and track backup/restore jobs; expose job state and progress.</w:t>
            </w:r>
          </w:p>
        </w:tc>
        <w:tc>
          <w:tcPr>
            <w:tcW w:type="dxa" w:w="3456"/>
            <w:vAlign w:val="center"/>
          </w:tcPr>
          <w:p>
            <w:pPr>
              <w:spacing w:after="0"/>
            </w:pPr>
            <w:r/>
            <w:r>
              <w:rPr>
                <w:rFonts w:ascii="Arial" w:hAnsi="Arial"/>
                <w:b w:val="0"/>
                <w:sz w:val="16"/>
              </w:rPr>
              <w:t>Job API, worker/execution logic, job lifecycle, retries/idempotency, metrics/events, execution logs.</w:t>
            </w:r>
          </w:p>
        </w:tc>
        <w:tc>
          <w:tcPr>
            <w:tcW w:type="dxa" w:w="2448"/>
            <w:vAlign w:val="center"/>
          </w:tcPr>
          <w:p>
            <w:pPr>
              <w:spacing w:after="0"/>
            </w:pPr>
            <w:r/>
            <w:r>
              <w:rPr>
                <w:rFonts w:ascii="Arial" w:hAnsi="Arial"/>
                <w:b w:val="0"/>
                <w:sz w:val="16"/>
              </w:rPr>
              <w:t>B for chunk/dedup/integrity work; C for authoritative file/version/backup/restore metadata and storage references; D for API contract.</w:t>
            </w:r>
          </w:p>
        </w:tc>
      </w:tr>
      <w:tr>
        <w:tc>
          <w:tcPr>
            <w:tcW w:type="dxa" w:w="1800"/>
            <w:vAlign w:val="center"/>
          </w:tcPr>
          <w:p>
            <w:pPr>
              <w:spacing w:after="0"/>
            </w:pPr>
            <w:r/>
            <w:r>
              <w:rPr>
                <w:rFonts w:ascii="Arial" w:hAnsi="Arial"/>
                <w:b w:val="0"/>
                <w:sz w:val="16"/>
              </w:rPr>
              <w:t>Team B — Deduplication &amp; Integrity Engine</w:t>
            </w:r>
          </w:p>
        </w:tc>
        <w:tc>
          <w:tcPr>
            <w:tcW w:type="dxa" w:w="2376"/>
            <w:vAlign w:val="center"/>
          </w:tcPr>
          <w:p>
            <w:pPr>
              <w:spacing w:after="0"/>
            </w:pPr>
            <w:r/>
            <w:r>
              <w:rPr>
                <w:rFonts w:ascii="Arial" w:hAnsi="Arial"/>
                <w:b w:val="0"/>
                <w:sz w:val="16"/>
              </w:rPr>
              <w:t>Chunk files, detect duplicates, maintain dedup index, calculate/verify integrity and report results.</w:t>
            </w:r>
          </w:p>
        </w:tc>
        <w:tc>
          <w:tcPr>
            <w:tcW w:type="dxa" w:w="3456"/>
            <w:vAlign w:val="center"/>
          </w:tcPr>
          <w:p>
            <w:pPr>
              <w:spacing w:after="0"/>
            </w:pPr>
            <w:r/>
            <w:r>
              <w:rPr>
                <w:rFonts w:ascii="Arial" w:hAnsi="Arial"/>
                <w:b w:val="0"/>
                <w:sz w:val="16"/>
              </w:rPr>
              <w:t>Dedup/integrity APIs, chunk/index and manifest format, stable result IDs, storage access, verification result.</w:t>
            </w:r>
          </w:p>
        </w:tc>
        <w:tc>
          <w:tcPr>
            <w:tcW w:type="dxa" w:w="2448"/>
            <w:vAlign w:val="center"/>
          </w:tcPr>
          <w:p>
            <w:pPr>
              <w:spacing w:after="0"/>
            </w:pPr>
            <w:r/>
            <w:r>
              <w:rPr>
                <w:rFonts w:ascii="Arial" w:hAnsi="Arial"/>
                <w:b w:val="0"/>
                <w:sz w:val="16"/>
              </w:rPr>
              <w:t>A for when/how processing runs; C for file/version/backup identifiers and restore-compatible manifest; D for existing API client contract.</w:t>
            </w:r>
          </w:p>
        </w:tc>
      </w:tr>
      <w:tr>
        <w:tc>
          <w:tcPr>
            <w:tcW w:type="dxa" w:w="1800"/>
            <w:vAlign w:val="center"/>
          </w:tcPr>
          <w:p>
            <w:pPr>
              <w:spacing w:after="0"/>
            </w:pPr>
            <w:r/>
            <w:r>
              <w:rPr>
                <w:rFonts w:ascii="Arial" w:hAnsi="Arial"/>
                <w:b w:val="0"/>
                <w:sz w:val="16"/>
              </w:rPr>
              <w:t>Team C — Metadata, Versioning &amp; Restore Manager</w:t>
            </w:r>
          </w:p>
        </w:tc>
        <w:tc>
          <w:tcPr>
            <w:tcW w:type="dxa" w:w="2376"/>
            <w:vAlign w:val="center"/>
          </w:tcPr>
          <w:p>
            <w:pPr>
              <w:spacing w:after="0"/>
            </w:pPr>
            <w:r/>
            <w:r>
              <w:rPr>
                <w:rFonts w:ascii="Arial" w:hAnsi="Arial"/>
                <w:b w:val="0"/>
                <w:sz w:val="16"/>
              </w:rPr>
              <w:t>System of record for file metadata, versions, backup/restore state and authorized restore operations.</w:t>
            </w:r>
          </w:p>
        </w:tc>
        <w:tc>
          <w:tcPr>
            <w:tcW w:type="dxa" w:w="3456"/>
            <w:vAlign w:val="center"/>
          </w:tcPr>
          <w:p>
            <w:pPr>
              <w:spacing w:after="0"/>
            </w:pPr>
            <w:r/>
            <w:r>
              <w:rPr>
                <w:rFonts w:ascii="Arial" w:hAnsi="Arial"/>
                <w:b w:val="0"/>
                <w:sz w:val="16"/>
              </w:rPr>
              <w:t>User identity/role contract, file metadata APIs, versioning, backup/restore metadata/state, object/chunk references and restore workflow.</w:t>
            </w:r>
          </w:p>
        </w:tc>
        <w:tc>
          <w:tcPr>
            <w:tcW w:type="dxa" w:w="2448"/>
            <w:vAlign w:val="center"/>
          </w:tcPr>
          <w:p>
            <w:pPr>
              <w:spacing w:after="0"/>
            </w:pPr>
            <w:r/>
            <w:r>
              <w:rPr>
                <w:rFonts w:ascii="Arial" w:hAnsi="Arial"/>
                <w:b w:val="0"/>
                <w:sz w:val="16"/>
              </w:rPr>
              <w:t>A for job and backup state; B for manifest/chunk references and integrity data; D for BFF/auth and dashboard contract.</w:t>
            </w:r>
          </w:p>
        </w:tc>
      </w:tr>
      <w:tr>
        <w:tc>
          <w:tcPr>
            <w:tcW w:type="dxa" w:w="1800"/>
            <w:vAlign w:val="center"/>
          </w:tcPr>
          <w:p>
            <w:pPr>
              <w:spacing w:after="0"/>
            </w:pPr>
            <w:r/>
            <w:r>
              <w:rPr>
                <w:rFonts w:ascii="Arial" w:hAnsi="Arial"/>
                <w:b w:val="0"/>
                <w:sz w:val="16"/>
              </w:rPr>
              <w:t>Team D — Dashboard &amp; Backend-for-Frontend</w:t>
            </w:r>
          </w:p>
        </w:tc>
        <w:tc>
          <w:tcPr>
            <w:tcW w:type="dxa" w:w="2376"/>
            <w:vAlign w:val="center"/>
          </w:tcPr>
          <w:p>
            <w:pPr>
              <w:spacing w:after="0"/>
            </w:pPr>
            <w:r/>
            <w:r>
              <w:rPr>
                <w:rFonts w:ascii="Arial" w:hAnsi="Arial"/>
                <w:b w:val="0"/>
                <w:sz w:val="16"/>
              </w:rPr>
              <w:t>Provide UI, role-aware access, authentication orchestration and stable frontend-facing API; call A/B/C through backend clients.</w:t>
            </w:r>
          </w:p>
        </w:tc>
        <w:tc>
          <w:tcPr>
            <w:tcW w:type="dxa" w:w="3456"/>
            <w:vAlign w:val="center"/>
          </w:tcPr>
          <w:p>
            <w:pPr>
              <w:spacing w:after="0"/>
            </w:pPr>
            <w:r/>
            <w:r>
              <w:rPr>
                <w:rFonts w:ascii="Arial" w:hAnsi="Arial"/>
                <w:b w:val="0"/>
                <w:sz w:val="16"/>
              </w:rPr>
              <w:t>Existing frontend, BFF routes/controllers/services, API clients, UI status/error handling, environment configuration, end-to-end coordination and deployment.</w:t>
            </w:r>
          </w:p>
        </w:tc>
        <w:tc>
          <w:tcPr>
            <w:tcW w:type="dxa" w:w="2448"/>
            <w:vAlign w:val="center"/>
          </w:tcPr>
          <w:p>
            <w:pPr>
              <w:spacing w:after="0"/>
            </w:pPr>
            <w:r/>
            <w:r>
              <w:rPr>
                <w:rFonts w:ascii="Arial" w:hAnsi="Arial"/>
                <w:b w:val="0"/>
                <w:sz w:val="16"/>
              </w:rPr>
              <w:t>All teams; Team D should not become the source of truth for A/B/C data.</w:t>
            </w:r>
          </w:p>
        </w:tc>
      </w:tr>
    </w:tbl>
    <w:p/>
    <w:p>
      <w:pPr>
        <w:pStyle w:val="Heading1"/>
      </w:pPr>
      <w:r>
        <w:t>3. Shared architecture and data ownership</w:t>
      </w:r>
    </w:p>
    <w:p>
      <w:r>
        <w:t>The website communicates with Team D's backend. The browser must not call Team A, Team B or Team C directly. Team D authenticates the user, checks role permissions, and orchestrates downstream services.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7365D"/>
          </w:tcPr>
          <w:p>
            <w:pPr>
              <w:spacing w:after="0"/>
            </w:pPr>
            <w:r/>
            <w:r>
              <w:rPr>
                <w:rFonts w:ascii="Arial" w:hAnsi="Arial"/>
                <w:b/>
                <w:color w:val="FFFFFF"/>
                <w:sz w:val="17"/>
              </w:rPr>
              <w:t>Data / function</w:t>
            </w:r>
          </w:p>
        </w:tc>
        <w:tc>
          <w:tcPr>
            <w:tcW w:type="dxa" w:w="3024"/>
            <w:vAlign w:val="center"/>
            <w:shd w:fill="17365D"/>
          </w:tcPr>
          <w:p>
            <w:pPr>
              <w:spacing w:after="0"/>
            </w:pPr>
            <w:r/>
            <w:r>
              <w:rPr>
                <w:rFonts w:ascii="Arial" w:hAnsi="Arial"/>
                <w:b/>
                <w:color w:val="FFFFFF"/>
                <w:sz w:val="17"/>
              </w:rPr>
              <w:t>Authoritative owner</w:t>
            </w:r>
          </w:p>
        </w:tc>
        <w:tc>
          <w:tcPr>
            <w:tcW w:type="dxa" w:w="4464"/>
            <w:vAlign w:val="center"/>
            <w:shd w:fill="17365D"/>
          </w:tcPr>
          <w:p>
            <w:pPr>
              <w:spacing w:after="0"/>
            </w:pPr>
            <w:r/>
            <w:r>
              <w:rPr>
                <w:rFonts w:ascii="Arial" w:hAnsi="Arial"/>
                <w:b/>
                <w:color w:val="FFFFFF"/>
                <w:sz w:val="17"/>
              </w:rPr>
              <w:t>Integration rule</w:t>
            </w:r>
          </w:p>
        </w:tc>
      </w:tr>
      <w:tr>
        <w:tc>
          <w:tcPr>
            <w:tcW w:type="dxa" w:w="2592"/>
            <w:vAlign w:val="center"/>
          </w:tcPr>
          <w:p>
            <w:pPr>
              <w:spacing w:after="0"/>
            </w:pPr>
            <w:r/>
            <w:r>
              <w:rPr>
                <w:rFonts w:ascii="Arial" w:hAnsi="Arial"/>
                <w:b w:val="0"/>
                <w:sz w:val="16"/>
              </w:rPr>
              <w:t>Users, roles and user activation</w:t>
            </w:r>
          </w:p>
        </w:tc>
        <w:tc>
          <w:tcPr>
            <w:tcW w:type="dxa" w:w="3024"/>
            <w:vAlign w:val="center"/>
          </w:tcPr>
          <w:p>
            <w:pPr>
              <w:spacing w:after="0"/>
            </w:pPr>
            <w:r/>
            <w:r>
              <w:rPr>
                <w:rFonts w:ascii="Arial" w:hAnsi="Arial"/>
                <w:b w:val="0"/>
                <w:sz w:val="16"/>
              </w:rPr>
              <w:t>Team C (confirm against its actual schema/API)</w:t>
            </w:r>
          </w:p>
        </w:tc>
        <w:tc>
          <w:tcPr>
            <w:tcW w:type="dxa" w:w="4464"/>
            <w:vAlign w:val="center"/>
          </w:tcPr>
          <w:p>
            <w:pPr>
              <w:spacing w:after="0"/>
            </w:pPr>
            <w:r/>
            <w:r>
              <w:rPr>
                <w:rFonts w:ascii="Arial" w:hAnsi="Arial"/>
                <w:b w:val="0"/>
                <w:sz w:val="16"/>
              </w:rPr>
              <w:t>Team D must use a supported credential-verification and user-management contract; never retrieve or expose password hashes.</w:t>
            </w:r>
          </w:p>
        </w:tc>
      </w:tr>
      <w:tr>
        <w:tc>
          <w:tcPr>
            <w:tcW w:type="dxa" w:w="2592"/>
            <w:vAlign w:val="center"/>
          </w:tcPr>
          <w:p>
            <w:pPr>
              <w:spacing w:after="0"/>
            </w:pPr>
            <w:r/>
            <w:r>
              <w:rPr>
                <w:rFonts w:ascii="Arial" w:hAnsi="Arial"/>
                <w:b w:val="0"/>
                <w:sz w:val="16"/>
              </w:rPr>
              <w:t>File metadata and versions</w:t>
            </w:r>
          </w:p>
        </w:tc>
        <w:tc>
          <w:tcPr>
            <w:tcW w:type="dxa" w:w="3024"/>
            <w:vAlign w:val="center"/>
          </w:tcPr>
          <w:p>
            <w:pPr>
              <w:spacing w:after="0"/>
            </w:pPr>
            <w:r/>
            <w:r>
              <w:rPr>
                <w:rFonts w:ascii="Arial" w:hAnsi="Arial"/>
                <w:b w:val="0"/>
                <w:sz w:val="16"/>
              </w:rPr>
              <w:t>Team C</w:t>
            </w:r>
          </w:p>
        </w:tc>
        <w:tc>
          <w:tcPr>
            <w:tcW w:type="dxa" w:w="4464"/>
            <w:vAlign w:val="center"/>
          </w:tcPr>
          <w:p>
            <w:pPr>
              <w:spacing w:after="0"/>
            </w:pPr>
            <w:r/>
            <w:r>
              <w:rPr>
                <w:rFonts w:ascii="Arial" w:hAnsi="Arial"/>
                <w:b w:val="0"/>
                <w:sz w:val="16"/>
              </w:rPr>
              <w:t>The file_id and version_id returned by C must be reused across A/B/D.</w:t>
            </w:r>
          </w:p>
        </w:tc>
      </w:tr>
      <w:tr>
        <w:tc>
          <w:tcPr>
            <w:tcW w:type="dxa" w:w="2592"/>
            <w:vAlign w:val="center"/>
          </w:tcPr>
          <w:p>
            <w:pPr>
              <w:spacing w:after="0"/>
            </w:pPr>
            <w:r/>
            <w:r>
              <w:rPr>
                <w:rFonts w:ascii="Arial" w:hAnsi="Arial"/>
                <w:b w:val="0"/>
                <w:sz w:val="16"/>
              </w:rPr>
              <w:t>Backup/restore metadata and state machine</w:t>
            </w:r>
          </w:p>
        </w:tc>
        <w:tc>
          <w:tcPr>
            <w:tcW w:type="dxa" w:w="3024"/>
            <w:vAlign w:val="center"/>
          </w:tcPr>
          <w:p>
            <w:pPr>
              <w:spacing w:after="0"/>
            </w:pPr>
            <w:r/>
            <w:r>
              <w:rPr>
                <w:rFonts w:ascii="Arial" w:hAnsi="Arial"/>
                <w:b w:val="0"/>
                <w:sz w:val="16"/>
              </w:rPr>
              <w:t>Team C</w:t>
            </w:r>
          </w:p>
        </w:tc>
        <w:tc>
          <w:tcPr>
            <w:tcW w:type="dxa" w:w="4464"/>
            <w:vAlign w:val="center"/>
          </w:tcPr>
          <w:p>
            <w:pPr>
              <w:spacing w:after="0"/>
            </w:pPr>
            <w:r/>
            <w:r>
              <w:rPr>
                <w:rFonts w:ascii="Arial" w:hAnsi="Arial"/>
                <w:b w:val="0"/>
                <w:sz w:val="16"/>
              </w:rPr>
              <w:t>A executes jobs; C remains authoritative for metadata/state where agreed. Define which state is mirrored and which service owns each transition.</w:t>
            </w:r>
          </w:p>
        </w:tc>
      </w:tr>
      <w:tr>
        <w:tc>
          <w:tcPr>
            <w:tcW w:type="dxa" w:w="2592"/>
            <w:vAlign w:val="center"/>
          </w:tcPr>
          <w:p>
            <w:pPr>
              <w:spacing w:after="0"/>
            </w:pPr>
            <w:r/>
            <w:r>
              <w:rPr>
                <w:rFonts w:ascii="Arial" w:hAnsi="Arial"/>
                <w:b w:val="0"/>
                <w:sz w:val="16"/>
              </w:rPr>
              <w:t>Job scheduling/execution state</w:t>
            </w:r>
          </w:p>
        </w:tc>
        <w:tc>
          <w:tcPr>
            <w:tcW w:type="dxa" w:w="3024"/>
            <w:vAlign w:val="center"/>
          </w:tcPr>
          <w:p>
            <w:pPr>
              <w:spacing w:after="0"/>
            </w:pPr>
            <w:r/>
            <w:r>
              <w:rPr>
                <w:rFonts w:ascii="Arial" w:hAnsi="Arial"/>
                <w:b w:val="0"/>
                <w:sz w:val="16"/>
              </w:rPr>
              <w:t>Team A</w:t>
            </w:r>
          </w:p>
        </w:tc>
        <w:tc>
          <w:tcPr>
            <w:tcW w:type="dxa" w:w="4464"/>
            <w:vAlign w:val="center"/>
          </w:tcPr>
          <w:p>
            <w:pPr>
              <w:spacing w:after="0"/>
            </w:pPr>
            <w:r/>
            <w:r>
              <w:rPr>
                <w:rFonts w:ascii="Arial" w:hAnsi="Arial"/>
                <w:b w:val="0"/>
                <w:sz w:val="16"/>
              </w:rPr>
              <w:t>Team A returns a stable job_id and truthful job state; Team D displays it.</w:t>
            </w:r>
          </w:p>
        </w:tc>
      </w:tr>
      <w:tr>
        <w:tc>
          <w:tcPr>
            <w:tcW w:type="dxa" w:w="2592"/>
            <w:vAlign w:val="center"/>
          </w:tcPr>
          <w:p>
            <w:pPr>
              <w:spacing w:after="0"/>
            </w:pPr>
            <w:r/>
            <w:r>
              <w:rPr>
                <w:rFonts w:ascii="Arial" w:hAnsi="Arial"/>
                <w:b w:val="0"/>
                <w:sz w:val="16"/>
              </w:rPr>
              <w:t>Chunking, deduplication index, integrity manifest/results</w:t>
            </w:r>
          </w:p>
        </w:tc>
        <w:tc>
          <w:tcPr>
            <w:tcW w:type="dxa" w:w="3024"/>
            <w:vAlign w:val="center"/>
          </w:tcPr>
          <w:p>
            <w:pPr>
              <w:spacing w:after="0"/>
            </w:pPr>
            <w:r/>
            <w:r>
              <w:rPr>
                <w:rFonts w:ascii="Arial" w:hAnsi="Arial"/>
                <w:b w:val="0"/>
                <w:sz w:val="16"/>
              </w:rPr>
              <w:t>Team B</w:t>
            </w:r>
          </w:p>
        </w:tc>
        <w:tc>
          <w:tcPr>
            <w:tcW w:type="dxa" w:w="4464"/>
            <w:vAlign w:val="center"/>
          </w:tcPr>
          <w:p>
            <w:pPr>
              <w:spacing w:after="0"/>
            </w:pPr>
            <w:r/>
            <w:r>
              <w:rPr>
                <w:rFonts w:ascii="Arial" w:hAnsi="Arial"/>
                <w:b w:val="0"/>
                <w:sz w:val="16"/>
              </w:rPr>
              <w:t>B returns stable result identifiers and references; agree where index/manifest are persisted.</w:t>
            </w:r>
          </w:p>
        </w:tc>
      </w:tr>
      <w:tr>
        <w:tc>
          <w:tcPr>
            <w:tcW w:type="dxa" w:w="2592"/>
            <w:vAlign w:val="center"/>
          </w:tcPr>
          <w:p>
            <w:pPr>
              <w:spacing w:after="0"/>
            </w:pPr>
            <w:r/>
            <w:r>
              <w:rPr>
                <w:rFonts w:ascii="Arial" w:hAnsi="Arial"/>
                <w:b w:val="0"/>
                <w:sz w:val="16"/>
              </w:rPr>
              <w:t>Original files and chunk objects</w:t>
            </w:r>
          </w:p>
        </w:tc>
        <w:tc>
          <w:tcPr>
            <w:tcW w:type="dxa" w:w="3024"/>
            <w:vAlign w:val="center"/>
          </w:tcPr>
          <w:p>
            <w:pPr>
              <w:spacing w:after="0"/>
            </w:pPr>
            <w:r>
              <w:t>Shared Backblaze B2 under an agreed B2 bucket/key convention</w:t>
            </w:r>
            <w:r>
              <w:rPr>
                <w:rFonts w:ascii="Arial" w:hAnsi="Arial"/>
                <w:b w:val="0"/>
                <w:sz w:val="16"/>
              </w:rPr>
            </w:r>
          </w:p>
        </w:tc>
        <w:tc>
          <w:tcPr>
            <w:tcW w:type="dxa" w:w="4464"/>
            <w:vAlign w:val="center"/>
          </w:tcPr>
          <w:p>
            <w:pPr>
              <w:spacing w:after="0"/>
            </w:pPr>
            <w:r/>
            <w:r>
              <w:rPr>
                <w:rFonts w:ascii="Arial" w:hAnsi="Arial"/>
                <w:b w:val="0"/>
                <w:sz w:val="16"/>
              </w:rPr>
              <w:t>All services use object references, not another laptop's local filesystem path. Decide which service uploads the original and which writes chunks.</w:t>
            </w:r>
          </w:p>
        </w:tc>
      </w:tr>
      <w:tr>
        <w:tc>
          <w:tcPr>
            <w:tcW w:type="dxa" w:w="2592"/>
            <w:vAlign w:val="center"/>
          </w:tcPr>
          <w:p>
            <w:pPr>
              <w:spacing w:after="0"/>
            </w:pPr>
            <w:r/>
            <w:r>
              <w:rPr>
                <w:rFonts w:ascii="Arial" w:hAnsi="Arial"/>
                <w:b w:val="0"/>
                <w:sz w:val="16"/>
              </w:rPr>
              <w:t>Frontend session and dashboard presentation</w:t>
            </w:r>
          </w:p>
        </w:tc>
        <w:tc>
          <w:tcPr>
            <w:tcW w:type="dxa" w:w="3024"/>
            <w:vAlign w:val="center"/>
          </w:tcPr>
          <w:p>
            <w:pPr>
              <w:spacing w:after="0"/>
            </w:pPr>
            <w:r/>
            <w:r>
              <w:rPr>
                <w:rFonts w:ascii="Arial" w:hAnsi="Arial"/>
                <w:b w:val="0"/>
                <w:sz w:val="16"/>
              </w:rPr>
              <w:t>Team D</w:t>
            </w:r>
          </w:p>
        </w:tc>
        <w:tc>
          <w:tcPr>
            <w:tcW w:type="dxa" w:w="4464"/>
            <w:vAlign w:val="center"/>
          </w:tcPr>
          <w:p>
            <w:pPr>
              <w:spacing w:after="0"/>
            </w:pPr>
            <w:r/>
            <w:r>
              <w:rPr>
                <w:rFonts w:ascii="Arial" w:hAnsi="Arial"/>
                <w:b w:val="0"/>
                <w:sz w:val="16"/>
              </w:rPr>
              <w:t>UI state is a presentation of authoritative service data, not a substitute database.</w:t>
            </w:r>
          </w:p>
        </w:tc>
      </w:tr>
    </w:tbl>
    <w:p/>
    <w:p>
      <w:pPr>
        <w:pStyle w:val="Heading1"/>
      </w:pPr>
      <w:r>
        <w:t>4. Target end-to-end workflow</w:t>
      </w:r>
    </w:p>
    <w:p>
      <w:pPr>
        <w:pStyle w:val="Heading2"/>
      </w:pPr>
      <w:r>
        <w:t>4.1 Login and user management</w:t>
      </w:r>
    </w:p>
    <w:p>
      <w:pPr>
        <w:pStyle w:val="ListNumber"/>
        <w:spacing w:after="40"/>
      </w:pPr>
      <w:r>
        <w:t>A user signs in through the Team D frontend.</w:t>
      </w:r>
    </w:p>
    <w:p>
      <w:pPr>
        <w:pStyle w:val="ListNumber"/>
        <w:spacing w:after="40"/>
      </w:pPr>
      <w:r>
        <w:t>Team D's BFF sends credentials to a protected Team C credential-verification API, or the exact equivalent that Team C confirms and implements. The current Team D live login call to `/api/v1/users/by-username?username=...` is not yet confirmed as supported by Team C.</w:t>
      </w:r>
    </w:p>
    <w:p>
      <w:pPr>
        <w:pStyle w:val="ListNumber"/>
        <w:spacing w:after="40"/>
      </w:pPr>
      <w:r>
        <w:t>Team C validates credentials and account status against its authoritative user database, then returns only safe identity fields such as numeric user ID, username and role. It must not return password hashes.</w:t>
      </w:r>
    </w:p>
    <w:p>
      <w:pPr>
        <w:pStyle w:val="ListNumber"/>
        <w:spacing w:after="40"/>
      </w:pPr>
      <w:r>
        <w:t>Team D creates its session/JWT and enforces role-based route access. Downstream Team C calls use the service bearer credential plus the required `X-TeamC-User-Id` and `X-TeamC-Role` headers, as required by C's middleware.</w:t>
      </w:r>
    </w:p>
    <w:p>
      <w:pPr>
        <w:pStyle w:val="ListNumber"/>
        <w:spacing w:after="40"/>
      </w:pPr>
      <w:r>
        <w:t>Admin user creation must go through an authorized Team C API so the user is stored in C's database. Confirm how Team D user IDs map to Team C numeric IDs; do not assume the current mock mapping is correct.</w:t>
      </w:r>
    </w:p>
    <w:p>
      <w:pPr>
        <w:pStyle w:val="Heading2"/>
      </w:pPr>
      <w:r>
        <w:t>4.2 Upload and register a file</w:t>
      </w:r>
    </w:p>
    <w:p>
      <w:pPr>
        <w:pStyle w:val="ListNumber"/>
        <w:spacing w:after="40"/>
      </w:pPr>
      <w:r>
        <w:t>The user uploads a real file through the Team D UI/BFF.</w:t>
      </w:r>
    </w:p>
    <w:p>
      <w:pPr>
        <w:pStyle w:val="ListNumber"/>
        <w:spacing w:after="40"/>
      </w:pPr>
      <w:r>
        <w:t>The teams must agree which service writes the original file to Backblaze B2. The target reference should contain provider, bucket and object key; no service should depend on a path on another team's laptop.</w:t>
      </w:r>
    </w:p>
    <w:p>
      <w:pPr>
        <w:pStyle w:val="ListNumber"/>
        <w:spacing w:after="40"/>
      </w:pPr>
      <w:r>
        <w:t>Team C registers the file and its version metadata and returns the canonical file_id/version_id and storage reference. If C currently accepts multipart upload and stores the object itself, document that flow instead; do not introduce a second competing upload path.</w:t>
      </w:r>
    </w:p>
    <w:p>
      <w:pPr>
        <w:pStyle w:val="ListNumber"/>
        <w:spacing w:after="40"/>
      </w:pPr>
      <w:r>
        <w:t>Team D displays the file using metadata returned by C. A/B/C use the same identifiers for all subsequent operations.</w:t>
      </w:r>
    </w:p>
    <w:p>
      <w:pPr>
        <w:pStyle w:val="Heading2"/>
      </w:pPr>
      <w:r>
        <w:t>4.3 Backup execution</w:t>
      </w:r>
    </w:p>
    <w:p>
      <w:pPr>
        <w:pStyle w:val="ListNumber"/>
        <w:spacing w:after="40"/>
      </w:pPr>
      <w:r>
        <w:t>Team D requests creation/registration of a backup through Team C according to C's confirmed API, then submits the corresponding job to Team A using the existing Team D job client contract.</w:t>
      </w:r>
    </w:p>
    <w:p>
      <w:pPr>
        <w:pStyle w:val="ListNumber"/>
        <w:spacing w:after="40"/>
      </w:pPr>
      <w:r>
        <w:t>Team A creates a job record and returns a stable job_id and current state. A worker performs the real backup workflow, not just a mock status update.</w:t>
      </w:r>
    </w:p>
    <w:p>
      <w:pPr>
        <w:pStyle w:val="ListNumber"/>
        <w:spacing w:after="40"/>
      </w:pPr>
      <w:r>
        <w:t>Team A and Team B must agree whether A calls B or B is triggered through another agreed orchestration path. Team D's current backup service does not itself call the Team B dedup-compute method during the backup flow; this connection must be explicitly implemented by the responsible team.</w:t>
      </w:r>
    </w:p>
    <w:p>
      <w:pPr>
        <w:pStyle w:val="ListNumber"/>
        <w:spacing w:after="40"/>
      </w:pPr>
      <w:r>
        <w:t>Team B reads the agreed file/storage reference, chunks the file, detects duplicate chunks, stores/reuses chunks and persists the index/manifest/results according to the agreed design.</w:t>
      </w:r>
    </w:p>
    <w:p>
      <w:pPr>
        <w:pStyle w:val="ListNumber"/>
        <w:spacing w:after="40"/>
      </w:pPr>
      <w:r>
        <w:t>Team B performs or enables integrity verification and returns a stable result linked to the same backup_id/file_id/version_id.</w:t>
      </w:r>
    </w:p>
    <w:p>
      <w:pPr>
        <w:pStyle w:val="ListNumber"/>
        <w:spacing w:after="40"/>
      </w:pPr>
      <w:r>
        <w:t>Team A records real success/failure and returns status/progress. Team C records or updates authoritative backup metadata/state according to the agreed state-ownership contract.</w:t>
      </w:r>
    </w:p>
    <w:p>
      <w:pPr>
        <w:pStyle w:val="ListNumber"/>
        <w:spacing w:after="40"/>
      </w:pPr>
      <w:r>
        <w:t>Team D polls the job-status endpoint or consumes SSE events and displays actual state, progress, deduplication savings and integrity status.</w:t>
      </w:r>
    </w:p>
    <w:p>
      <w:pPr>
        <w:pStyle w:val="Heading2"/>
      </w:pPr>
      <w:r>
        <w:t>4.4 Restore execution</w:t>
      </w:r>
    </w:p>
    <w:p>
      <w:pPr>
        <w:pStyle w:val="ListNumber"/>
        <w:spacing w:after="40"/>
      </w:pPr>
      <w:r>
        <w:t>The user selects a file/version in Team D. Team D checks permissions and asks Team C to create/authorize the restore request using C's confirmed API.</w:t>
      </w:r>
    </w:p>
    <w:p>
      <w:pPr>
        <w:pStyle w:val="ListNumber"/>
        <w:spacing w:after="40"/>
      </w:pPr>
      <w:r>
        <w:t>Team A executes the restore job if restore execution is part of A's responsibility; Team C remains authoritative for restore metadata and state. The teams must agree explicitly whether A or C orchestrates the restore operation.</w:t>
      </w:r>
    </w:p>
    <w:p>
      <w:pPr>
        <w:pStyle w:val="ListNumber"/>
        <w:spacing w:after="40"/>
      </w:pPr>
      <w:r>
        <w:t>The restore worker obtains the correct original object or reconstructs it from B's chunk manifest/index. It must use the same storage references and identifiers established during backup.</w:t>
      </w:r>
    </w:p>
    <w:p>
      <w:pPr>
        <w:pStyle w:val="ListNumber"/>
        <w:spacing w:after="40"/>
      </w:pPr>
      <w:r>
        <w:t>The restored bytes are written to the agreed destination or returned through the approved download flow. Team D must not report success until the operation actually completes.</w:t>
      </w:r>
    </w:p>
    <w:p>
      <w:pPr>
        <w:pStyle w:val="ListNumber"/>
        <w:spacing w:after="40"/>
      </w:pPr>
      <w:r>
        <w:t>Verify the restored file by comparing its checksum/hash with the original or authoritative manifest. Show a clear success/failure result and preserve audit information.</w:t>
      </w:r>
    </w:p>
    <w:p>
      <w:pPr>
        <w:pStyle w:val="Heading1"/>
      </w:pPr>
      <w:r>
        <w:t>5. API contracts currently expected by Team D</w:t>
      </w:r>
    </w:p>
    <w:p>
      <w:r>
        <w:t>These paths are based on Team D's existing clients. They are the starting contract for the other teams to confirm. They are not evidence that the other team's backend currently implements every endpoint or exact payload.</w:t>
      </w:r>
    </w:p>
    <w:p>
      <w:pPr>
        <w:pStyle w:val="Heading2"/>
      </w:pPr>
      <w:r>
        <w:t>5.1 Team A endpoints expected by Team D</w:t>
      </w:r>
    </w:p>
    <w:tbl>
      <w:tblPr>
        <w:tblStyle w:val="TableGrid"/>
        <w:tblW w:type="auto" w:w="0"/>
        <w:jc w:val="center"/>
        <w:tblLook w:firstColumn="1" w:firstRow="1" w:lastColumn="0" w:lastRow="0" w:noHBand="0" w:noVBand="1" w:val="04A0"/>
      </w:tblPr>
      <w:tblGrid>
        <w:gridCol w:w="3408"/>
        <w:gridCol w:w="3408"/>
        <w:gridCol w:w="3408"/>
      </w:tblGrid>
      <w:tr>
        <w:tc>
          <w:tcPr>
            <w:tcW w:type="dxa" w:w="3456"/>
            <w:vAlign w:val="center"/>
            <w:shd w:fill="17365D"/>
          </w:tcPr>
          <w:p>
            <w:pPr>
              <w:spacing w:after="0"/>
            </w:pPr>
            <w:r/>
            <w:r>
              <w:rPr>
                <w:rFonts w:ascii="Arial" w:hAnsi="Arial"/>
                <w:b/>
                <w:color w:val="FFFFFF"/>
                <w:sz w:val="17"/>
              </w:rPr>
              <w:t>Method and path</w:t>
            </w:r>
          </w:p>
        </w:tc>
        <w:tc>
          <w:tcPr>
            <w:tcW w:type="dxa" w:w="2088"/>
            <w:vAlign w:val="center"/>
            <w:shd w:fill="17365D"/>
          </w:tcPr>
          <w:p>
            <w:pPr>
              <w:spacing w:after="0"/>
            </w:pPr>
            <w:r/>
            <w:r>
              <w:rPr>
                <w:rFonts w:ascii="Arial" w:hAnsi="Arial"/>
                <w:b/>
                <w:color w:val="FFFFFF"/>
                <w:sz w:val="17"/>
              </w:rPr>
              <w:t>Purpose</w:t>
            </w:r>
          </w:p>
        </w:tc>
        <w:tc>
          <w:tcPr>
            <w:tcW w:type="dxa" w:w="4536"/>
            <w:vAlign w:val="center"/>
            <w:shd w:fill="17365D"/>
          </w:tcPr>
          <w:p>
            <w:pPr>
              <w:spacing w:after="0"/>
            </w:pPr>
            <w:r/>
            <w:r>
              <w:rPr>
                <w:rFonts w:ascii="Arial" w:hAnsi="Arial"/>
                <w:b/>
                <w:color w:val="FFFFFF"/>
                <w:sz w:val="17"/>
              </w:rPr>
              <w:t>Contract details to confirm</w:t>
            </w:r>
          </w:p>
        </w:tc>
      </w:tr>
      <w:tr>
        <w:tc>
          <w:tcPr>
            <w:tcW w:type="dxa" w:w="3456"/>
            <w:vAlign w:val="center"/>
          </w:tcPr>
          <w:p>
            <w:pPr>
              <w:spacing w:after="0"/>
            </w:pPr>
            <w:r/>
            <w:r>
              <w:rPr>
                <w:rFonts w:ascii="Arial" w:hAnsi="Arial"/>
                <w:b w:val="0"/>
                <w:sz w:val="16"/>
              </w:rPr>
              <w:t>POST `/api/v1/backup/jobs`</w:t>
            </w:r>
          </w:p>
        </w:tc>
        <w:tc>
          <w:tcPr>
            <w:tcW w:type="dxa" w:w="2088"/>
            <w:vAlign w:val="center"/>
          </w:tcPr>
          <w:p>
            <w:pPr>
              <w:spacing w:after="0"/>
            </w:pPr>
            <w:r/>
            <w:r>
              <w:rPr>
                <w:rFonts w:ascii="Arial" w:hAnsi="Arial"/>
                <w:b w:val="0"/>
                <w:sz w:val="16"/>
              </w:rPr>
              <w:t>Submit backup/restore job</w:t>
            </w:r>
          </w:p>
        </w:tc>
        <w:tc>
          <w:tcPr>
            <w:tcW w:type="dxa" w:w="4536"/>
            <w:vAlign w:val="center"/>
          </w:tcPr>
          <w:p>
            <w:pPr>
              <w:spacing w:after="0"/>
            </w:pPr>
            <w:r>
              <w:t>Accept existing fields: job_id, backup_id, user_id, file_id, backup_type, source_path, preferred_window, priority, estimated_duration_ms. Agree how to replace local path with a Backblaze B2 reference.</w:t>
            </w:r>
            <w:r>
              <w:rPr>
                <w:rFonts w:ascii="Arial" w:hAnsi="Arial"/>
                <w:b w:val="0"/>
                <w:sz w:val="16"/>
              </w:rPr>
            </w:r>
          </w:p>
        </w:tc>
      </w:tr>
      <w:tr>
        <w:tc>
          <w:tcPr>
            <w:tcW w:type="dxa" w:w="3456"/>
            <w:vAlign w:val="center"/>
          </w:tcPr>
          <w:p>
            <w:pPr>
              <w:spacing w:after="0"/>
            </w:pPr>
            <w:r/>
            <w:r>
              <w:rPr>
                <w:rFonts w:ascii="Arial" w:hAnsi="Arial"/>
                <w:b w:val="0"/>
                <w:sz w:val="16"/>
              </w:rPr>
              <w:t>GET `/api/v1/backup/jobs`</w:t>
            </w:r>
          </w:p>
        </w:tc>
        <w:tc>
          <w:tcPr>
            <w:tcW w:type="dxa" w:w="2088"/>
            <w:vAlign w:val="center"/>
          </w:tcPr>
          <w:p>
            <w:pPr>
              <w:spacing w:after="0"/>
            </w:pPr>
            <w:r/>
            <w:r>
              <w:rPr>
                <w:rFonts w:ascii="Arial" w:hAnsi="Arial"/>
                <w:b w:val="0"/>
                <w:sz w:val="16"/>
              </w:rPr>
              <w:t>List jobs/queue</w:t>
            </w:r>
          </w:p>
        </w:tc>
        <w:tc>
          <w:tcPr>
            <w:tcW w:type="dxa" w:w="4536"/>
            <w:vAlign w:val="center"/>
          </w:tcPr>
          <w:p>
            <w:pPr>
              <w:spacing w:after="0"/>
            </w:pPr>
            <w:r/>
            <w:r>
              <w:rPr>
                <w:rFonts w:ascii="Arial" w:hAnsi="Arial"/>
                <w:b w:val="0"/>
                <w:sz w:val="16"/>
              </w:rPr>
              <w:t>Pagination/filter fields and response shape.</w:t>
            </w:r>
          </w:p>
        </w:tc>
      </w:tr>
      <w:tr>
        <w:tc>
          <w:tcPr>
            <w:tcW w:type="dxa" w:w="3456"/>
            <w:vAlign w:val="center"/>
          </w:tcPr>
          <w:p>
            <w:pPr>
              <w:spacing w:after="0"/>
            </w:pPr>
            <w:r/>
            <w:r>
              <w:rPr>
                <w:rFonts w:ascii="Arial" w:hAnsi="Arial"/>
                <w:b w:val="0"/>
                <w:sz w:val="16"/>
              </w:rPr>
              <w:t>GET `/api/v1/backup/jobs/:jobId`</w:t>
            </w:r>
          </w:p>
        </w:tc>
        <w:tc>
          <w:tcPr>
            <w:tcW w:type="dxa" w:w="2088"/>
            <w:vAlign w:val="center"/>
          </w:tcPr>
          <w:p>
            <w:pPr>
              <w:spacing w:after="0"/>
            </w:pPr>
            <w:r/>
            <w:r>
              <w:rPr>
                <w:rFonts w:ascii="Arial" w:hAnsi="Arial"/>
                <w:b w:val="0"/>
                <w:sz w:val="16"/>
              </w:rPr>
              <w:t>Get job status</w:t>
            </w:r>
          </w:p>
        </w:tc>
        <w:tc>
          <w:tcPr>
            <w:tcW w:type="dxa" w:w="4536"/>
            <w:vAlign w:val="center"/>
          </w:tcPr>
          <w:p>
            <w:pPr>
              <w:spacing w:after="0"/>
            </w:pPr>
            <w:r/>
            <w:r>
              <w:rPr>
                <w:rFonts w:ascii="Arial" w:hAnsi="Arial"/>
                <w:b w:val="0"/>
                <w:sz w:val="16"/>
              </w:rPr>
              <w:t>Stable state names, progress, timestamps, failure details, backup/file IDs.</w:t>
            </w:r>
          </w:p>
        </w:tc>
      </w:tr>
      <w:tr>
        <w:tc>
          <w:tcPr>
            <w:tcW w:type="dxa" w:w="3456"/>
            <w:vAlign w:val="center"/>
          </w:tcPr>
          <w:p>
            <w:pPr>
              <w:spacing w:after="0"/>
            </w:pPr>
            <w:r/>
            <w:r>
              <w:rPr>
                <w:rFonts w:ascii="Arial" w:hAnsi="Arial"/>
                <w:b w:val="0"/>
                <w:sz w:val="16"/>
              </w:rPr>
              <w:t>POST `/api/v1/backup/jobs/:jobId/cancel`</w:t>
            </w:r>
          </w:p>
        </w:tc>
        <w:tc>
          <w:tcPr>
            <w:tcW w:type="dxa" w:w="2088"/>
            <w:vAlign w:val="center"/>
          </w:tcPr>
          <w:p>
            <w:pPr>
              <w:spacing w:after="0"/>
            </w:pPr>
            <w:r/>
            <w:r>
              <w:rPr>
                <w:rFonts w:ascii="Arial" w:hAnsi="Arial"/>
                <w:b w:val="0"/>
                <w:sz w:val="16"/>
              </w:rPr>
              <w:t>Cancel job</w:t>
            </w:r>
          </w:p>
        </w:tc>
        <w:tc>
          <w:tcPr>
            <w:tcW w:type="dxa" w:w="4536"/>
            <w:vAlign w:val="center"/>
          </w:tcPr>
          <w:p>
            <w:pPr>
              <w:spacing w:after="0"/>
            </w:pPr>
            <w:r/>
            <w:r>
              <w:rPr>
                <w:rFonts w:ascii="Arial" w:hAnsi="Arial"/>
                <w:b w:val="0"/>
                <w:sz w:val="16"/>
              </w:rPr>
              <w:t>Cancellation rules and response shape.</w:t>
            </w:r>
          </w:p>
        </w:tc>
      </w:tr>
      <w:tr>
        <w:tc>
          <w:tcPr>
            <w:tcW w:type="dxa" w:w="3456"/>
            <w:vAlign w:val="center"/>
          </w:tcPr>
          <w:p>
            <w:pPr>
              <w:spacing w:after="0"/>
            </w:pPr>
            <w:r/>
            <w:r>
              <w:rPr>
                <w:rFonts w:ascii="Arial" w:hAnsi="Arial"/>
                <w:b w:val="0"/>
                <w:sz w:val="16"/>
              </w:rPr>
              <w:t>GET `/api/v1/metrics/backup`</w:t>
            </w:r>
          </w:p>
        </w:tc>
        <w:tc>
          <w:tcPr>
            <w:tcW w:type="dxa" w:w="2088"/>
            <w:vAlign w:val="center"/>
          </w:tcPr>
          <w:p>
            <w:pPr>
              <w:spacing w:after="0"/>
            </w:pPr>
            <w:r/>
            <w:r>
              <w:rPr>
                <w:rFonts w:ascii="Arial" w:hAnsi="Arial"/>
                <w:b w:val="0"/>
                <w:sz w:val="16"/>
              </w:rPr>
              <w:t>Backup metrics</w:t>
            </w:r>
          </w:p>
        </w:tc>
        <w:tc>
          <w:tcPr>
            <w:tcW w:type="dxa" w:w="4536"/>
            <w:vAlign w:val="center"/>
          </w:tcPr>
          <w:p>
            <w:pPr>
              <w:spacing w:after="0"/>
            </w:pPr>
            <w:r/>
            <w:r>
              <w:rPr>
                <w:rFonts w:ascii="Arial" w:hAnsi="Arial"/>
                <w:b w:val="0"/>
                <w:sz w:val="16"/>
              </w:rPr>
              <w:t>Metric names and response schema.</w:t>
            </w:r>
          </w:p>
        </w:tc>
      </w:tr>
      <w:tr>
        <w:tc>
          <w:tcPr>
            <w:tcW w:type="dxa" w:w="3456"/>
            <w:vAlign w:val="center"/>
          </w:tcPr>
          <w:p>
            <w:pPr>
              <w:spacing w:after="0"/>
            </w:pPr>
            <w:r/>
            <w:r>
              <w:rPr>
                <w:rFonts w:ascii="Arial" w:hAnsi="Arial"/>
                <w:b w:val="0"/>
                <w:sz w:val="16"/>
              </w:rPr>
              <w:t>GET `/api/v1/stream/backup`</w:t>
            </w:r>
          </w:p>
        </w:tc>
        <w:tc>
          <w:tcPr>
            <w:tcW w:type="dxa" w:w="2088"/>
            <w:vAlign w:val="center"/>
          </w:tcPr>
          <w:p>
            <w:pPr>
              <w:spacing w:after="0"/>
            </w:pPr>
            <w:r/>
            <w:r>
              <w:rPr>
                <w:rFonts w:ascii="Arial" w:hAnsi="Arial"/>
                <w:b w:val="0"/>
                <w:sz w:val="16"/>
              </w:rPr>
              <w:t>SSE job updates</w:t>
            </w:r>
          </w:p>
        </w:tc>
        <w:tc>
          <w:tcPr>
            <w:tcW w:type="dxa" w:w="4536"/>
            <w:vAlign w:val="center"/>
          </w:tcPr>
          <w:p>
            <w:pPr>
              <w:spacing w:after="0"/>
            </w:pPr>
            <w:r/>
            <w:r>
              <w:rPr>
                <w:rFonts w:ascii="Arial" w:hAnsi="Arial"/>
                <w:b w:val="0"/>
                <w:sz w:val="16"/>
              </w:rPr>
              <w:t>Event format, job identifiers, state/progress fields, reconnect behavior.</w:t>
            </w:r>
          </w:p>
        </w:tc>
      </w:tr>
    </w:tbl>
    <w:p/>
    <w:p>
      <w:pPr>
        <w:pStyle w:val="Heading2"/>
      </w:pPr>
      <w:r>
        <w:t>5.2 Team B endpoints expected by Team D</w:t>
      </w:r>
    </w:p>
    <w:tbl>
      <w:tblPr>
        <w:tblStyle w:val="TableGrid"/>
        <w:tblW w:type="auto" w:w="0"/>
        <w:jc w:val="center"/>
        <w:tblLook w:firstColumn="1" w:firstRow="1" w:lastColumn="0" w:lastRow="0" w:noHBand="0" w:noVBand="1" w:val="04A0"/>
      </w:tblPr>
      <w:tblGrid>
        <w:gridCol w:w="3408"/>
        <w:gridCol w:w="3408"/>
        <w:gridCol w:w="3408"/>
      </w:tblGrid>
      <w:tr>
        <w:tc>
          <w:tcPr>
            <w:tcW w:type="dxa" w:w="3456"/>
            <w:vAlign w:val="center"/>
            <w:shd w:fill="17365D"/>
          </w:tcPr>
          <w:p>
            <w:pPr>
              <w:spacing w:after="0"/>
            </w:pPr>
            <w:r/>
            <w:r>
              <w:rPr>
                <w:rFonts w:ascii="Arial" w:hAnsi="Arial"/>
                <w:b/>
                <w:color w:val="FFFFFF"/>
                <w:sz w:val="17"/>
              </w:rPr>
              <w:t>Method and path</w:t>
            </w:r>
          </w:p>
        </w:tc>
        <w:tc>
          <w:tcPr>
            <w:tcW w:type="dxa" w:w="2088"/>
            <w:vAlign w:val="center"/>
            <w:shd w:fill="17365D"/>
          </w:tcPr>
          <w:p>
            <w:pPr>
              <w:spacing w:after="0"/>
            </w:pPr>
            <w:r/>
            <w:r>
              <w:rPr>
                <w:rFonts w:ascii="Arial" w:hAnsi="Arial"/>
                <w:b/>
                <w:color w:val="FFFFFF"/>
                <w:sz w:val="17"/>
              </w:rPr>
              <w:t>Purpose</w:t>
            </w:r>
          </w:p>
        </w:tc>
        <w:tc>
          <w:tcPr>
            <w:tcW w:type="dxa" w:w="4536"/>
            <w:vAlign w:val="center"/>
            <w:shd w:fill="17365D"/>
          </w:tcPr>
          <w:p>
            <w:pPr>
              <w:spacing w:after="0"/>
            </w:pPr>
            <w:r/>
            <w:r>
              <w:rPr>
                <w:rFonts w:ascii="Arial" w:hAnsi="Arial"/>
                <w:b/>
                <w:color w:val="FFFFFF"/>
                <w:sz w:val="17"/>
              </w:rPr>
              <w:t>Contract details to confirm</w:t>
            </w:r>
          </w:p>
        </w:tc>
      </w:tr>
      <w:tr>
        <w:tc>
          <w:tcPr>
            <w:tcW w:type="dxa" w:w="3456"/>
            <w:vAlign w:val="center"/>
          </w:tcPr>
          <w:p>
            <w:pPr>
              <w:spacing w:after="0"/>
            </w:pPr>
            <w:r/>
            <w:r>
              <w:rPr>
                <w:rFonts w:ascii="Arial" w:hAnsi="Arial"/>
                <w:b w:val="0"/>
                <w:sz w:val="16"/>
              </w:rPr>
              <w:t>POST `/api/v1/dedup/compute`</w:t>
            </w:r>
          </w:p>
        </w:tc>
        <w:tc>
          <w:tcPr>
            <w:tcW w:type="dxa" w:w="2088"/>
            <w:vAlign w:val="center"/>
          </w:tcPr>
          <w:p>
            <w:pPr>
              <w:spacing w:after="0"/>
            </w:pPr>
            <w:r/>
            <w:r>
              <w:rPr>
                <w:rFonts w:ascii="Arial" w:hAnsi="Arial"/>
                <w:b w:val="0"/>
                <w:sz w:val="16"/>
              </w:rPr>
              <w:t>Compute deduplication</w:t>
            </w:r>
          </w:p>
        </w:tc>
        <w:tc>
          <w:tcPr>
            <w:tcW w:type="dxa" w:w="4536"/>
            <w:vAlign w:val="center"/>
          </w:tcPr>
          <w:p>
            <w:pPr>
              <w:spacing w:after="0"/>
            </w:pPr>
            <w:r/>
            <w:r>
              <w:rPr>
                <w:rFonts w:ascii="Arial" w:hAnsi="Arial"/>
                <w:b w:val="0"/>
                <w:sz w:val="16"/>
              </w:rPr>
              <w:t>Exact input: file/version/backup IDs and/or storage reference; whether it reads bytes or accepts hashes.</w:t>
            </w:r>
          </w:p>
        </w:tc>
      </w:tr>
      <w:tr>
        <w:tc>
          <w:tcPr>
            <w:tcW w:type="dxa" w:w="3456"/>
            <w:vAlign w:val="center"/>
          </w:tcPr>
          <w:p>
            <w:pPr>
              <w:spacing w:after="0"/>
            </w:pPr>
            <w:r/>
            <w:r>
              <w:rPr>
                <w:rFonts w:ascii="Arial" w:hAnsi="Arial"/>
                <w:b w:val="0"/>
                <w:sz w:val="16"/>
              </w:rPr>
              <w:t>GET `/api/v1/dedup/:resultId`</w:t>
            </w:r>
          </w:p>
        </w:tc>
        <w:tc>
          <w:tcPr>
            <w:tcW w:type="dxa" w:w="2088"/>
            <w:vAlign w:val="center"/>
          </w:tcPr>
          <w:p>
            <w:pPr>
              <w:spacing w:after="0"/>
            </w:pPr>
            <w:r/>
            <w:r>
              <w:rPr>
                <w:rFonts w:ascii="Arial" w:hAnsi="Arial"/>
                <w:b w:val="0"/>
                <w:sz w:val="16"/>
              </w:rPr>
              <w:t>Get dedup result</w:t>
            </w:r>
          </w:p>
        </w:tc>
        <w:tc>
          <w:tcPr>
            <w:tcW w:type="dxa" w:w="4536"/>
            <w:vAlign w:val="center"/>
          </w:tcPr>
          <w:p>
            <w:pPr>
              <w:spacing w:after="0"/>
            </w:pPr>
            <w:r/>
            <w:r>
              <w:rPr>
                <w:rFonts w:ascii="Arial" w:hAnsi="Arial"/>
                <w:b w:val="0"/>
                <w:sz w:val="16"/>
              </w:rPr>
              <w:t>Stable result_id; chunk counts, bytes saved/savings ratio, status and associated IDs.</w:t>
            </w:r>
          </w:p>
        </w:tc>
      </w:tr>
      <w:tr>
        <w:tc>
          <w:tcPr>
            <w:tcW w:type="dxa" w:w="3456"/>
            <w:vAlign w:val="center"/>
          </w:tcPr>
          <w:p>
            <w:pPr>
              <w:spacing w:after="0"/>
            </w:pPr>
            <w:r/>
            <w:r>
              <w:rPr>
                <w:rFonts w:ascii="Arial" w:hAnsi="Arial"/>
                <w:b w:val="0"/>
                <w:sz w:val="16"/>
              </w:rPr>
              <w:t>POST `/api/v1/integrity/verify`</w:t>
            </w:r>
          </w:p>
        </w:tc>
        <w:tc>
          <w:tcPr>
            <w:tcW w:type="dxa" w:w="2088"/>
            <w:vAlign w:val="center"/>
          </w:tcPr>
          <w:p>
            <w:pPr>
              <w:spacing w:after="0"/>
            </w:pPr>
            <w:r/>
            <w:r>
              <w:rPr>
                <w:rFonts w:ascii="Arial" w:hAnsi="Arial"/>
                <w:b w:val="0"/>
                <w:sz w:val="16"/>
              </w:rPr>
              <w:t>Verify integrity</w:t>
            </w:r>
          </w:p>
        </w:tc>
        <w:tc>
          <w:tcPr>
            <w:tcW w:type="dxa" w:w="4536"/>
            <w:vAlign w:val="center"/>
          </w:tcPr>
          <w:p>
            <w:pPr>
              <w:spacing w:after="0"/>
            </w:pPr>
            <w:r/>
            <w:r>
              <w:rPr>
                <w:rFonts w:ascii="Arial" w:hAnsi="Arial"/>
                <w:b w:val="0"/>
                <w:sz w:val="16"/>
              </w:rPr>
              <w:t>Current Team D call can send `{ "backup_id": "..." }`; confirm support and return actual verification details.</w:t>
            </w:r>
          </w:p>
        </w:tc>
      </w:tr>
      <w:tr>
        <w:tc>
          <w:tcPr>
            <w:tcW w:type="dxa" w:w="3456"/>
            <w:vAlign w:val="center"/>
          </w:tcPr>
          <w:p>
            <w:pPr>
              <w:spacing w:after="0"/>
            </w:pPr>
            <w:r/>
            <w:r>
              <w:rPr>
                <w:rFonts w:ascii="Arial" w:hAnsi="Arial"/>
                <w:b w:val="0"/>
                <w:sz w:val="16"/>
              </w:rPr>
              <w:t>GET `/api/v1/chunks/index`</w:t>
            </w:r>
          </w:p>
        </w:tc>
        <w:tc>
          <w:tcPr>
            <w:tcW w:type="dxa" w:w="2088"/>
            <w:vAlign w:val="center"/>
          </w:tcPr>
          <w:p>
            <w:pPr>
              <w:spacing w:after="0"/>
            </w:pPr>
            <w:r/>
            <w:r>
              <w:rPr>
                <w:rFonts w:ascii="Arial" w:hAnsi="Arial"/>
                <w:b w:val="0"/>
                <w:sz w:val="16"/>
              </w:rPr>
              <w:t>Chunk index information</w:t>
            </w:r>
          </w:p>
        </w:tc>
        <w:tc>
          <w:tcPr>
            <w:tcW w:type="dxa" w:w="4536"/>
            <w:vAlign w:val="center"/>
          </w:tcPr>
          <w:p>
            <w:pPr>
              <w:spacing w:after="0"/>
            </w:pPr>
            <w:r/>
            <w:r>
              <w:rPr>
                <w:rFonts w:ascii="Arial" w:hAnsi="Arial"/>
                <w:b w:val="0"/>
                <w:sz w:val="16"/>
              </w:rPr>
              <w:t>Actual index statistics and stable schema.</w:t>
            </w:r>
          </w:p>
        </w:tc>
      </w:tr>
      <w:tr>
        <w:tc>
          <w:tcPr>
            <w:tcW w:type="dxa" w:w="3456"/>
            <w:vAlign w:val="center"/>
          </w:tcPr>
          <w:p>
            <w:pPr>
              <w:spacing w:after="0"/>
            </w:pPr>
            <w:r/>
            <w:r>
              <w:rPr>
                <w:rFonts w:ascii="Arial" w:hAnsi="Arial"/>
                <w:b w:val="0"/>
                <w:sz w:val="16"/>
              </w:rPr>
              <w:t>GET `/api/v1/metrics/dedup`</w:t>
            </w:r>
          </w:p>
        </w:tc>
        <w:tc>
          <w:tcPr>
            <w:tcW w:type="dxa" w:w="2088"/>
            <w:vAlign w:val="center"/>
          </w:tcPr>
          <w:p>
            <w:pPr>
              <w:spacing w:after="0"/>
            </w:pPr>
            <w:r/>
            <w:r>
              <w:rPr>
                <w:rFonts w:ascii="Arial" w:hAnsi="Arial"/>
                <w:b w:val="0"/>
                <w:sz w:val="16"/>
              </w:rPr>
              <w:t>Dedup metrics</w:t>
            </w:r>
          </w:p>
        </w:tc>
        <w:tc>
          <w:tcPr>
            <w:tcW w:type="dxa" w:w="4536"/>
            <w:vAlign w:val="center"/>
          </w:tcPr>
          <w:p>
            <w:pPr>
              <w:spacing w:after="0"/>
            </w:pPr>
            <w:r/>
            <w:r>
              <w:rPr>
                <w:rFonts w:ascii="Arial" w:hAnsi="Arial"/>
                <w:b w:val="0"/>
                <w:sz w:val="16"/>
              </w:rPr>
              <w:t>Actual metric names and response schema.</w:t>
            </w:r>
          </w:p>
        </w:tc>
      </w:tr>
    </w:tbl>
    <w:p/>
    <w:p>
      <w:pPr>
        <w:pStyle w:val="Heading2"/>
      </w:pPr>
      <w:r>
        <w:t>5.3 Team C contracts that must be confirmed</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7365D"/>
          </w:tcPr>
          <w:p>
            <w:pPr>
              <w:spacing w:after="0"/>
            </w:pPr>
            <w:r/>
            <w:r>
              <w:rPr>
                <w:rFonts w:ascii="Arial" w:hAnsi="Arial"/>
                <w:b/>
                <w:color w:val="FFFFFF"/>
                <w:sz w:val="17"/>
              </w:rPr>
              <w:t>Capability</w:t>
            </w:r>
          </w:p>
        </w:tc>
        <w:tc>
          <w:tcPr>
            <w:tcW w:type="dxa" w:w="7632"/>
            <w:vAlign w:val="center"/>
            <w:shd w:fill="17365D"/>
          </w:tcPr>
          <w:p>
            <w:pPr>
              <w:spacing w:after="0"/>
            </w:pPr>
            <w:r/>
            <w:r>
              <w:rPr>
                <w:rFonts w:ascii="Arial" w:hAnsi="Arial"/>
                <w:b/>
                <w:color w:val="FFFFFF"/>
                <w:sz w:val="17"/>
              </w:rPr>
              <w:t>Required agreement</w:t>
            </w:r>
          </w:p>
        </w:tc>
      </w:tr>
      <w:tr>
        <w:tc>
          <w:tcPr>
            <w:tcW w:type="dxa" w:w="2448"/>
            <w:vAlign w:val="center"/>
          </w:tcPr>
          <w:p>
            <w:pPr>
              <w:spacing w:after="0"/>
            </w:pPr>
            <w:r/>
            <w:r>
              <w:rPr>
                <w:rFonts w:ascii="Arial" w:hAnsi="Arial"/>
                <w:b w:val="0"/>
                <w:sz w:val="16"/>
              </w:rPr>
              <w:t>Credential verification</w:t>
            </w:r>
          </w:p>
        </w:tc>
        <w:tc>
          <w:tcPr>
            <w:tcW w:type="dxa" w:w="7632"/>
            <w:vAlign w:val="center"/>
          </w:tcPr>
          <w:p>
            <w:pPr>
              <w:spacing w:after="0"/>
            </w:pPr>
            <w:r/>
            <w:r>
              <w:rPr>
                <w:rFonts w:ascii="Arial" w:hAnsi="Arial"/>
                <w:b w:val="0"/>
                <w:sz w:val="16"/>
              </w:rPr>
              <w:t>Team D currently calls `GET /api/v1/users/by-username?username=...`, but this route and its auth semantics are not confirmed. C must provide a secure credential-verification contract or identify an existing supported equivalent.</w:t>
            </w:r>
          </w:p>
        </w:tc>
      </w:tr>
      <w:tr>
        <w:tc>
          <w:tcPr>
            <w:tcW w:type="dxa" w:w="2448"/>
            <w:vAlign w:val="center"/>
          </w:tcPr>
          <w:p>
            <w:pPr>
              <w:spacing w:after="0"/>
            </w:pPr>
            <w:r/>
            <w:r>
              <w:rPr>
                <w:rFonts w:ascii="Arial" w:hAnsi="Arial"/>
                <w:b w:val="0"/>
                <w:sz w:val="16"/>
              </w:rPr>
              <w:t>Identity lookup</w:t>
            </w:r>
          </w:p>
        </w:tc>
        <w:tc>
          <w:tcPr>
            <w:tcW w:type="dxa" w:w="7632"/>
            <w:vAlign w:val="center"/>
          </w:tcPr>
          <w:p>
            <w:pPr>
              <w:spacing w:after="0"/>
            </w:pPr>
            <w:r/>
            <w:r>
              <w:rPr>
                <w:rFonts w:ascii="Arial" w:hAnsi="Arial"/>
                <w:b w:val="0"/>
                <w:sz w:val="16"/>
              </w:rPr>
              <w:t>C has an integration identity lookup pattern `GET /api/v1/integration/users/:userId` requiring the service credential; confirm exact response and how Team D maps IDs.</w:t>
            </w:r>
          </w:p>
        </w:tc>
      </w:tr>
      <w:tr>
        <w:tc>
          <w:tcPr>
            <w:tcW w:type="dxa" w:w="2448"/>
            <w:vAlign w:val="center"/>
          </w:tcPr>
          <w:p>
            <w:pPr>
              <w:spacing w:after="0"/>
            </w:pPr>
            <w:r/>
            <w:r>
              <w:rPr>
                <w:rFonts w:ascii="Arial" w:hAnsi="Arial"/>
                <w:b w:val="0"/>
                <w:sz w:val="16"/>
              </w:rPr>
              <w:t>User creation</w:t>
            </w:r>
          </w:p>
        </w:tc>
        <w:tc>
          <w:tcPr>
            <w:tcW w:type="dxa" w:w="7632"/>
            <w:vAlign w:val="center"/>
          </w:tcPr>
          <w:p>
            <w:pPr>
              <w:spacing w:after="0"/>
            </w:pPr>
            <w:r/>
            <w:r>
              <w:rPr>
                <w:rFonts w:ascii="Arial" w:hAnsi="Arial"/>
                <w:b w:val="0"/>
                <w:sz w:val="16"/>
              </w:rPr>
              <w:t>Admin-only API to create a user with a hashed password and role; return the canonical numeric ID. Preserve existing users.</w:t>
            </w:r>
          </w:p>
        </w:tc>
      </w:tr>
      <w:tr>
        <w:tc>
          <w:tcPr>
            <w:tcW w:type="dxa" w:w="2448"/>
            <w:vAlign w:val="center"/>
          </w:tcPr>
          <w:p>
            <w:pPr>
              <w:spacing w:after="0"/>
            </w:pPr>
            <w:r/>
            <w:r>
              <w:rPr>
                <w:rFonts w:ascii="Arial" w:hAnsi="Arial"/>
                <w:b w:val="0"/>
                <w:sz w:val="16"/>
              </w:rPr>
              <w:t>File upload/registration</w:t>
            </w:r>
          </w:p>
        </w:tc>
        <w:tc>
          <w:tcPr>
            <w:tcW w:type="dxa" w:w="7632"/>
            <w:vAlign w:val="center"/>
          </w:tcPr>
          <w:p>
            <w:pPr>
              <w:spacing w:after="0"/>
            </w:pPr>
            <w:r>
              <w:t>Confirm whether C accepts multipart file upload or registers a Backblaze B2 object reference. Return canonical file_id/version_id and storage reference.</w:t>
            </w:r>
            <w:r>
              <w:rPr>
                <w:rFonts w:ascii="Arial" w:hAnsi="Arial"/>
                <w:b w:val="0"/>
                <w:sz w:val="16"/>
              </w:rPr>
            </w:r>
          </w:p>
        </w:tc>
      </w:tr>
      <w:tr>
        <w:tc>
          <w:tcPr>
            <w:tcW w:type="dxa" w:w="2448"/>
            <w:vAlign w:val="center"/>
          </w:tcPr>
          <w:p>
            <w:pPr>
              <w:spacing w:after="0"/>
            </w:pPr>
            <w:r/>
            <w:r>
              <w:rPr>
                <w:rFonts w:ascii="Arial" w:hAnsi="Arial"/>
                <w:b w:val="0"/>
                <w:sz w:val="16"/>
              </w:rPr>
              <w:t>Backup/restore metadata</w:t>
            </w:r>
          </w:p>
        </w:tc>
        <w:tc>
          <w:tcPr>
            <w:tcW w:type="dxa" w:w="7632"/>
            <w:vAlign w:val="center"/>
          </w:tcPr>
          <w:p>
            <w:pPr>
              <w:spacing w:after="0"/>
            </w:pPr>
            <w:r/>
            <w:r>
              <w:rPr>
                <w:rFonts w:ascii="Arial" w:hAnsi="Arial"/>
                <w:b w:val="0"/>
                <w:sz w:val="16"/>
              </w:rPr>
              <w:t>Confirm endpoints, lifecycle transitions, which service owns state, and how A's job_id links to C's backup/restore record.</w:t>
            </w:r>
          </w:p>
        </w:tc>
      </w:tr>
      <w:tr>
        <w:tc>
          <w:tcPr>
            <w:tcW w:type="dxa" w:w="2448"/>
            <w:vAlign w:val="center"/>
          </w:tcPr>
          <w:p>
            <w:pPr>
              <w:spacing w:after="0"/>
            </w:pPr>
            <w:r/>
            <w:r>
              <w:rPr>
                <w:rFonts w:ascii="Arial" w:hAnsi="Arial"/>
                <w:b w:val="0"/>
                <w:sz w:val="16"/>
              </w:rPr>
              <w:t>Restore/download</w:t>
            </w:r>
          </w:p>
        </w:tc>
        <w:tc>
          <w:tcPr>
            <w:tcW w:type="dxa" w:w="7632"/>
            <w:vAlign w:val="center"/>
          </w:tcPr>
          <w:p>
            <w:pPr>
              <w:spacing w:after="0"/>
            </w:pPr>
            <w:r/>
            <w:r>
              <w:rPr>
                <w:rFonts w:ascii="Arial" w:hAnsi="Arial"/>
                <w:b w:val="0"/>
                <w:sz w:val="16"/>
              </w:rPr>
              <w:t>Confirm how a selected version is reconstructed/retrieved from the stored object or B's chunk manifest, and how final integrity is verified.</w:t>
            </w:r>
          </w:p>
        </w:tc>
      </w:tr>
    </w:tbl>
    <w:p/>
    <w:p>
      <w:pPr>
        <w:pStyle w:val="Heading1"/>
      </w:pPr>
      <w:r>
        <w:t>6. Shared Backblaze B2 storage agreement</w:t>
      </w:r>
    </w:p>
    <w:p>
      <w:r>
        <w:t>A successful `TcpTestSucceeded: True` to the HTTPS S3-compatible endpoint proves TCP reachability only. Before integration, all relevant teams must agree on the following:</w:t>
      </w:r>
    </w:p>
    <w:p>
      <w:pPr>
        <w:pStyle w:val="ListBullet"/>
        <w:spacing w:after="40"/>
      </w:pPr>
      <w:r>
        <w:t>Endpoint each service can reach, bucket name, region and endpoint, access-key/secret-key variable names, and whether bucket creation/versioning is required.</w:t>
      </w:r>
    </w:p>
    <w:p>
      <w:pPr>
        <w:pStyle w:val="ListBullet"/>
        <w:spacing w:after="40"/>
      </w:pPr>
      <w:r>
        <w:t>A single object-reference shape, recommended as `{ "provider": "backblaze-b2", "bucket": "...", "key": "..." }`.</w:t>
      </w:r>
    </w:p>
    <w:p>
      <w:pPr>
        <w:pStyle w:val="ListBullet"/>
        <w:spacing w:after="40"/>
      </w:pPr>
      <w:r>
        <w:t>Key naming rules for original files, file versions, chunks, manifests and restored outputs; decide which team creates each object.</w:t>
      </w:r>
    </w:p>
    <w:p>
      <w:pPr>
        <w:pStyle w:val="ListBullet"/>
        <w:spacing w:after="40"/>
      </w:pPr>
      <w:r>
        <w:t>Who uploads the original file, who writes chunks, who stores the manifest/index, and which metadata service records the references.</w:t>
      </w:r>
    </w:p>
    <w:p>
      <w:pPr>
        <w:pStyle w:val="ListBullet"/>
        <w:spacing w:after="40"/>
      </w:pPr>
      <w:r>
        <w:t>All services use configuration/environment variables; never hard-code laptop paths, IPs, or credentials in source code.</w:t>
      </w:r>
    </w:p>
    <w:p>
      <w:pPr>
        <w:pStyle w:val="ListBullet"/>
        <w:spacing w:after="40"/>
      </w:pPr>
      <w:r>
        <w:t>Run an actual upload, read-back, and checksum test from each service that needs storage access. Network connectivity alone is not acceptance.</w:t>
      </w:r>
    </w:p>
    <w:p>
      <w:pPr>
        <w:pStyle w:val="Heading1"/>
      </w:pPr>
      <w:r>
        <w:t>7. Cross-team coordination matrix</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7365D"/>
          </w:tcPr>
          <w:p>
            <w:pPr>
              <w:spacing w:after="0"/>
            </w:pPr>
            <w:r/>
            <w:r>
              <w:rPr>
                <w:rFonts w:ascii="Arial" w:hAnsi="Arial"/>
                <w:b/>
                <w:color w:val="FFFFFF"/>
                <w:sz w:val="17"/>
              </w:rPr>
              <w:t>Teams</w:t>
            </w:r>
          </w:p>
        </w:tc>
        <w:tc>
          <w:tcPr>
            <w:tcW w:type="dxa" w:w="5472"/>
            <w:vAlign w:val="center"/>
            <w:shd w:fill="17365D"/>
          </w:tcPr>
          <w:p>
            <w:pPr>
              <w:spacing w:after="0"/>
            </w:pPr>
            <w:r/>
            <w:r>
              <w:rPr>
                <w:rFonts w:ascii="Arial" w:hAnsi="Arial"/>
                <w:b/>
                <w:color w:val="FFFFFF"/>
                <w:sz w:val="17"/>
              </w:rPr>
              <w:t>Must coordinate on</w:t>
            </w:r>
          </w:p>
        </w:tc>
        <w:tc>
          <w:tcPr>
            <w:tcW w:type="dxa" w:w="3168"/>
            <w:vAlign w:val="center"/>
            <w:shd w:fill="17365D"/>
          </w:tcPr>
          <w:p>
            <w:pPr>
              <w:spacing w:after="0"/>
            </w:pPr>
            <w:r/>
            <w:r>
              <w:rPr>
                <w:rFonts w:ascii="Arial" w:hAnsi="Arial"/>
                <w:b/>
                <w:color w:val="FFFFFF"/>
                <w:sz w:val="17"/>
              </w:rPr>
              <w:t>Decision owner / output</w:t>
            </w:r>
          </w:p>
        </w:tc>
      </w:tr>
      <w:tr>
        <w:tc>
          <w:tcPr>
            <w:tcW w:type="dxa" w:w="1440"/>
            <w:vAlign w:val="center"/>
          </w:tcPr>
          <w:p>
            <w:pPr>
              <w:spacing w:after="0"/>
            </w:pPr>
            <w:r/>
            <w:r>
              <w:rPr>
                <w:rFonts w:ascii="Arial" w:hAnsi="Arial"/>
                <w:b w:val="0"/>
                <w:sz w:val="16"/>
              </w:rPr>
              <w:t>A ↔ B</w:t>
            </w:r>
          </w:p>
        </w:tc>
        <w:tc>
          <w:tcPr>
            <w:tcW w:type="dxa" w:w="5472"/>
            <w:vAlign w:val="center"/>
          </w:tcPr>
          <w:p>
            <w:pPr>
              <w:spacing w:after="0"/>
            </w:pPr>
            <w:r/>
            <w:r>
              <w:rPr>
                <w:rFonts w:ascii="Arial" w:hAnsi="Arial"/>
                <w:b w:val="0"/>
                <w:sz w:val="16"/>
              </w:rPr>
              <w:t>When dedup/integrity runs; whether A calls B; payload/result IDs; handling B failure; when A may mark a job complete.</w:t>
            </w:r>
          </w:p>
        </w:tc>
        <w:tc>
          <w:tcPr>
            <w:tcW w:type="dxa" w:w="3168"/>
            <w:vAlign w:val="center"/>
          </w:tcPr>
          <w:p>
            <w:pPr>
              <w:spacing w:after="0"/>
            </w:pPr>
            <w:r/>
            <w:r>
              <w:rPr>
                <w:rFonts w:ascii="Arial" w:hAnsi="Arial"/>
                <w:b w:val="0"/>
                <w:sz w:val="16"/>
              </w:rPr>
              <w:t>A and B jointly: one sequence diagram/API contract.</w:t>
            </w:r>
          </w:p>
        </w:tc>
      </w:tr>
      <w:tr>
        <w:tc>
          <w:tcPr>
            <w:tcW w:type="dxa" w:w="1440"/>
            <w:vAlign w:val="center"/>
          </w:tcPr>
          <w:p>
            <w:pPr>
              <w:spacing w:after="0"/>
            </w:pPr>
            <w:r/>
            <w:r>
              <w:rPr>
                <w:rFonts w:ascii="Arial" w:hAnsi="Arial"/>
                <w:b w:val="0"/>
                <w:sz w:val="16"/>
              </w:rPr>
              <w:t>A ↔ C</w:t>
            </w:r>
          </w:p>
        </w:tc>
        <w:tc>
          <w:tcPr>
            <w:tcW w:type="dxa" w:w="5472"/>
            <w:vAlign w:val="center"/>
          </w:tcPr>
          <w:p>
            <w:pPr>
              <w:spacing w:after="0"/>
            </w:pPr>
            <w:r/>
            <w:r>
              <w:rPr>
                <w:rFonts w:ascii="Arial" w:hAnsi="Arial"/>
                <w:b w:val="0"/>
                <w:sz w:val="16"/>
              </w:rPr>
              <w:t>Backup/restore request creation; mapping job_id to backup_id/restore ID; state ownership; error/retry behavior.</w:t>
            </w:r>
          </w:p>
        </w:tc>
        <w:tc>
          <w:tcPr>
            <w:tcW w:type="dxa" w:w="3168"/>
            <w:vAlign w:val="center"/>
          </w:tcPr>
          <w:p>
            <w:pPr>
              <w:spacing w:after="0"/>
            </w:pPr>
            <w:r/>
            <w:r>
              <w:rPr>
                <w:rFonts w:ascii="Arial" w:hAnsi="Arial"/>
                <w:b w:val="0"/>
                <w:sz w:val="16"/>
              </w:rPr>
              <w:t>A and C jointly: state-transition table and ID mapping.</w:t>
            </w:r>
          </w:p>
        </w:tc>
      </w:tr>
      <w:tr>
        <w:tc>
          <w:tcPr>
            <w:tcW w:type="dxa" w:w="1440"/>
            <w:vAlign w:val="center"/>
          </w:tcPr>
          <w:p>
            <w:pPr>
              <w:spacing w:after="0"/>
            </w:pPr>
            <w:r/>
            <w:r>
              <w:rPr>
                <w:rFonts w:ascii="Arial" w:hAnsi="Arial"/>
                <w:b w:val="0"/>
                <w:sz w:val="16"/>
              </w:rPr>
              <w:t>B ↔ C</w:t>
            </w:r>
          </w:p>
        </w:tc>
        <w:tc>
          <w:tcPr>
            <w:tcW w:type="dxa" w:w="5472"/>
            <w:vAlign w:val="center"/>
          </w:tcPr>
          <w:p>
            <w:pPr>
              <w:spacing w:after="0"/>
            </w:pPr>
            <w:r/>
            <w:r>
              <w:rPr>
                <w:rFonts w:ascii="Arial" w:hAnsi="Arial"/>
                <w:b w:val="0"/>
                <w:sz w:val="16"/>
              </w:rPr>
              <w:t>Canonical file/version/backup IDs; manifest and chunk references; storage layout; restore reconstruction; integrity metadata ownership.</w:t>
            </w:r>
          </w:p>
        </w:tc>
        <w:tc>
          <w:tcPr>
            <w:tcW w:type="dxa" w:w="3168"/>
            <w:vAlign w:val="center"/>
          </w:tcPr>
          <w:p>
            <w:pPr>
              <w:spacing w:after="0"/>
            </w:pPr>
            <w:r/>
            <w:r>
              <w:rPr>
                <w:rFonts w:ascii="Arial" w:hAnsi="Arial"/>
                <w:b w:val="0"/>
                <w:sz w:val="16"/>
              </w:rPr>
              <w:t>B and C jointly: storage/manifest contract.</w:t>
            </w:r>
          </w:p>
        </w:tc>
      </w:tr>
      <w:tr>
        <w:tc>
          <w:tcPr>
            <w:tcW w:type="dxa" w:w="1440"/>
            <w:vAlign w:val="center"/>
          </w:tcPr>
          <w:p>
            <w:pPr>
              <w:spacing w:after="0"/>
            </w:pPr>
            <w:r/>
            <w:r>
              <w:rPr>
                <w:rFonts w:ascii="Arial" w:hAnsi="Arial"/>
                <w:b w:val="0"/>
                <w:sz w:val="16"/>
              </w:rPr>
              <w:t>C ↔ D</w:t>
            </w:r>
          </w:p>
        </w:tc>
        <w:tc>
          <w:tcPr>
            <w:tcW w:type="dxa" w:w="5472"/>
            <w:vAlign w:val="center"/>
          </w:tcPr>
          <w:p>
            <w:pPr>
              <w:spacing w:after="0"/>
            </w:pPr>
            <w:r/>
            <w:r>
              <w:rPr>
                <w:rFonts w:ascii="Arial" w:hAnsi="Arial"/>
                <w:b w:val="0"/>
                <w:sz w:val="16"/>
              </w:rPr>
              <w:t>Login/credential verification, user creation, identity mapping, file APIs, backup/restore APIs and role headers.</w:t>
            </w:r>
          </w:p>
        </w:tc>
        <w:tc>
          <w:tcPr>
            <w:tcW w:type="dxa" w:w="3168"/>
            <w:vAlign w:val="center"/>
          </w:tcPr>
          <w:p>
            <w:pPr>
              <w:spacing w:after="0"/>
            </w:pPr>
            <w:r/>
            <w:r>
              <w:rPr>
                <w:rFonts w:ascii="Arial" w:hAnsi="Arial"/>
                <w:b w:val="0"/>
                <w:sz w:val="16"/>
              </w:rPr>
              <w:t>C and D jointly: auth and metadata API contract.</w:t>
            </w:r>
          </w:p>
        </w:tc>
      </w:tr>
      <w:tr>
        <w:tc>
          <w:tcPr>
            <w:tcW w:type="dxa" w:w="1440"/>
            <w:vAlign w:val="center"/>
          </w:tcPr>
          <w:p>
            <w:pPr>
              <w:spacing w:after="0"/>
            </w:pPr>
            <w:r/>
            <w:r>
              <w:rPr>
                <w:rFonts w:ascii="Arial" w:hAnsi="Arial"/>
                <w:b w:val="0"/>
                <w:sz w:val="16"/>
              </w:rPr>
              <w:t>A ↔ D</w:t>
            </w:r>
          </w:p>
        </w:tc>
        <w:tc>
          <w:tcPr>
            <w:tcW w:type="dxa" w:w="5472"/>
            <w:vAlign w:val="center"/>
          </w:tcPr>
          <w:p>
            <w:pPr>
              <w:spacing w:after="0"/>
            </w:pPr>
            <w:r/>
            <w:r>
              <w:rPr>
                <w:rFonts w:ascii="Arial" w:hAnsi="Arial"/>
                <w:b w:val="0"/>
                <w:sz w:val="16"/>
              </w:rPr>
              <w:t>Existing job endpoints, payload compatibility, status, SSE and errors.</w:t>
            </w:r>
          </w:p>
        </w:tc>
        <w:tc>
          <w:tcPr>
            <w:tcW w:type="dxa" w:w="3168"/>
            <w:vAlign w:val="center"/>
          </w:tcPr>
          <w:p>
            <w:pPr>
              <w:spacing w:after="0"/>
            </w:pPr>
            <w:r/>
            <w:r>
              <w:rPr>
                <w:rFonts w:ascii="Arial" w:hAnsi="Arial"/>
                <w:b w:val="0"/>
                <w:sz w:val="16"/>
              </w:rPr>
              <w:t>A confirms existing Team D client contract.</w:t>
            </w:r>
          </w:p>
        </w:tc>
      </w:tr>
      <w:tr>
        <w:tc>
          <w:tcPr>
            <w:tcW w:type="dxa" w:w="1440"/>
            <w:vAlign w:val="center"/>
          </w:tcPr>
          <w:p>
            <w:pPr>
              <w:spacing w:after="0"/>
            </w:pPr>
            <w:r/>
            <w:r>
              <w:rPr>
                <w:rFonts w:ascii="Arial" w:hAnsi="Arial"/>
                <w:b w:val="0"/>
                <w:sz w:val="16"/>
              </w:rPr>
              <w:t>B ↔ D</w:t>
            </w:r>
          </w:p>
        </w:tc>
        <w:tc>
          <w:tcPr>
            <w:tcW w:type="dxa" w:w="5472"/>
            <w:vAlign w:val="center"/>
          </w:tcPr>
          <w:p>
            <w:pPr>
              <w:spacing w:after="0"/>
            </w:pPr>
            <w:r/>
            <w:r>
              <w:rPr>
                <w:rFonts w:ascii="Arial" w:hAnsi="Arial"/>
                <w:b w:val="0"/>
                <w:sz w:val="16"/>
              </w:rPr>
              <w:t>Existing dedup/integrity endpoints, payloads, result IDs and metrics.</w:t>
            </w:r>
          </w:p>
        </w:tc>
        <w:tc>
          <w:tcPr>
            <w:tcW w:type="dxa" w:w="3168"/>
            <w:vAlign w:val="center"/>
          </w:tcPr>
          <w:p>
            <w:pPr>
              <w:spacing w:after="0"/>
            </w:pPr>
            <w:r/>
            <w:r>
              <w:rPr>
                <w:rFonts w:ascii="Arial" w:hAnsi="Arial"/>
                <w:b w:val="0"/>
                <w:sz w:val="16"/>
              </w:rPr>
              <w:t>B confirms existing Team D client contract.</w:t>
            </w:r>
          </w:p>
        </w:tc>
      </w:tr>
      <w:tr>
        <w:tc>
          <w:tcPr>
            <w:tcW w:type="dxa" w:w="1440"/>
            <w:vAlign w:val="center"/>
          </w:tcPr>
          <w:p>
            <w:pPr>
              <w:spacing w:after="0"/>
            </w:pPr>
            <w:r/>
            <w:r>
              <w:rPr>
                <w:rFonts w:ascii="Arial" w:hAnsi="Arial"/>
                <w:b w:val="0"/>
                <w:sz w:val="16"/>
              </w:rPr>
              <w:t>All teams</w:t>
            </w:r>
          </w:p>
        </w:tc>
        <w:tc>
          <w:tcPr>
            <w:tcW w:type="dxa" w:w="5472"/>
            <w:vAlign w:val="center"/>
          </w:tcPr>
          <w:p>
            <w:pPr>
              <w:spacing w:after="0"/>
            </w:pPr>
            <w:r>
              <w:t>End-to-end identifiers, Backblaze B2 convention, environment variables, deployment URLs, test ownership.</w:t>
            </w:r>
            <w:r>
              <w:rPr>
                <w:rFonts w:ascii="Arial" w:hAnsi="Arial"/>
                <w:b w:val="0"/>
                <w:sz w:val="16"/>
              </w:rPr>
            </w:r>
          </w:p>
        </w:tc>
        <w:tc>
          <w:tcPr>
            <w:tcW w:type="dxa" w:w="3168"/>
            <w:vAlign w:val="center"/>
          </w:tcPr>
          <w:p>
            <w:pPr>
              <w:spacing w:after="0"/>
            </w:pPr>
            <w:r/>
            <w:r>
              <w:rPr>
                <w:rFonts w:ascii="Arial" w:hAnsi="Arial"/>
                <w:b w:val="0"/>
                <w:sz w:val="16"/>
              </w:rPr>
              <w:t>One shared contract sheet; changes announced in the team group.</w:t>
            </w:r>
          </w:p>
        </w:tc>
      </w:tr>
    </w:tbl>
    <w:p/>
    <w:p>
      <w:pPr>
        <w:pStyle w:val="Heading1"/>
      </w:pPr>
      <w:r>
        <w:t>8. One-to-two-day integration sprint</w:t>
      </w:r>
    </w:p>
    <w:p>
      <w:pPr>
        <w:pStyle w:val="Heading2"/>
      </w:pPr>
      <w:r>
        <w:t>Before the integration session (now)</w:t>
      </w:r>
    </w:p>
    <w:p>
      <w:pPr>
        <w:pStyle w:val="ListNumber"/>
        <w:spacing w:after="40"/>
      </w:pPr>
      <w:r>
        <w:t>Each team sends its exact base URL/port, start command, API contracts, sample requests/responses, required environment-variable names and implemented-vs-missing list.</w:t>
      </w:r>
    </w:p>
    <w:p>
      <w:pPr>
        <w:pStyle w:val="ListNumber"/>
        <w:spacing w:after="40"/>
      </w:pPr>
      <w:r>
        <w:t>A/B/C compare their contracts with Team D's existing client interfaces and adjust their services where practical.</w:t>
      </w:r>
    </w:p>
    <w:p>
      <w:pPr>
        <w:pStyle w:val="ListNumber"/>
        <w:spacing w:after="40"/>
      </w:pPr>
      <w:r>
        <w:t>A/B/C identify required cross-team calls and agree on one workflow. Do not leave A↔B, A↔C or B↔C dependencies to be discovered on the day.</w:t>
      </w:r>
    </w:p>
    <w:p>
      <w:pPr>
        <w:pStyle w:val="ListNumber"/>
        <w:spacing w:after="40"/>
      </w:pPr>
      <w:r>
        <w:t>Agree on Backblaze B2 B2 B2 bucket/key conventions and identifiers. Keep credentials private and configure them through local environment files.</w:t>
      </w:r>
    </w:p>
    <w:p>
      <w:pPr>
        <w:pStyle w:val="ListNumber"/>
        <w:spacing w:after="40"/>
      </w:pPr>
      <w:r>
        <w:t>Prepare one shared small test file and one expected checksum; create test users/IDs in the authoritative database without deleting existing accounts.</w:t>
      </w:r>
    </w:p>
    <w:p>
      <w:pPr>
        <w:pStyle w:val="Heading2"/>
      </w:pPr>
      <w:r>
        <w:t>Day 1 — connect and prove core flows</w:t>
      </w:r>
    </w:p>
    <w:p>
      <w:pPr>
        <w:pStyle w:val="ListNumber"/>
        <w:spacing w:after="40"/>
      </w:pPr>
      <w:r>
        <w:t>Confirm all services start and are reachable from the Team D host; verify health/ready endpoints and required ports.</w:t>
      </w:r>
    </w:p>
    <w:p>
      <w:pPr>
        <w:pStyle w:val="ListNumber"/>
        <w:spacing w:after="40"/>
      </w:pPr>
      <w:r>
        <w:t>Set Team D's base URLs and live-mode settings using the actual accepted configuration values; verify service secrets and identity headers privately.</w:t>
      </w:r>
    </w:p>
    <w:p>
      <w:pPr>
        <w:pStyle w:val="ListNumber"/>
        <w:spacing w:after="40"/>
      </w:pPr>
      <w:r>
        <w:t>Test Team D login and role checks against Team C; test a protected Team C API call.</w:t>
      </w:r>
    </w:p>
    <w:p>
      <w:pPr>
        <w:pStyle w:val="ListNumber"/>
        <w:spacing w:after="40"/>
      </w:pPr>
      <w:r>
        <w:t>Upload one real file and confirm that its canonical file/version IDs and Backblaze B2 reference are consistent.</w:t>
      </w:r>
    </w:p>
    <w:p>
      <w:pPr>
        <w:pStyle w:val="ListNumber"/>
        <w:spacing w:after="40"/>
      </w:pPr>
      <w:r>
        <w:t>Trigger one backup; follow the job state from request through execution; confirm Team A invokes the agreed B workflow and C metadata is updated.</w:t>
      </w:r>
    </w:p>
    <w:p>
      <w:pPr>
        <w:pStyle w:val="ListNumber"/>
        <w:spacing w:after="40"/>
      </w:pPr>
      <w:r>
        <w:t>Run integrity verification and confirm the dashboard displays real results, not mocks.</w:t>
      </w:r>
    </w:p>
    <w:p>
      <w:pPr>
        <w:pStyle w:val="Heading2"/>
      </w:pPr>
      <w:r>
        <w:t>Day 2 — restore, regression and deployment</w:t>
      </w:r>
    </w:p>
    <w:p>
      <w:pPr>
        <w:pStyle w:val="ListNumber"/>
        <w:spacing w:after="40"/>
      </w:pPr>
      <w:r>
        <w:t>Restore the selected version through the agreed C/A/B flow and download/read the restored bytes.</w:t>
      </w:r>
    </w:p>
    <w:p>
      <w:pPr>
        <w:pStyle w:val="ListNumber"/>
        <w:spacing w:after="40"/>
      </w:pPr>
      <w:r>
        <w:t>Compare original and restored checksums; test duplicate-file backup and verify deduplication savings.</w:t>
      </w:r>
    </w:p>
    <w:p>
      <w:pPr>
        <w:pStyle w:val="ListNumber"/>
        <w:spacing w:after="40"/>
      </w:pPr>
      <w:r>
        <w:t>Test at least one failure path (wrong/missing service credential, unavailable dependency or failed job) and ensure the UI shows a clear error.</w:t>
      </w:r>
    </w:p>
    <w:p>
      <w:pPr>
        <w:pStyle w:val="ListNumber"/>
        <w:spacing w:after="40"/>
      </w:pPr>
      <w:r>
        <w:t>Run Team D's existing test suite and role-based access tests; resolve contract mismatches without broad refactoring.</w:t>
      </w:r>
    </w:p>
    <w:p>
      <w:pPr>
        <w:pStyle w:val="ListNumber"/>
        <w:spacing w:after="40"/>
      </w:pPr>
      <w:r>
        <w:t>Deploy services to stable reachable hosts, configure secrets/environment variables, verify persistent DB/object storage, and run a production-like smoke test.</w:t>
      </w:r>
    </w:p>
    <w:p>
      <w:pPr>
        <w:pStyle w:val="ListNumber"/>
        <w:spacing w:after="40"/>
      </w:pPr>
      <w:r>
        <w:t>Record known limitations and assign owners; do not call deployment complete if data is local to a temporary laptop/session or the live flow still returns mock success.</w:t>
      </w:r>
    </w:p>
    <w:p>
      <w:pPr>
        <w:pStyle w:val="Heading1"/>
      </w:pPr>
      <w:r>
        <w:t>9. Acceptance checklist — when can we say integration is complete?</w:t>
      </w:r>
    </w:p>
    <w:p>
      <w:pPr>
        <w:pStyle w:val="ListBullet"/>
        <w:spacing w:after="40"/>
      </w:pPr>
      <w:r>
        <w:t>☐ Employee, IT Admin and Auditor login works against the agreed real identity source; role restrictions are enforced.</w:t>
      </w:r>
    </w:p>
    <w:p>
      <w:pPr>
        <w:pStyle w:val="ListBullet"/>
        <w:spacing w:after="40"/>
      </w:pPr>
      <w:r>
        <w:t>☐ Admin-created users persist in Team C's authoritative database, and password hashes are never exposed.</w:t>
      </w:r>
    </w:p>
    <w:p>
      <w:pPr>
        <w:pStyle w:val="ListBullet"/>
        <w:spacing w:after="40"/>
      </w:pPr>
      <w:r>
        <w:t>☐ A real file uploads and its metadata/version points to the correct shared storage object.</w:t>
      </w:r>
    </w:p>
    <w:p>
      <w:pPr>
        <w:pStyle w:val="ListBullet"/>
        <w:spacing w:after="40"/>
      </w:pPr>
      <w:r>
        <w:t>☐ A backup job is genuinely executed by Team A and has truthful status transitions.</w:t>
      </w:r>
    </w:p>
    <w:p>
      <w:pPr>
        <w:pStyle w:val="ListBullet"/>
        <w:spacing w:after="40"/>
      </w:pPr>
      <w:r>
        <w:t>☐ Team B processes actual data, persists deduplication results and verifies integrity; results are associated with the correct IDs.</w:t>
      </w:r>
    </w:p>
    <w:p>
      <w:pPr>
        <w:pStyle w:val="ListBullet"/>
        <w:spacing w:after="40"/>
      </w:pPr>
      <w:r>
        <w:t>☐ Team C's backup/version metadata is consistent with the completed job and storage references.</w:t>
      </w:r>
    </w:p>
    <w:p>
      <w:pPr>
        <w:pStyle w:val="ListBullet"/>
        <w:spacing w:after="40"/>
      </w:pPr>
      <w:r>
        <w:t>☐ A restore returns the correct bytes; checksum matches the original/manifest.</w:t>
      </w:r>
    </w:p>
    <w:p>
      <w:pPr>
        <w:pStyle w:val="ListBullet"/>
        <w:spacing w:after="40"/>
      </w:pPr>
      <w:r>
        <w:t>☐ Team D displays real file, job, deduplication, integrity and restore status, with useful failure messages.</w:t>
      </w:r>
    </w:p>
    <w:p>
      <w:pPr>
        <w:pStyle w:val="ListBullet"/>
        <w:spacing w:after="40"/>
      </w:pPr>
      <w:r>
        <w:t>☐ All services use stable URLs and persistent storage; restart does not lose the records or files required by the demo.</w:t>
      </w:r>
    </w:p>
    <w:p>
      <w:pPr>
        <w:pStyle w:val="ListBullet"/>
        <w:spacing w:after="40"/>
      </w:pPr>
      <w:r>
        <w:t>☐ No secrets are committed to Git or embedded in frontend assets; backend-to-backend calls are protected.</w:t>
      </w:r>
    </w:p>
    <w:p>
      <w:pPr>
        <w:pStyle w:val="Heading1"/>
      </w:pPr>
      <w:r>
        <w:t>10. Deployment plan</w:t>
      </w:r>
    </w:p>
    <w:p>
      <w:r>
        <w:t>Deployment is a separate gate after local end-to-end acceptance. The website is not fully deployed merely because the Team D frontend is online.</w:t>
      </w:r>
    </w:p>
    <w:p>
      <w:pPr>
        <w:pStyle w:val="ListNumber"/>
        <w:spacing w:after="40"/>
      </w:pPr>
      <w:r>
        <w:t>Choose stable hosting/network access for Team D backend and frontend, Team A, Team B, Team C, and Backblaze B2. A laptop's changing private Wi-Fi IP is suitable for a same-network demo only, not a permanent public deployment.</w:t>
      </w:r>
    </w:p>
    <w:p>
      <w:pPr>
        <w:pStyle w:val="ListNumber"/>
        <w:spacing w:after="40"/>
      </w:pPr>
      <w:r>
        <w:t>Configure production environment variables separately for each service: base URLs, service credentials, JWT/session secrets, database connection, Backblaze B2 S3-compatible endpoint/bucket/keys and CORS settings.</w:t>
      </w:r>
    </w:p>
    <w:p>
      <w:pPr>
        <w:pStyle w:val="ListNumber"/>
        <w:spacing w:after="40"/>
      </w:pPr>
      <w:r>
        <w:t>Keep browser traffic limited to the frontend and Team D BFF. Do not expose internal service credentials or require the public browser to call A/B/C/Backblaze B2 directly.</w:t>
      </w:r>
    </w:p>
    <w:p>
      <w:pPr>
        <w:pStyle w:val="ListNumber"/>
        <w:spacing w:after="40"/>
      </w:pPr>
      <w:r>
        <w:t>Ensure MySQL/database and Backblaze B2 object storage are persistent, backed up, access-controlled and reachable from the services that need them.</w:t>
      </w:r>
    </w:p>
    <w:p>
      <w:pPr>
        <w:pStyle w:val="ListNumber"/>
        <w:spacing w:after="40"/>
      </w:pPr>
      <w:r>
        <w:t>Use HTTPS for public traffic, restrict service ports, rotate any secrets accidentally shared, and avoid committing `.env` files.</w:t>
      </w:r>
    </w:p>
    <w:p>
      <w:pPr>
        <w:pStyle w:val="ListNumber"/>
        <w:spacing w:after="40"/>
      </w:pPr>
      <w:r>
        <w:t>Run post-deployment smoke tests: login, upload, backup, status, dedup/integrity, restore/download and checksum verification.</w:t>
      </w:r>
    </w:p>
    <w:p>
      <w:pPr>
        <w:pStyle w:val="ListNumber"/>
        <w:spacing w:after="40"/>
      </w:pPr>
      <w:r>
        <w:t>If the project is only being demonstrated on college Wi-Fi, document that as a local-network deployment rather than claiming a public production deployment.</w:t>
      </w:r>
    </w:p>
    <w:p>
      <w:pPr>
        <w:pStyle w:val="Heading1"/>
      </w:pPr>
      <w:r>
        <w:t>11. Shared contract template each team must fill in</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17365D"/>
          </w:tcPr>
          <w:p>
            <w:pPr>
              <w:spacing w:after="0"/>
            </w:pPr>
            <w:r/>
            <w:r>
              <w:rPr>
                <w:rFonts w:ascii="Arial" w:hAnsi="Arial"/>
                <w:b/>
                <w:color w:val="FFFFFF"/>
                <w:sz w:val="17"/>
              </w:rPr>
              <w:t>Field</w:t>
            </w:r>
          </w:p>
        </w:tc>
        <w:tc>
          <w:tcPr>
            <w:tcW w:type="dxa" w:w="8136"/>
            <w:vAlign w:val="center"/>
            <w:shd w:fill="17365D"/>
          </w:tcPr>
          <w:p>
            <w:pPr>
              <w:spacing w:after="0"/>
            </w:pPr>
            <w:r/>
            <w:r>
              <w:rPr>
                <w:rFonts w:ascii="Arial" w:hAnsi="Arial"/>
                <w:b/>
                <w:color w:val="FFFFFF"/>
                <w:sz w:val="17"/>
              </w:rPr>
              <w:t>Team response required</w:t>
            </w:r>
          </w:p>
        </w:tc>
      </w:tr>
      <w:tr>
        <w:tc>
          <w:tcPr>
            <w:tcW w:type="dxa" w:w="2232"/>
            <w:vAlign w:val="center"/>
          </w:tcPr>
          <w:p>
            <w:pPr>
              <w:spacing w:after="0"/>
            </w:pPr>
            <w:r/>
            <w:r>
              <w:rPr>
                <w:rFonts w:ascii="Arial" w:hAnsi="Arial"/>
                <w:b w:val="0"/>
                <w:sz w:val="16"/>
              </w:rPr>
              <w:t>Service owner / contact</w:t>
            </w:r>
          </w:p>
        </w:tc>
        <w:tc>
          <w:tcPr>
            <w:tcW w:type="dxa" w:w="8136"/>
            <w:vAlign w:val="center"/>
          </w:tcPr>
          <w:p>
            <w:pPr>
              <w:spacing w:after="0"/>
            </w:pPr>
            <w:r/>
            <w:r>
              <w:rPr>
                <w:rFonts w:ascii="Arial" w:hAnsi="Arial"/>
                <w:b w:val="0"/>
                <w:sz w:val="16"/>
              </w:rPr>
              <w:t>Team name and integration contact.</w:t>
            </w:r>
          </w:p>
        </w:tc>
      </w:tr>
      <w:tr>
        <w:tc>
          <w:tcPr>
            <w:tcW w:type="dxa" w:w="2232"/>
            <w:vAlign w:val="center"/>
          </w:tcPr>
          <w:p>
            <w:pPr>
              <w:spacing w:after="0"/>
            </w:pPr>
            <w:r/>
            <w:r>
              <w:rPr>
                <w:rFonts w:ascii="Arial" w:hAnsi="Arial"/>
                <w:b w:val="0"/>
                <w:sz w:val="16"/>
              </w:rPr>
              <w:t>Base URL and port</w:t>
            </w:r>
          </w:p>
        </w:tc>
        <w:tc>
          <w:tcPr>
            <w:tcW w:type="dxa" w:w="8136"/>
            <w:vAlign w:val="center"/>
          </w:tcPr>
          <w:p>
            <w:pPr>
              <w:spacing w:after="0"/>
            </w:pPr>
            <w:r/>
            <w:r>
              <w:rPr>
                <w:rFonts w:ascii="Arial" w:hAnsi="Arial"/>
                <w:b w:val="0"/>
                <w:sz w:val="16"/>
              </w:rPr>
              <w:t>Actual reachable URL; indicate local-only or hosted.</w:t>
            </w:r>
          </w:p>
        </w:tc>
      </w:tr>
      <w:tr>
        <w:tc>
          <w:tcPr>
            <w:tcW w:type="dxa" w:w="2232"/>
            <w:vAlign w:val="center"/>
          </w:tcPr>
          <w:p>
            <w:pPr>
              <w:spacing w:after="0"/>
            </w:pPr>
            <w:r/>
            <w:r>
              <w:rPr>
                <w:rFonts w:ascii="Arial" w:hAnsi="Arial"/>
                <w:b w:val="0"/>
                <w:sz w:val="16"/>
              </w:rPr>
              <w:t>Endpoint contract</w:t>
            </w:r>
          </w:p>
        </w:tc>
        <w:tc>
          <w:tcPr>
            <w:tcW w:type="dxa" w:w="8136"/>
            <w:vAlign w:val="center"/>
          </w:tcPr>
          <w:p>
            <w:pPr>
              <w:spacing w:after="0"/>
            </w:pPr>
            <w:r/>
            <w:r>
              <w:rPr>
                <w:rFonts w:ascii="Arial" w:hAnsi="Arial"/>
                <w:b w:val="0"/>
                <w:sz w:val="16"/>
              </w:rPr>
              <w:t>Method, path, auth headers, required fields, response fields, status codes and error schema.</w:t>
            </w:r>
          </w:p>
        </w:tc>
      </w:tr>
      <w:tr>
        <w:tc>
          <w:tcPr>
            <w:tcW w:type="dxa" w:w="2232"/>
            <w:vAlign w:val="center"/>
          </w:tcPr>
          <w:p>
            <w:pPr>
              <w:spacing w:after="0"/>
            </w:pPr>
            <w:r/>
            <w:r>
              <w:rPr>
                <w:rFonts w:ascii="Arial" w:hAnsi="Arial"/>
                <w:b w:val="0"/>
                <w:sz w:val="16"/>
              </w:rPr>
              <w:t>IDs</w:t>
            </w:r>
          </w:p>
        </w:tc>
        <w:tc>
          <w:tcPr>
            <w:tcW w:type="dxa" w:w="8136"/>
            <w:vAlign w:val="center"/>
          </w:tcPr>
          <w:p>
            <w:pPr>
              <w:spacing w:after="0"/>
            </w:pPr>
            <w:r/>
            <w:r>
              <w:rPr>
                <w:rFonts w:ascii="Arial" w:hAnsi="Arial"/>
                <w:b w:val="0"/>
                <w:sz w:val="16"/>
              </w:rPr>
              <w:t>Meaning/type of user_id, file_id, version_id, backup_id, job_id, result_id and mapping rules.</w:t>
            </w:r>
          </w:p>
        </w:tc>
      </w:tr>
      <w:tr>
        <w:tc>
          <w:tcPr>
            <w:tcW w:type="dxa" w:w="2232"/>
            <w:vAlign w:val="center"/>
          </w:tcPr>
          <w:p>
            <w:pPr>
              <w:spacing w:after="0"/>
            </w:pPr>
            <w:r/>
            <w:r>
              <w:rPr>
                <w:rFonts w:ascii="Arial" w:hAnsi="Arial"/>
                <w:b w:val="0"/>
                <w:sz w:val="16"/>
              </w:rPr>
              <w:t>Storage</w:t>
            </w:r>
          </w:p>
        </w:tc>
        <w:tc>
          <w:tcPr>
            <w:tcW w:type="dxa" w:w="8136"/>
            <w:vAlign w:val="center"/>
          </w:tcPr>
          <w:p>
            <w:pPr>
              <w:spacing w:after="0"/>
            </w:pPr>
            <w:r/>
            <w:r>
              <w:rPr>
                <w:rFonts w:ascii="Arial" w:hAnsi="Arial"/>
                <w:b w:val="0"/>
                <w:sz w:val="16"/>
              </w:rPr>
              <w:t>Bucket, key convention, original/chunk/manifest ownership, required access permissions.</w:t>
            </w:r>
          </w:p>
        </w:tc>
      </w:tr>
      <w:tr>
        <w:tc>
          <w:tcPr>
            <w:tcW w:type="dxa" w:w="2232"/>
            <w:vAlign w:val="center"/>
          </w:tcPr>
          <w:p>
            <w:pPr>
              <w:spacing w:after="0"/>
            </w:pPr>
            <w:r/>
            <w:r>
              <w:rPr>
                <w:rFonts w:ascii="Arial" w:hAnsi="Arial"/>
                <w:b w:val="0"/>
                <w:sz w:val="16"/>
              </w:rPr>
              <w:t>Dependencies</w:t>
            </w:r>
          </w:p>
        </w:tc>
        <w:tc>
          <w:tcPr>
            <w:tcW w:type="dxa" w:w="8136"/>
            <w:vAlign w:val="center"/>
          </w:tcPr>
          <w:p>
            <w:pPr>
              <w:spacing w:after="0"/>
            </w:pPr>
            <w:r/>
            <w:r>
              <w:rPr>
                <w:rFonts w:ascii="Arial" w:hAnsi="Arial"/>
                <w:b w:val="0"/>
                <w:sz w:val="16"/>
              </w:rPr>
              <w:t>Exact other-team endpoint called, sequence, payload and failure behavior.</w:t>
            </w:r>
          </w:p>
        </w:tc>
      </w:tr>
      <w:tr>
        <w:tc>
          <w:tcPr>
            <w:tcW w:type="dxa" w:w="2232"/>
            <w:vAlign w:val="center"/>
          </w:tcPr>
          <w:p>
            <w:pPr>
              <w:spacing w:after="0"/>
            </w:pPr>
            <w:r/>
            <w:r>
              <w:rPr>
                <w:rFonts w:ascii="Arial" w:hAnsi="Arial"/>
                <w:b w:val="0"/>
                <w:sz w:val="16"/>
              </w:rPr>
              <w:t>Configuration</w:t>
            </w:r>
          </w:p>
        </w:tc>
        <w:tc>
          <w:tcPr>
            <w:tcW w:type="dxa" w:w="8136"/>
            <w:vAlign w:val="center"/>
          </w:tcPr>
          <w:p>
            <w:pPr>
              <w:spacing w:after="0"/>
            </w:pPr>
            <w:r/>
            <w:r>
              <w:rPr>
                <w:rFonts w:ascii="Arial" w:hAnsi="Arial"/>
                <w:b w:val="0"/>
                <w:sz w:val="16"/>
              </w:rPr>
              <w:t>Required environment-variable names; never include real secret values.</w:t>
            </w:r>
          </w:p>
        </w:tc>
      </w:tr>
      <w:tr>
        <w:tc>
          <w:tcPr>
            <w:tcW w:type="dxa" w:w="2232"/>
            <w:vAlign w:val="center"/>
          </w:tcPr>
          <w:p>
            <w:pPr>
              <w:spacing w:after="0"/>
            </w:pPr>
            <w:r/>
            <w:r>
              <w:rPr>
                <w:rFonts w:ascii="Arial" w:hAnsi="Arial"/>
                <w:b w:val="0"/>
                <w:sz w:val="16"/>
              </w:rPr>
              <w:t>Readiness</w:t>
            </w:r>
          </w:p>
        </w:tc>
        <w:tc>
          <w:tcPr>
            <w:tcW w:type="dxa" w:w="8136"/>
            <w:vAlign w:val="center"/>
          </w:tcPr>
          <w:p>
            <w:pPr>
              <w:spacing w:after="0"/>
            </w:pPr>
            <w:r/>
            <w:r>
              <w:rPr>
                <w:rFonts w:ascii="Arial" w:hAnsi="Arial"/>
                <w:b w:val="0"/>
                <w:sz w:val="16"/>
              </w:rPr>
              <w:t>Implemented and tested / implemented but untested / still needs work.</w:t>
            </w:r>
          </w:p>
        </w:tc>
      </w:tr>
      <w:tr>
        <w:tc>
          <w:tcPr>
            <w:tcW w:type="dxa" w:w="2232"/>
            <w:vAlign w:val="center"/>
          </w:tcPr>
          <w:p>
            <w:pPr>
              <w:spacing w:after="0"/>
            </w:pPr>
            <w:r/>
            <w:r>
              <w:rPr>
                <w:rFonts w:ascii="Arial" w:hAnsi="Arial"/>
                <w:b w:val="0"/>
                <w:sz w:val="16"/>
              </w:rPr>
              <w:t>Proof</w:t>
            </w:r>
          </w:p>
        </w:tc>
        <w:tc>
          <w:tcPr>
            <w:tcW w:type="dxa" w:w="8136"/>
            <w:vAlign w:val="center"/>
          </w:tcPr>
          <w:p>
            <w:pPr>
              <w:spacing w:after="0"/>
            </w:pPr>
            <w:r/>
            <w:r>
              <w:rPr>
                <w:rFonts w:ascii="Arial" w:hAnsi="Arial"/>
                <w:b w:val="0"/>
                <w:sz w:val="16"/>
              </w:rPr>
              <w:t>A real request/response and real-file result with checksum or other verifiable evidence.</w:t>
            </w:r>
          </w:p>
        </w:tc>
      </w:tr>
    </w:tbl>
    <w:p/>
    <w:p>
      <w:pPr>
        <w:pStyle w:val="Heading1"/>
      </w:pPr>
      <w:r>
        <w:t>12. Rules for keeping the integration fast</w:t>
      </w:r>
    </w:p>
    <w:p>
      <w:pPr>
        <w:pStyle w:val="ListBullet"/>
        <w:spacing w:after="40"/>
      </w:pPr>
      <w:r>
        <w:t>One shared API contract sheet is the source of truth. Do not make silent endpoint or field-name changes.</w:t>
      </w:r>
    </w:p>
    <w:p>
      <w:pPr>
        <w:pStyle w:val="ListBullet"/>
        <w:spacing w:after="40"/>
      </w:pPr>
      <w:r>
        <w:t>Every change to a shared field, endpoint, ID mapping, storage key format or state name must be announced to all affected teams.</w:t>
      </w:r>
    </w:p>
    <w:p>
      <w:pPr>
        <w:pStyle w:val="ListBullet"/>
        <w:spacing w:after="40"/>
      </w:pPr>
      <w:r>
        <w:t>Keep Team D's frontend and BFF stable where practical; avoid broad refactors during the integration sprint.</w:t>
      </w:r>
    </w:p>
    <w:p>
      <w:pPr>
        <w:pStyle w:val="ListBullet"/>
        <w:spacing w:after="40"/>
      </w:pPr>
      <w:r>
        <w:t>Use one small real file for the first end-to-end test. Do not start with large files or performance tuning.</w:t>
      </w:r>
    </w:p>
    <w:p>
      <w:pPr>
        <w:pStyle w:val="ListBullet"/>
        <w:spacing w:after="40"/>
      </w:pPr>
      <w:r>
        <w:t>Fix blockers in dependency order: identity/auth → file metadata/storage → backup job → dedup/integrity → restore → deployment.</w:t>
      </w:r>
    </w:p>
    <w:p>
      <w:pPr>
        <w:pStyle w:val="ListBullet"/>
        <w:spacing w:after="40"/>
      </w:pPr>
      <w:r>
        <w:t>If a dependency is not ready, record the exact missing endpoint/field, owner and deadline. Do not spend hours repeatedly testing the same unknown contract.</w:t>
      </w:r>
    </w:p>
    <w:p>
      <w:pPr>
        <w:pStyle w:val="Heading1"/>
      </w:pPr>
      <w:r>
        <w:t>Final note</w:t>
      </w:r>
    </w:p>
    <w:p>
      <w:r>
        <w:t>This plan defines the proposed integration path and the contracts Team D currently expects. The exact behavior of Team A and Team B must be confirmed against their source code; Team C's current APIs, state ownership and storage flow must also be confirmed by Team C. After those confirmations, freeze the shared contract and execute the two-day sprint in order.</w:t>
      </w:r>
    </w:p>
    <w:p>
      <w:r>
        <w:br w:type="page"/>
      </w:r>
    </w:p>
    <w:p>
      <w:pPr>
        <w:pStyle w:val="Heading1"/>
      </w:pPr>
      <w:r>
        <w:t>Appendix A — Backblaze B2 shared-storage configuration</w:t>
      </w:r>
    </w:p>
    <w:p>
      <w:r>
        <w:t>The shared object-storage provider for integration is Backblaze B2 using its S3-compatible API. Do not configure teams to connect to a teammate's laptop or a local MinIO server.</w:t>
      </w:r>
    </w:p>
    <w:tbl>
      <w:tblPr>
        <w:tblStyle w:val="TableGrid"/>
        <w:tblW w:type="auto" w:w="0"/>
        <w:tblLook w:firstColumn="1" w:firstRow="1" w:lastColumn="0" w:lastRow="0" w:noHBand="0" w:noVBand="1" w:val="04A0"/>
      </w:tblPr>
      <w:tblGrid>
        <w:gridCol w:w="5112"/>
        <w:gridCol w:w="5112"/>
      </w:tblGrid>
      <w:tr>
        <w:tc>
          <w:tcPr>
            <w:tcW w:type="dxa" w:w="5112"/>
          </w:tcPr>
          <w:p>
            <w:r>
              <w:t>Setting</w:t>
            </w:r>
          </w:p>
        </w:tc>
        <w:tc>
          <w:tcPr>
            <w:tcW w:type="dxa" w:w="5112"/>
          </w:tcPr>
          <w:p>
            <w:r>
              <w:t>Agreed value / instruction</w:t>
            </w:r>
          </w:p>
        </w:tc>
      </w:tr>
      <w:tr>
        <w:tc>
          <w:tcPr>
            <w:tcW w:type="dxa" w:w="5112"/>
          </w:tcPr>
          <w:p>
            <w:r>
              <w:t>Endpoint</w:t>
            </w:r>
          </w:p>
        </w:tc>
        <w:tc>
          <w:tcPr>
            <w:tcW w:type="dxa" w:w="5112"/>
          </w:tcPr>
          <w:p>
            <w:r>
              <w:t>https://s3.us-east-005.backblazeb2.com</w:t>
            </w:r>
          </w:p>
        </w:tc>
      </w:tr>
      <w:tr>
        <w:tc>
          <w:tcPr>
            <w:tcW w:type="dxa" w:w="5112"/>
          </w:tcPr>
          <w:p>
            <w:r>
              <w:t>Region</w:t>
            </w:r>
          </w:p>
        </w:tc>
        <w:tc>
          <w:tcPr>
            <w:tcW w:type="dxa" w:w="5112"/>
          </w:tcPr>
          <w:p>
            <w:r>
              <w:t>us-east-005</w:t>
            </w:r>
          </w:p>
        </w:tc>
      </w:tr>
      <w:tr>
        <w:tc>
          <w:tcPr>
            <w:tcW w:type="dxa" w:w="5112"/>
          </w:tcPr>
          <w:p>
            <w:r>
              <w:t>Bucket</w:t>
            </w:r>
          </w:p>
        </w:tc>
        <w:tc>
          <w:tcPr>
            <w:tcW w:type="dxa" w:w="5112"/>
          </w:tcPr>
          <w:p>
            <w:r>
              <w:t>smart-file-backup</w:t>
            </w:r>
          </w:p>
        </w:tc>
      </w:tr>
      <w:tr>
        <w:tc>
          <w:tcPr>
            <w:tcW w:type="dxa" w:w="5112"/>
          </w:tcPr>
          <w:p>
            <w:r>
              <w:t>Storage mode</w:t>
            </w:r>
          </w:p>
        </w:tc>
        <w:tc>
          <w:tcPr>
            <w:tcW w:type="dxa" w:w="5112"/>
          </w:tcPr>
          <w:p>
            <w:r>
              <w:t>Use each team's real-storage mode and confirm that it selects the B2/S3-compatible adapter, not mock storage.</w:t>
            </w:r>
          </w:p>
        </w:tc>
      </w:tr>
      <w:tr>
        <w:tc>
          <w:tcPr>
            <w:tcW w:type="dxa" w:w="5112"/>
          </w:tcPr>
          <w:p>
            <w:r>
              <w:t>Credentials</w:t>
            </w:r>
          </w:p>
        </w:tc>
        <w:tc>
          <w:tcPr>
            <w:tcW w:type="dxa" w:w="5112"/>
          </w:tcPr>
          <w:p>
            <w:r>
              <w:t>Each team uses its own valid B2 application key in its backend .env. Never put key IDs/secrets in this document, frontend code, Git, or group chat.</w:t>
            </w:r>
          </w:p>
        </w:tc>
      </w:tr>
      <w:tr>
        <w:tc>
          <w:tcPr>
            <w:tcW w:type="dxa" w:w="5112"/>
          </w:tcPr>
          <w:p>
            <w:r>
              <w:t>Object reference</w:t>
            </w:r>
          </w:p>
        </w:tc>
        <w:tc>
          <w:tcPr>
            <w:tcW w:type="dxa" w:w="5112"/>
          </w:tcPr>
          <w:p>
            <w:r>
              <w:t>{"provider":"backblaze-b2","bucket":"smart-file-backup","key":"&lt;exact object key returned/registered by the owner service&gt;"}</w:t>
            </w:r>
          </w:p>
        </w:tc>
      </w:tr>
      <w:tr>
        <w:tc>
          <w:tcPr>
            <w:tcW w:type="dxa" w:w="5112"/>
          </w:tcPr>
          <w:p>
            <w:r>
              <w:t>Object key rule</w:t>
            </w:r>
          </w:p>
        </w:tc>
        <w:tc>
          <w:tcPr>
            <w:tcW w:type="dxa" w:w="5112"/>
          </w:tcPr>
          <w:p>
            <w:r>
              <w:t>Use the exact key returned by the uploading/metadata-owning service. Do not rebuild it from a filename or assume another team's key format.</w:t>
            </w:r>
          </w:p>
        </w:tc>
      </w:tr>
      <w:tr>
        <w:tc>
          <w:tcPr>
            <w:tcW w:type="dxa" w:w="5112"/>
          </w:tcPr>
          <w:p>
            <w:r>
              <w:t>Access policy</w:t>
            </w:r>
          </w:p>
        </w:tc>
        <w:tc>
          <w:tcPr>
            <w:tcW w:type="dxa" w:w="5112"/>
          </w:tcPr>
          <w:p>
            <w:r>
              <w:t>Grant only the bucket/file capabilities each service requires. Do not assume one team's key works for another team's configuration.</w:t>
            </w:r>
          </w:p>
        </w:tc>
      </w:tr>
      <w:tr>
        <w:tc>
          <w:tcPr>
            <w:tcW w:type="dxa" w:w="5112"/>
          </w:tcPr>
          <w:p>
            <w:r>
              <w:t>Acceptance test</w:t>
            </w:r>
          </w:p>
        </w:tc>
        <w:tc>
          <w:tcPr>
            <w:tcW w:type="dxa" w:w="5112"/>
          </w:tcPr>
          <w:p>
            <w:r>
              <w:t>Upload a real file, read it back from a separate network/service, and verify its checksum. Then run backup, dedup/integrity and restore.</w:t>
            </w:r>
          </w:p>
        </w:tc>
      </w:tr>
    </w:tbl>
    <w:p>
      <w:r>
        <w:t>Important: Backblaze B2 makes stored objects available independently of a laptop, but it does not host the teams' APIs. Team A, B, C and D services must still run on reachable hosts for end-to-end integration and deployment.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Shared integration plan • Version 1.0 •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SMART FILE BACKUP SYSTEM | INTEGRATION &amp; DEPLOYMENT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