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74B59" w14:textId="0EB073AD" w:rsidR="00A73627" w:rsidRDefault="00A73627" w:rsidP="00AE7F67">
      <w:pPr>
        <w:jc w:val="center"/>
      </w:pPr>
    </w:p>
    <w:p w14:paraId="225277A9" w14:textId="6DCD5B69" w:rsidR="00AE7F67" w:rsidRDefault="00AE7F67" w:rsidP="00AE7F67">
      <w:pPr>
        <w:jc w:val="center"/>
        <w:rPr>
          <w:b/>
          <w:bCs/>
          <w:sz w:val="32"/>
          <w:szCs w:val="32"/>
          <w:u w:val="single"/>
        </w:rPr>
      </w:pPr>
      <w:r w:rsidRPr="00AE7F67">
        <w:rPr>
          <w:b/>
          <w:bCs/>
          <w:sz w:val="32"/>
          <w:szCs w:val="32"/>
          <w:u w:val="single"/>
        </w:rPr>
        <w:t xml:space="preserve">Sesame International </w:t>
      </w:r>
    </w:p>
    <w:p w14:paraId="7A38C640" w14:textId="5EED8075" w:rsidR="00AE7F67" w:rsidRPr="00AE7F67" w:rsidRDefault="00AE7F67" w:rsidP="00AE7F67">
      <w:pPr>
        <w:rPr>
          <w:b/>
          <w:bCs/>
          <w:sz w:val="28"/>
          <w:szCs w:val="28"/>
          <w:u w:val="single"/>
        </w:rPr>
      </w:pPr>
      <w:r w:rsidRPr="00AE7F67">
        <w:rPr>
          <w:b/>
          <w:bCs/>
          <w:sz w:val="28"/>
          <w:szCs w:val="28"/>
          <w:u w:val="single"/>
        </w:rPr>
        <w:t>Company Overview</w:t>
      </w:r>
    </w:p>
    <w:p w14:paraId="2BF1E25C" w14:textId="20272A99" w:rsidR="00AE7F67" w:rsidRDefault="00AE7F67" w:rsidP="00AE7F67">
      <w:pPr>
        <w:autoSpaceDE w:val="0"/>
        <w:autoSpaceDN w:val="0"/>
        <w:adjustRightInd w:val="0"/>
        <w:jc w:val="both"/>
        <w:rPr>
          <w:rFonts w:ascii="Cambria" w:hAnsi="Cambria"/>
          <w:sz w:val="24"/>
          <w:szCs w:val="24"/>
        </w:rPr>
      </w:pPr>
      <w:r w:rsidRPr="00AE7F67">
        <w:rPr>
          <w:rFonts w:ascii="Cambria" w:hAnsi="Cambria"/>
          <w:b/>
          <w:sz w:val="24"/>
          <w:szCs w:val="24"/>
          <w:u w:val="single"/>
        </w:rPr>
        <w:t>Sesame International</w:t>
      </w:r>
      <w:r w:rsidRPr="00AE7F67">
        <w:rPr>
          <w:rFonts w:ascii="Cambria" w:hAnsi="Cambria"/>
          <w:sz w:val="24"/>
          <w:szCs w:val="24"/>
        </w:rPr>
        <w:t xml:space="preserve"> was incorporated in 1986 and is engaged in the processing and export of hulled sesame seeds. The firm has a processing unit in Muzaffarnagar with an installed capacity of processing </w:t>
      </w:r>
      <w:r w:rsidR="0098273E">
        <w:rPr>
          <w:rFonts w:ascii="Cambria" w:hAnsi="Cambria"/>
          <w:sz w:val="24"/>
          <w:szCs w:val="24"/>
        </w:rPr>
        <w:t>55</w:t>
      </w:r>
      <w:r>
        <w:rPr>
          <w:rFonts w:ascii="Cambria" w:hAnsi="Cambria"/>
          <w:sz w:val="24"/>
          <w:szCs w:val="24"/>
        </w:rPr>
        <w:t>00 Metric Tonne</w:t>
      </w:r>
      <w:r w:rsidRPr="00AE7F67">
        <w:rPr>
          <w:rFonts w:ascii="Cambria" w:hAnsi="Cambria"/>
          <w:sz w:val="24"/>
          <w:szCs w:val="24"/>
        </w:rPr>
        <w:t xml:space="preserve"> per annum of hulled sesame seeds. The company has obtained an ISO 9001:2000 and HACCP</w:t>
      </w:r>
      <w:r w:rsidRPr="00AE7F67">
        <w:rPr>
          <w:rFonts w:ascii="Cambria" w:hAnsi="Cambria"/>
          <w:sz w:val="24"/>
          <w:szCs w:val="24"/>
          <w:vertAlign w:val="superscript"/>
        </w:rPr>
        <w:footnoteReference w:id="1"/>
      </w:r>
      <w:r w:rsidRPr="00AE7F67">
        <w:rPr>
          <w:rFonts w:ascii="Cambria" w:hAnsi="Cambria"/>
          <w:sz w:val="24"/>
          <w:szCs w:val="24"/>
          <w:vertAlign w:val="superscript"/>
        </w:rPr>
        <w:t xml:space="preserve"> </w:t>
      </w:r>
      <w:r w:rsidRPr="00AE7F67">
        <w:rPr>
          <w:rFonts w:ascii="Cambria" w:hAnsi="Cambria"/>
          <w:sz w:val="24"/>
          <w:szCs w:val="24"/>
        </w:rPr>
        <w:t xml:space="preserve">certification.  The company was originally promoted by the Jain family in 1986 and operated the facility for a few years before it stopped its facility. The company restarted its operations in 2002 with the </w:t>
      </w:r>
      <w:r w:rsidR="0098273E">
        <w:rPr>
          <w:rFonts w:ascii="Cambria" w:hAnsi="Cambria"/>
          <w:sz w:val="24"/>
          <w:szCs w:val="24"/>
        </w:rPr>
        <w:t>Singh</w:t>
      </w:r>
      <w:r w:rsidRPr="00AE7F67">
        <w:rPr>
          <w:rFonts w:ascii="Cambria" w:hAnsi="Cambria"/>
          <w:sz w:val="24"/>
          <w:szCs w:val="24"/>
        </w:rPr>
        <w:t xml:space="preserve"> family</w:t>
      </w:r>
      <w:r w:rsidR="0098273E">
        <w:rPr>
          <w:rFonts w:ascii="Cambria" w:hAnsi="Cambria"/>
          <w:sz w:val="24"/>
          <w:szCs w:val="24"/>
        </w:rPr>
        <w:t xml:space="preserve"> </w:t>
      </w:r>
      <w:r w:rsidRPr="00AE7F67">
        <w:rPr>
          <w:rFonts w:ascii="Cambria" w:hAnsi="Cambria"/>
          <w:sz w:val="24"/>
          <w:szCs w:val="24"/>
        </w:rPr>
        <w:t xml:space="preserve">and the </w:t>
      </w:r>
      <w:r w:rsidR="0098273E">
        <w:rPr>
          <w:rFonts w:ascii="Cambria" w:hAnsi="Cambria"/>
          <w:sz w:val="24"/>
          <w:szCs w:val="24"/>
        </w:rPr>
        <w:t>Gupta</w:t>
      </w:r>
      <w:r w:rsidRPr="00AE7F67">
        <w:rPr>
          <w:rFonts w:ascii="Cambria" w:hAnsi="Cambria"/>
          <w:sz w:val="24"/>
          <w:szCs w:val="24"/>
        </w:rPr>
        <w:t xml:space="preserve"> family also joined as shareholders and the facilities remained operational since then. The company has been regularly awarded by Uttar Pradesh Government for the highest agricultural export from the state. </w:t>
      </w:r>
    </w:p>
    <w:p w14:paraId="1B6D5B5F" w14:textId="1DF4F53F" w:rsidR="00745CC1" w:rsidRDefault="00745CC1" w:rsidP="00AE7F67">
      <w:pPr>
        <w:autoSpaceDE w:val="0"/>
        <w:autoSpaceDN w:val="0"/>
        <w:adjustRightInd w:val="0"/>
        <w:jc w:val="both"/>
        <w:rPr>
          <w:rFonts w:ascii="Cambria" w:hAnsi="Cambria"/>
          <w:b/>
          <w:bCs/>
          <w:sz w:val="24"/>
          <w:szCs w:val="24"/>
        </w:rPr>
      </w:pPr>
      <w:r w:rsidRPr="00745CC1">
        <w:rPr>
          <w:rFonts w:ascii="Cambria" w:hAnsi="Cambria"/>
          <w:b/>
          <w:bCs/>
          <w:sz w:val="24"/>
          <w:szCs w:val="24"/>
        </w:rPr>
        <w:t>Raw material Acquisition and Selling Market</w:t>
      </w:r>
    </w:p>
    <w:p w14:paraId="004A7347" w14:textId="77777777" w:rsidR="00745CC1" w:rsidRDefault="00745CC1" w:rsidP="00745CC1">
      <w:pPr>
        <w:spacing w:after="0" w:line="240" w:lineRule="auto"/>
        <w:jc w:val="both"/>
        <w:rPr>
          <w:rFonts w:ascii="Cambria" w:hAnsi="Cambria"/>
          <w:sz w:val="24"/>
          <w:szCs w:val="24"/>
        </w:rPr>
      </w:pPr>
      <w:r w:rsidRPr="00745CC1">
        <w:rPr>
          <w:rFonts w:ascii="Cambria" w:hAnsi="Cambria"/>
          <w:sz w:val="24"/>
          <w:szCs w:val="24"/>
        </w:rPr>
        <w:t>The company purchases natural sesame seeds through agents from the mandis in Gujarat, Madhya Pradesh (M.P.), Uttar Pradesh (U.P.)</w:t>
      </w:r>
      <w:r>
        <w:rPr>
          <w:rFonts w:ascii="Cambria" w:hAnsi="Cambria"/>
          <w:sz w:val="24"/>
          <w:szCs w:val="24"/>
        </w:rPr>
        <w:t>,</w:t>
      </w:r>
      <w:r w:rsidRPr="00745CC1">
        <w:rPr>
          <w:rFonts w:ascii="Cambria" w:hAnsi="Cambria"/>
          <w:sz w:val="24"/>
          <w:szCs w:val="24"/>
        </w:rPr>
        <w:t xml:space="preserve"> and Rajasthan. Over 90% of the total purchase of natural sesame seeds by the company is against the orders from the customers while the remaining purchases are to maintain stock and take advantage of any price appreciation in </w:t>
      </w:r>
      <w:r>
        <w:rPr>
          <w:rFonts w:ascii="Cambria" w:hAnsi="Cambria"/>
          <w:sz w:val="24"/>
          <w:szCs w:val="24"/>
        </w:rPr>
        <w:t xml:space="preserve">the </w:t>
      </w:r>
      <w:r w:rsidRPr="00745CC1">
        <w:rPr>
          <w:rFonts w:ascii="Cambria" w:hAnsi="Cambria"/>
          <w:sz w:val="24"/>
          <w:szCs w:val="24"/>
        </w:rPr>
        <w:t xml:space="preserve">future. </w:t>
      </w:r>
    </w:p>
    <w:p w14:paraId="69977A90" w14:textId="77777777" w:rsidR="00745CC1" w:rsidRDefault="00745CC1" w:rsidP="00745CC1">
      <w:pPr>
        <w:spacing w:after="0" w:line="240" w:lineRule="auto"/>
        <w:jc w:val="both"/>
        <w:rPr>
          <w:rFonts w:ascii="Cambria" w:hAnsi="Cambria"/>
          <w:sz w:val="24"/>
          <w:szCs w:val="24"/>
        </w:rPr>
      </w:pPr>
    </w:p>
    <w:p w14:paraId="597131B9" w14:textId="4615BD46" w:rsidR="00745CC1" w:rsidRDefault="00745CC1" w:rsidP="00AE7F67">
      <w:pPr>
        <w:autoSpaceDE w:val="0"/>
        <w:autoSpaceDN w:val="0"/>
        <w:adjustRightInd w:val="0"/>
        <w:jc w:val="both"/>
        <w:rPr>
          <w:rFonts w:ascii="Cambria" w:hAnsi="Cambria"/>
          <w:sz w:val="24"/>
          <w:szCs w:val="24"/>
        </w:rPr>
      </w:pPr>
      <w:r>
        <w:rPr>
          <w:rFonts w:ascii="Cambria" w:hAnsi="Cambria"/>
          <w:sz w:val="24"/>
          <w:szCs w:val="24"/>
        </w:rPr>
        <w:t>Sesame International</w:t>
      </w:r>
      <w:r w:rsidRPr="00745CC1">
        <w:rPr>
          <w:rFonts w:ascii="Cambria" w:hAnsi="Cambria"/>
          <w:sz w:val="24"/>
          <w:szCs w:val="24"/>
        </w:rPr>
        <w:t xml:space="preserve"> is a 100% export</w:t>
      </w:r>
      <w:r>
        <w:rPr>
          <w:rFonts w:ascii="Cambria" w:hAnsi="Cambria"/>
          <w:sz w:val="24"/>
          <w:szCs w:val="24"/>
        </w:rPr>
        <w:t>-</w:t>
      </w:r>
      <w:r w:rsidRPr="00745CC1">
        <w:rPr>
          <w:rFonts w:ascii="Cambria" w:hAnsi="Cambria"/>
          <w:sz w:val="24"/>
          <w:szCs w:val="24"/>
        </w:rPr>
        <w:t xml:space="preserve">oriented unit. The export markets for the company are geographically diversified which reduces the dependence on a particular region. The main export markets are Germany, </w:t>
      </w:r>
      <w:r w:rsidR="0098273E">
        <w:rPr>
          <w:rFonts w:ascii="Cambria" w:hAnsi="Cambria"/>
          <w:sz w:val="24"/>
          <w:szCs w:val="24"/>
        </w:rPr>
        <w:t>France</w:t>
      </w:r>
      <w:r w:rsidRPr="00745CC1">
        <w:rPr>
          <w:rFonts w:ascii="Cambria" w:hAnsi="Cambria"/>
          <w:sz w:val="24"/>
          <w:szCs w:val="24"/>
        </w:rPr>
        <w:t xml:space="preserve">, U.S.A, </w:t>
      </w:r>
      <w:r w:rsidR="0098273E">
        <w:rPr>
          <w:rFonts w:ascii="Cambria" w:hAnsi="Cambria"/>
          <w:sz w:val="24"/>
          <w:szCs w:val="24"/>
        </w:rPr>
        <w:t>UK</w:t>
      </w:r>
      <w:r w:rsidRPr="00745CC1">
        <w:rPr>
          <w:rFonts w:ascii="Cambria" w:hAnsi="Cambria"/>
          <w:sz w:val="24"/>
          <w:szCs w:val="24"/>
        </w:rPr>
        <w:t xml:space="preserve"> &amp; </w:t>
      </w:r>
      <w:r w:rsidR="0098273E">
        <w:rPr>
          <w:rFonts w:ascii="Cambria" w:hAnsi="Cambria"/>
          <w:sz w:val="24"/>
          <w:szCs w:val="24"/>
        </w:rPr>
        <w:t>China</w:t>
      </w:r>
      <w:r w:rsidRPr="00745CC1">
        <w:rPr>
          <w:rFonts w:ascii="Cambria" w:hAnsi="Cambria"/>
          <w:sz w:val="24"/>
          <w:szCs w:val="24"/>
        </w:rPr>
        <w:t xml:space="preserve">.  </w:t>
      </w:r>
    </w:p>
    <w:p w14:paraId="59AD84CB" w14:textId="448591FE" w:rsidR="00745CC1" w:rsidRDefault="00745CC1" w:rsidP="00AE7F67">
      <w:pPr>
        <w:autoSpaceDE w:val="0"/>
        <w:autoSpaceDN w:val="0"/>
        <w:adjustRightInd w:val="0"/>
        <w:jc w:val="both"/>
        <w:rPr>
          <w:rFonts w:ascii="Cambria" w:hAnsi="Cambria"/>
          <w:b/>
          <w:bCs/>
          <w:sz w:val="24"/>
          <w:szCs w:val="24"/>
        </w:rPr>
      </w:pPr>
      <w:r w:rsidRPr="00745CC1">
        <w:rPr>
          <w:rFonts w:ascii="Cambria" w:hAnsi="Cambria"/>
          <w:b/>
          <w:bCs/>
          <w:sz w:val="24"/>
          <w:szCs w:val="24"/>
        </w:rPr>
        <w:t xml:space="preserve">Reporting Requirements: </w:t>
      </w:r>
    </w:p>
    <w:p w14:paraId="533E9D68" w14:textId="72213B02" w:rsidR="00745CC1" w:rsidRDefault="00745CC1" w:rsidP="00745CC1">
      <w:pPr>
        <w:autoSpaceDE w:val="0"/>
        <w:autoSpaceDN w:val="0"/>
        <w:adjustRightInd w:val="0"/>
        <w:jc w:val="both"/>
        <w:rPr>
          <w:rFonts w:ascii="Cambria" w:hAnsi="Cambria"/>
          <w:sz w:val="24"/>
          <w:szCs w:val="24"/>
        </w:rPr>
      </w:pPr>
      <w:r>
        <w:rPr>
          <w:rFonts w:ascii="Cambria" w:hAnsi="Cambria"/>
          <w:sz w:val="24"/>
          <w:szCs w:val="24"/>
        </w:rPr>
        <w:t xml:space="preserve">The company is still running its operations through </w:t>
      </w:r>
      <w:r w:rsidR="00DD3733">
        <w:rPr>
          <w:rFonts w:ascii="Cambria" w:hAnsi="Cambria"/>
          <w:sz w:val="24"/>
          <w:szCs w:val="24"/>
        </w:rPr>
        <w:t xml:space="preserve">the </w:t>
      </w:r>
      <w:r>
        <w:rPr>
          <w:rFonts w:ascii="Cambria" w:hAnsi="Cambria"/>
          <w:sz w:val="24"/>
          <w:szCs w:val="24"/>
        </w:rPr>
        <w:t>traditional enterprise method and now wants to combine its methods with the power of BI Analysis and Cloud technology. Looking at the current market trends and market leaders, the management wants to try out Power BI as a tool. The management of the company has the following reporting</w:t>
      </w:r>
      <w:r w:rsidR="00364AEA">
        <w:rPr>
          <w:rFonts w:ascii="Cambria" w:hAnsi="Cambria"/>
          <w:sz w:val="24"/>
          <w:szCs w:val="24"/>
        </w:rPr>
        <w:t xml:space="preserve"> and KPI</w:t>
      </w:r>
      <w:r>
        <w:rPr>
          <w:rFonts w:ascii="Cambria" w:hAnsi="Cambria"/>
          <w:sz w:val="24"/>
          <w:szCs w:val="24"/>
        </w:rPr>
        <w:t xml:space="preserve"> requirements.  </w:t>
      </w:r>
    </w:p>
    <w:p w14:paraId="44C921C8" w14:textId="436018A3" w:rsidR="00DD3733" w:rsidRDefault="00364AEA" w:rsidP="00DD3733">
      <w:pPr>
        <w:pStyle w:val="ListParagraph"/>
        <w:numPr>
          <w:ilvl w:val="0"/>
          <w:numId w:val="3"/>
        </w:numPr>
        <w:autoSpaceDE w:val="0"/>
        <w:autoSpaceDN w:val="0"/>
        <w:adjustRightInd w:val="0"/>
        <w:jc w:val="both"/>
        <w:rPr>
          <w:rFonts w:ascii="Cambria" w:hAnsi="Cambria"/>
          <w:sz w:val="24"/>
          <w:szCs w:val="24"/>
        </w:rPr>
      </w:pPr>
      <w:r>
        <w:rPr>
          <w:rFonts w:ascii="Cambria" w:hAnsi="Cambria"/>
          <w:sz w:val="24"/>
          <w:szCs w:val="24"/>
        </w:rPr>
        <w:t>Tabular View of Profit and Loss accounts and Balance Sheet – Facility of adding sub-categories to the main categories in the table/matrix visuals</w:t>
      </w:r>
    </w:p>
    <w:p w14:paraId="4029B26C" w14:textId="31A34482" w:rsidR="00364AEA" w:rsidRDefault="00364AEA" w:rsidP="00DD3733">
      <w:pPr>
        <w:pStyle w:val="ListParagraph"/>
        <w:numPr>
          <w:ilvl w:val="0"/>
          <w:numId w:val="3"/>
        </w:numPr>
        <w:autoSpaceDE w:val="0"/>
        <w:autoSpaceDN w:val="0"/>
        <w:adjustRightInd w:val="0"/>
        <w:jc w:val="both"/>
        <w:rPr>
          <w:rFonts w:ascii="Cambria" w:hAnsi="Cambria"/>
          <w:sz w:val="24"/>
          <w:szCs w:val="24"/>
        </w:rPr>
      </w:pPr>
      <w:r>
        <w:rPr>
          <w:rFonts w:ascii="Cambria" w:hAnsi="Cambria"/>
          <w:sz w:val="24"/>
          <w:szCs w:val="24"/>
        </w:rPr>
        <w:t>Graphical representation of Yearly Trend of Line Items of P&amp;L Account and year on year growth/degrowth</w:t>
      </w:r>
    </w:p>
    <w:p w14:paraId="5F8809D1" w14:textId="5BA3229B" w:rsidR="00364AEA" w:rsidRDefault="00364AEA" w:rsidP="00DD3733">
      <w:pPr>
        <w:pStyle w:val="ListParagraph"/>
        <w:numPr>
          <w:ilvl w:val="0"/>
          <w:numId w:val="3"/>
        </w:numPr>
        <w:autoSpaceDE w:val="0"/>
        <w:autoSpaceDN w:val="0"/>
        <w:adjustRightInd w:val="0"/>
        <w:jc w:val="both"/>
        <w:rPr>
          <w:rFonts w:ascii="Cambria" w:hAnsi="Cambria"/>
          <w:sz w:val="24"/>
          <w:szCs w:val="24"/>
        </w:rPr>
      </w:pPr>
      <w:r>
        <w:rPr>
          <w:rFonts w:ascii="Cambria" w:hAnsi="Cambria"/>
          <w:sz w:val="24"/>
          <w:szCs w:val="24"/>
        </w:rPr>
        <w:t xml:space="preserve">A funnel of the Income statement showing </w:t>
      </w:r>
      <w:r w:rsidR="00C40C73">
        <w:rPr>
          <w:rFonts w:ascii="Cambria" w:hAnsi="Cambria"/>
          <w:sz w:val="24"/>
          <w:szCs w:val="24"/>
        </w:rPr>
        <w:t>step-by-step</w:t>
      </w:r>
      <w:r w:rsidR="009E36DC">
        <w:rPr>
          <w:rFonts w:ascii="Cambria" w:hAnsi="Cambria"/>
          <w:sz w:val="24"/>
          <w:szCs w:val="24"/>
        </w:rPr>
        <w:t xml:space="preserve"> development</w:t>
      </w:r>
      <w:r>
        <w:rPr>
          <w:rFonts w:ascii="Cambria" w:hAnsi="Cambria"/>
          <w:sz w:val="24"/>
          <w:szCs w:val="24"/>
        </w:rPr>
        <w:t xml:space="preserve"> of key line items from Gross Sales </w:t>
      </w:r>
      <w:r w:rsidR="00C40C73">
        <w:rPr>
          <w:rFonts w:ascii="Cambria" w:hAnsi="Cambria"/>
          <w:sz w:val="24"/>
          <w:szCs w:val="24"/>
        </w:rPr>
        <w:t>to</w:t>
      </w:r>
      <w:r>
        <w:rPr>
          <w:rFonts w:ascii="Cambria" w:hAnsi="Cambria"/>
          <w:sz w:val="24"/>
          <w:szCs w:val="24"/>
        </w:rPr>
        <w:t xml:space="preserve"> Net Profit. </w:t>
      </w:r>
    </w:p>
    <w:p w14:paraId="1BBE110D" w14:textId="4173F8CC" w:rsidR="00364AEA" w:rsidRPr="00DD3733" w:rsidRDefault="00364AEA" w:rsidP="00DD3733">
      <w:pPr>
        <w:pStyle w:val="ListParagraph"/>
        <w:numPr>
          <w:ilvl w:val="0"/>
          <w:numId w:val="3"/>
        </w:numPr>
        <w:autoSpaceDE w:val="0"/>
        <w:autoSpaceDN w:val="0"/>
        <w:adjustRightInd w:val="0"/>
        <w:jc w:val="both"/>
        <w:rPr>
          <w:rFonts w:ascii="Cambria" w:hAnsi="Cambria"/>
          <w:sz w:val="24"/>
          <w:szCs w:val="24"/>
        </w:rPr>
      </w:pPr>
      <w:r>
        <w:rPr>
          <w:rFonts w:ascii="Cambria" w:hAnsi="Cambria"/>
          <w:sz w:val="24"/>
          <w:szCs w:val="24"/>
        </w:rPr>
        <w:t xml:space="preserve">Visualizing Financial Ratios for the current year with </w:t>
      </w:r>
      <w:r w:rsidR="00C40C73">
        <w:rPr>
          <w:rFonts w:ascii="Cambria" w:hAnsi="Cambria"/>
          <w:sz w:val="24"/>
          <w:szCs w:val="24"/>
        </w:rPr>
        <w:t xml:space="preserve">the </w:t>
      </w:r>
      <w:r>
        <w:rPr>
          <w:rFonts w:ascii="Cambria" w:hAnsi="Cambria"/>
          <w:sz w:val="24"/>
          <w:szCs w:val="24"/>
        </w:rPr>
        <w:t xml:space="preserve">previous </w:t>
      </w:r>
      <w:r w:rsidR="00C40C73">
        <w:rPr>
          <w:rFonts w:ascii="Cambria" w:hAnsi="Cambria"/>
          <w:sz w:val="24"/>
          <w:szCs w:val="24"/>
        </w:rPr>
        <w:t>year’s</w:t>
      </w:r>
      <w:r>
        <w:rPr>
          <w:rFonts w:ascii="Cambria" w:hAnsi="Cambria"/>
          <w:sz w:val="24"/>
          <w:szCs w:val="24"/>
        </w:rPr>
        <w:t xml:space="preserve"> values through KPI Cards. The ratios and their calculations are provided in the table below: </w:t>
      </w:r>
    </w:p>
    <w:p w14:paraId="4535045B" w14:textId="77777777" w:rsidR="00745CC1" w:rsidRPr="00AE7F67" w:rsidRDefault="00745CC1" w:rsidP="00AE7F67">
      <w:pPr>
        <w:autoSpaceDE w:val="0"/>
        <w:autoSpaceDN w:val="0"/>
        <w:adjustRightInd w:val="0"/>
        <w:jc w:val="both"/>
        <w:rPr>
          <w:rFonts w:ascii="Cambria" w:hAnsi="Cambria"/>
          <w:sz w:val="24"/>
          <w:szCs w:val="24"/>
        </w:rPr>
      </w:pPr>
    </w:p>
    <w:p w14:paraId="03CE589F" w14:textId="1431E3B8" w:rsidR="00AE7F67" w:rsidRDefault="00AE7F67" w:rsidP="00AE7F67">
      <w:pPr>
        <w:rPr>
          <w:b/>
          <w:bCs/>
          <w:sz w:val="24"/>
          <w:szCs w:val="24"/>
        </w:rPr>
      </w:pPr>
    </w:p>
    <w:tbl>
      <w:tblPr>
        <w:tblStyle w:val="TableGrid"/>
        <w:tblW w:w="9918" w:type="dxa"/>
        <w:tblLook w:val="04A0" w:firstRow="1" w:lastRow="0" w:firstColumn="1" w:lastColumn="0" w:noHBand="0" w:noVBand="1"/>
      </w:tblPr>
      <w:tblGrid>
        <w:gridCol w:w="846"/>
        <w:gridCol w:w="2551"/>
        <w:gridCol w:w="6521"/>
      </w:tblGrid>
      <w:tr w:rsidR="009E36DC" w14:paraId="5A6F0260" w14:textId="77777777" w:rsidTr="00022DEB">
        <w:tc>
          <w:tcPr>
            <w:tcW w:w="846" w:type="dxa"/>
          </w:tcPr>
          <w:p w14:paraId="06AD67AE" w14:textId="7C8B6BFA" w:rsidR="009E36DC" w:rsidRDefault="009E36DC" w:rsidP="009E36DC">
            <w:pPr>
              <w:jc w:val="center"/>
              <w:rPr>
                <w:b/>
                <w:bCs/>
                <w:sz w:val="24"/>
                <w:szCs w:val="24"/>
              </w:rPr>
            </w:pPr>
            <w:r>
              <w:rPr>
                <w:b/>
                <w:bCs/>
                <w:sz w:val="24"/>
                <w:szCs w:val="24"/>
              </w:rPr>
              <w:t>S. No.</w:t>
            </w:r>
          </w:p>
        </w:tc>
        <w:tc>
          <w:tcPr>
            <w:tcW w:w="2551" w:type="dxa"/>
          </w:tcPr>
          <w:p w14:paraId="456F3595" w14:textId="24A46505" w:rsidR="009E36DC" w:rsidRDefault="009E36DC" w:rsidP="009E36DC">
            <w:pPr>
              <w:jc w:val="center"/>
              <w:rPr>
                <w:b/>
                <w:bCs/>
                <w:sz w:val="24"/>
                <w:szCs w:val="24"/>
              </w:rPr>
            </w:pPr>
            <w:r>
              <w:rPr>
                <w:b/>
                <w:bCs/>
                <w:sz w:val="24"/>
                <w:szCs w:val="24"/>
              </w:rPr>
              <w:t>Ratio</w:t>
            </w:r>
          </w:p>
        </w:tc>
        <w:tc>
          <w:tcPr>
            <w:tcW w:w="6521" w:type="dxa"/>
          </w:tcPr>
          <w:p w14:paraId="566777E2" w14:textId="1520FC8D" w:rsidR="009E36DC" w:rsidRDefault="009E36DC" w:rsidP="009E36DC">
            <w:pPr>
              <w:jc w:val="center"/>
              <w:rPr>
                <w:b/>
                <w:bCs/>
                <w:sz w:val="24"/>
                <w:szCs w:val="24"/>
              </w:rPr>
            </w:pPr>
            <w:r>
              <w:rPr>
                <w:b/>
                <w:bCs/>
                <w:sz w:val="24"/>
                <w:szCs w:val="24"/>
              </w:rPr>
              <w:t>Formula</w:t>
            </w:r>
          </w:p>
        </w:tc>
      </w:tr>
      <w:tr w:rsidR="009E36DC" w14:paraId="5CB7CA69" w14:textId="77777777" w:rsidTr="00022DEB">
        <w:tc>
          <w:tcPr>
            <w:tcW w:w="846" w:type="dxa"/>
          </w:tcPr>
          <w:p w14:paraId="6FBAFE94" w14:textId="682EF75C" w:rsidR="009E36DC" w:rsidRPr="009E36DC" w:rsidRDefault="009E36DC" w:rsidP="009E36DC">
            <w:pPr>
              <w:jc w:val="center"/>
              <w:rPr>
                <w:sz w:val="24"/>
                <w:szCs w:val="24"/>
              </w:rPr>
            </w:pPr>
            <w:r w:rsidRPr="009E36DC">
              <w:rPr>
                <w:sz w:val="24"/>
                <w:szCs w:val="24"/>
              </w:rPr>
              <w:t>1</w:t>
            </w:r>
          </w:p>
        </w:tc>
        <w:tc>
          <w:tcPr>
            <w:tcW w:w="2551" w:type="dxa"/>
          </w:tcPr>
          <w:p w14:paraId="73C56E92" w14:textId="0BA09A6B" w:rsidR="009E36DC" w:rsidRPr="009E36DC" w:rsidRDefault="009E36DC" w:rsidP="009E36DC">
            <w:pPr>
              <w:jc w:val="center"/>
              <w:rPr>
                <w:sz w:val="24"/>
                <w:szCs w:val="24"/>
              </w:rPr>
            </w:pPr>
            <w:r w:rsidRPr="009E36DC">
              <w:rPr>
                <w:sz w:val="24"/>
                <w:szCs w:val="24"/>
              </w:rPr>
              <w:t xml:space="preserve">Operating Profit </w:t>
            </w:r>
            <w:r>
              <w:rPr>
                <w:sz w:val="24"/>
                <w:szCs w:val="24"/>
              </w:rPr>
              <w:t>Margin</w:t>
            </w:r>
          </w:p>
        </w:tc>
        <w:tc>
          <w:tcPr>
            <w:tcW w:w="6521" w:type="dxa"/>
          </w:tcPr>
          <w:p w14:paraId="782FCC26" w14:textId="17D266BC" w:rsidR="009E36DC" w:rsidRPr="009E36DC" w:rsidRDefault="009E36DC" w:rsidP="009E36DC">
            <w:pPr>
              <w:jc w:val="center"/>
              <w:rPr>
                <w:sz w:val="24"/>
                <w:szCs w:val="24"/>
              </w:rPr>
            </w:pPr>
            <w:r>
              <w:rPr>
                <w:sz w:val="24"/>
                <w:szCs w:val="24"/>
              </w:rPr>
              <w:t>OPBDITA / Operating Income</w:t>
            </w:r>
          </w:p>
        </w:tc>
      </w:tr>
      <w:tr w:rsidR="009E36DC" w14:paraId="7CAA3AD1" w14:textId="77777777" w:rsidTr="00022DEB">
        <w:tc>
          <w:tcPr>
            <w:tcW w:w="846" w:type="dxa"/>
          </w:tcPr>
          <w:p w14:paraId="11DCFAAF" w14:textId="6CD47E54" w:rsidR="009E36DC" w:rsidRPr="009E36DC" w:rsidRDefault="009E36DC" w:rsidP="009E36DC">
            <w:pPr>
              <w:jc w:val="center"/>
              <w:rPr>
                <w:sz w:val="24"/>
                <w:szCs w:val="24"/>
              </w:rPr>
            </w:pPr>
            <w:r w:rsidRPr="009E36DC">
              <w:rPr>
                <w:sz w:val="24"/>
                <w:szCs w:val="24"/>
              </w:rPr>
              <w:t>2</w:t>
            </w:r>
          </w:p>
        </w:tc>
        <w:tc>
          <w:tcPr>
            <w:tcW w:w="2551" w:type="dxa"/>
          </w:tcPr>
          <w:p w14:paraId="6589CB90" w14:textId="236353C4" w:rsidR="009E36DC" w:rsidRPr="009E36DC" w:rsidRDefault="009E36DC" w:rsidP="009E36DC">
            <w:pPr>
              <w:jc w:val="center"/>
              <w:rPr>
                <w:sz w:val="24"/>
                <w:szCs w:val="24"/>
              </w:rPr>
            </w:pPr>
            <w:r>
              <w:rPr>
                <w:sz w:val="24"/>
                <w:szCs w:val="24"/>
              </w:rPr>
              <w:t>Net Profit Margin</w:t>
            </w:r>
          </w:p>
        </w:tc>
        <w:tc>
          <w:tcPr>
            <w:tcW w:w="6521" w:type="dxa"/>
          </w:tcPr>
          <w:p w14:paraId="725331CB" w14:textId="03D2FA45" w:rsidR="009E36DC" w:rsidRPr="009E36DC" w:rsidRDefault="009E36DC" w:rsidP="009E36DC">
            <w:pPr>
              <w:jc w:val="center"/>
              <w:rPr>
                <w:sz w:val="24"/>
                <w:szCs w:val="24"/>
              </w:rPr>
            </w:pPr>
            <w:r>
              <w:rPr>
                <w:sz w:val="24"/>
                <w:szCs w:val="24"/>
              </w:rPr>
              <w:t>PAT / Operating Income</w:t>
            </w:r>
          </w:p>
        </w:tc>
      </w:tr>
      <w:tr w:rsidR="009E36DC" w14:paraId="58120433" w14:textId="77777777" w:rsidTr="00022DEB">
        <w:tc>
          <w:tcPr>
            <w:tcW w:w="846" w:type="dxa"/>
          </w:tcPr>
          <w:p w14:paraId="299F70B8" w14:textId="2EFF4AA9" w:rsidR="009E36DC" w:rsidRPr="009E36DC" w:rsidRDefault="009E36DC" w:rsidP="009E36DC">
            <w:pPr>
              <w:jc w:val="center"/>
              <w:rPr>
                <w:sz w:val="24"/>
                <w:szCs w:val="24"/>
              </w:rPr>
            </w:pPr>
            <w:r w:rsidRPr="009E36DC">
              <w:rPr>
                <w:sz w:val="24"/>
                <w:szCs w:val="24"/>
              </w:rPr>
              <w:t>3</w:t>
            </w:r>
          </w:p>
        </w:tc>
        <w:tc>
          <w:tcPr>
            <w:tcW w:w="2551" w:type="dxa"/>
          </w:tcPr>
          <w:p w14:paraId="64B40202" w14:textId="4211E824" w:rsidR="009E36DC" w:rsidRPr="009E36DC" w:rsidRDefault="009E36DC" w:rsidP="009E36DC">
            <w:pPr>
              <w:jc w:val="center"/>
              <w:rPr>
                <w:sz w:val="24"/>
                <w:szCs w:val="24"/>
              </w:rPr>
            </w:pPr>
            <w:r>
              <w:rPr>
                <w:sz w:val="24"/>
                <w:szCs w:val="24"/>
              </w:rPr>
              <w:t>Return on Capital Employed (ROCE)</w:t>
            </w:r>
          </w:p>
        </w:tc>
        <w:tc>
          <w:tcPr>
            <w:tcW w:w="6521" w:type="dxa"/>
          </w:tcPr>
          <w:p w14:paraId="68BDE549" w14:textId="018460CB" w:rsidR="009E36DC" w:rsidRPr="009E36DC" w:rsidRDefault="004F4EE1" w:rsidP="009E36DC">
            <w:pPr>
              <w:jc w:val="center"/>
              <w:rPr>
                <w:sz w:val="24"/>
                <w:szCs w:val="24"/>
              </w:rPr>
            </w:pPr>
            <w:r>
              <w:rPr>
                <w:sz w:val="24"/>
                <w:szCs w:val="24"/>
              </w:rPr>
              <w:t>Earnings before Interest and Tax (EBIT) / Capital Employed</w:t>
            </w:r>
            <w:r w:rsidR="003D5EE8">
              <w:rPr>
                <w:sz w:val="24"/>
                <w:szCs w:val="24"/>
              </w:rPr>
              <w:t>*</w:t>
            </w:r>
            <w:r>
              <w:rPr>
                <w:sz w:val="24"/>
                <w:szCs w:val="24"/>
              </w:rPr>
              <w:t xml:space="preserve"> </w:t>
            </w:r>
            <w:r w:rsidR="003D5EE8">
              <w:rPr>
                <w:sz w:val="24"/>
                <w:szCs w:val="24"/>
              </w:rPr>
              <w:t xml:space="preserve">*Capital Employed = </w:t>
            </w:r>
            <w:r>
              <w:rPr>
                <w:sz w:val="24"/>
                <w:szCs w:val="24"/>
              </w:rPr>
              <w:t>(Total Assets – Current Liabilities)</w:t>
            </w:r>
          </w:p>
        </w:tc>
      </w:tr>
      <w:tr w:rsidR="009E36DC" w14:paraId="0AC7CE81" w14:textId="77777777" w:rsidTr="00022DEB">
        <w:tc>
          <w:tcPr>
            <w:tcW w:w="846" w:type="dxa"/>
          </w:tcPr>
          <w:p w14:paraId="4637FAD5" w14:textId="12E00FD6" w:rsidR="009E36DC" w:rsidRPr="009E36DC" w:rsidRDefault="009E36DC" w:rsidP="009E36DC">
            <w:pPr>
              <w:jc w:val="center"/>
              <w:rPr>
                <w:sz w:val="24"/>
                <w:szCs w:val="24"/>
              </w:rPr>
            </w:pPr>
            <w:r w:rsidRPr="009E36DC">
              <w:rPr>
                <w:sz w:val="24"/>
                <w:szCs w:val="24"/>
              </w:rPr>
              <w:t>4</w:t>
            </w:r>
          </w:p>
        </w:tc>
        <w:tc>
          <w:tcPr>
            <w:tcW w:w="2551" w:type="dxa"/>
          </w:tcPr>
          <w:p w14:paraId="6C9EA334" w14:textId="647E8D7E" w:rsidR="009E36DC" w:rsidRPr="009E36DC" w:rsidRDefault="004F4EE1" w:rsidP="009E36DC">
            <w:pPr>
              <w:jc w:val="center"/>
              <w:rPr>
                <w:sz w:val="24"/>
                <w:szCs w:val="24"/>
              </w:rPr>
            </w:pPr>
            <w:r>
              <w:rPr>
                <w:sz w:val="24"/>
                <w:szCs w:val="24"/>
              </w:rPr>
              <w:t>Debt-Equity Ratio</w:t>
            </w:r>
          </w:p>
        </w:tc>
        <w:tc>
          <w:tcPr>
            <w:tcW w:w="6521" w:type="dxa"/>
          </w:tcPr>
          <w:p w14:paraId="2D390B4B" w14:textId="77777777" w:rsidR="003D5EE8" w:rsidRDefault="004F4EE1" w:rsidP="009E36DC">
            <w:pPr>
              <w:jc w:val="center"/>
              <w:rPr>
                <w:sz w:val="24"/>
                <w:szCs w:val="24"/>
              </w:rPr>
            </w:pPr>
            <w:r>
              <w:rPr>
                <w:sz w:val="24"/>
                <w:szCs w:val="24"/>
              </w:rPr>
              <w:t>Total Debt / Total Equity</w:t>
            </w:r>
            <w:r w:rsidR="003D5EE8">
              <w:rPr>
                <w:sz w:val="24"/>
                <w:szCs w:val="24"/>
              </w:rPr>
              <w:t>*</w:t>
            </w:r>
          </w:p>
          <w:p w14:paraId="1CE7FC53" w14:textId="62413B7D" w:rsidR="009E36DC" w:rsidRPr="009E36DC" w:rsidRDefault="003D5EE8" w:rsidP="009E36DC">
            <w:pPr>
              <w:jc w:val="center"/>
              <w:rPr>
                <w:sz w:val="24"/>
                <w:szCs w:val="24"/>
              </w:rPr>
            </w:pPr>
            <w:r>
              <w:rPr>
                <w:sz w:val="24"/>
                <w:szCs w:val="24"/>
              </w:rPr>
              <w:t>*Total Equity = (</w:t>
            </w:r>
            <w:r w:rsidR="004F4EE1">
              <w:rPr>
                <w:sz w:val="24"/>
                <w:szCs w:val="24"/>
              </w:rPr>
              <w:t>Tangible Net worth + Minority Interest)</w:t>
            </w:r>
          </w:p>
        </w:tc>
      </w:tr>
      <w:tr w:rsidR="009E36DC" w14:paraId="4C7F142A" w14:textId="77777777" w:rsidTr="00022DEB">
        <w:tc>
          <w:tcPr>
            <w:tcW w:w="846" w:type="dxa"/>
          </w:tcPr>
          <w:p w14:paraId="2E49CFE1" w14:textId="38CC416F" w:rsidR="009E36DC" w:rsidRPr="009E36DC" w:rsidRDefault="009E36DC" w:rsidP="009E36DC">
            <w:pPr>
              <w:jc w:val="center"/>
              <w:rPr>
                <w:sz w:val="24"/>
                <w:szCs w:val="24"/>
              </w:rPr>
            </w:pPr>
            <w:r w:rsidRPr="009E36DC">
              <w:rPr>
                <w:sz w:val="24"/>
                <w:szCs w:val="24"/>
              </w:rPr>
              <w:t>5</w:t>
            </w:r>
          </w:p>
        </w:tc>
        <w:tc>
          <w:tcPr>
            <w:tcW w:w="2551" w:type="dxa"/>
          </w:tcPr>
          <w:p w14:paraId="60B8BA3C" w14:textId="77B7D732" w:rsidR="009E36DC" w:rsidRPr="009E36DC" w:rsidRDefault="004F4EE1" w:rsidP="009E36DC">
            <w:pPr>
              <w:jc w:val="center"/>
              <w:rPr>
                <w:sz w:val="24"/>
                <w:szCs w:val="24"/>
              </w:rPr>
            </w:pPr>
            <w:r>
              <w:rPr>
                <w:sz w:val="24"/>
                <w:szCs w:val="24"/>
              </w:rPr>
              <w:t>Interest Coverage Ratio</w:t>
            </w:r>
          </w:p>
        </w:tc>
        <w:tc>
          <w:tcPr>
            <w:tcW w:w="6521" w:type="dxa"/>
          </w:tcPr>
          <w:p w14:paraId="29CD8549" w14:textId="201D2369" w:rsidR="009E36DC" w:rsidRPr="009E36DC" w:rsidRDefault="004F4EE1" w:rsidP="009E36DC">
            <w:pPr>
              <w:jc w:val="center"/>
              <w:rPr>
                <w:sz w:val="24"/>
                <w:szCs w:val="24"/>
              </w:rPr>
            </w:pPr>
            <w:r>
              <w:rPr>
                <w:sz w:val="24"/>
                <w:szCs w:val="24"/>
              </w:rPr>
              <w:t>OPBDITA / Interest and Finance Charges</w:t>
            </w:r>
          </w:p>
        </w:tc>
      </w:tr>
      <w:tr w:rsidR="009E36DC" w14:paraId="754AE561" w14:textId="77777777" w:rsidTr="00022DEB">
        <w:tc>
          <w:tcPr>
            <w:tcW w:w="846" w:type="dxa"/>
          </w:tcPr>
          <w:p w14:paraId="42357682" w14:textId="0EF71E1D" w:rsidR="009E36DC" w:rsidRPr="009E36DC" w:rsidRDefault="009E36DC" w:rsidP="009E36DC">
            <w:pPr>
              <w:jc w:val="center"/>
              <w:rPr>
                <w:sz w:val="24"/>
                <w:szCs w:val="24"/>
              </w:rPr>
            </w:pPr>
            <w:r w:rsidRPr="009E36DC">
              <w:rPr>
                <w:sz w:val="24"/>
                <w:szCs w:val="24"/>
              </w:rPr>
              <w:t>6</w:t>
            </w:r>
          </w:p>
        </w:tc>
        <w:tc>
          <w:tcPr>
            <w:tcW w:w="2551" w:type="dxa"/>
          </w:tcPr>
          <w:p w14:paraId="18103E9B" w14:textId="2809D43C" w:rsidR="009E36DC" w:rsidRPr="009E36DC" w:rsidRDefault="004F4EE1" w:rsidP="009E36DC">
            <w:pPr>
              <w:jc w:val="center"/>
              <w:rPr>
                <w:sz w:val="24"/>
                <w:szCs w:val="24"/>
              </w:rPr>
            </w:pPr>
            <w:r>
              <w:rPr>
                <w:sz w:val="24"/>
                <w:szCs w:val="24"/>
              </w:rPr>
              <w:t>Debt to Profit Ratio</w:t>
            </w:r>
          </w:p>
        </w:tc>
        <w:tc>
          <w:tcPr>
            <w:tcW w:w="6521" w:type="dxa"/>
          </w:tcPr>
          <w:p w14:paraId="423E90EE" w14:textId="54A9F07D" w:rsidR="009E36DC" w:rsidRPr="009E36DC" w:rsidRDefault="004F4EE1" w:rsidP="009E36DC">
            <w:pPr>
              <w:jc w:val="center"/>
              <w:rPr>
                <w:sz w:val="24"/>
                <w:szCs w:val="24"/>
              </w:rPr>
            </w:pPr>
            <w:r>
              <w:rPr>
                <w:sz w:val="24"/>
                <w:szCs w:val="24"/>
              </w:rPr>
              <w:t>Total Debt / OPBDITA</w:t>
            </w:r>
          </w:p>
        </w:tc>
      </w:tr>
      <w:tr w:rsidR="009E36DC" w14:paraId="29C3407A" w14:textId="77777777" w:rsidTr="00022DEB">
        <w:tc>
          <w:tcPr>
            <w:tcW w:w="846" w:type="dxa"/>
          </w:tcPr>
          <w:p w14:paraId="0DBB8794" w14:textId="77777777" w:rsidR="00022DEB" w:rsidRDefault="00022DEB" w:rsidP="009E36DC">
            <w:pPr>
              <w:jc w:val="center"/>
              <w:rPr>
                <w:sz w:val="24"/>
                <w:szCs w:val="24"/>
              </w:rPr>
            </w:pPr>
          </w:p>
          <w:p w14:paraId="554EC228" w14:textId="307EDB9B" w:rsidR="009E36DC" w:rsidRPr="009E36DC" w:rsidRDefault="009E36DC" w:rsidP="009E36DC">
            <w:pPr>
              <w:jc w:val="center"/>
              <w:rPr>
                <w:sz w:val="24"/>
                <w:szCs w:val="24"/>
              </w:rPr>
            </w:pPr>
            <w:r w:rsidRPr="009E36DC">
              <w:rPr>
                <w:sz w:val="24"/>
                <w:szCs w:val="24"/>
              </w:rPr>
              <w:t>7</w:t>
            </w:r>
          </w:p>
        </w:tc>
        <w:tc>
          <w:tcPr>
            <w:tcW w:w="2551" w:type="dxa"/>
          </w:tcPr>
          <w:p w14:paraId="777722CC" w14:textId="77777777" w:rsidR="00022DEB" w:rsidRDefault="00022DEB" w:rsidP="009E36DC">
            <w:pPr>
              <w:jc w:val="center"/>
              <w:rPr>
                <w:sz w:val="24"/>
                <w:szCs w:val="24"/>
              </w:rPr>
            </w:pPr>
          </w:p>
          <w:p w14:paraId="497B658D" w14:textId="40F0F86C" w:rsidR="009E36DC" w:rsidRPr="009E36DC" w:rsidRDefault="00022DEB" w:rsidP="009E36DC">
            <w:pPr>
              <w:jc w:val="center"/>
              <w:rPr>
                <w:sz w:val="24"/>
                <w:szCs w:val="24"/>
              </w:rPr>
            </w:pPr>
            <w:r>
              <w:rPr>
                <w:sz w:val="24"/>
                <w:szCs w:val="24"/>
              </w:rPr>
              <w:t>Net Working Capital Intensity</w:t>
            </w:r>
          </w:p>
        </w:tc>
        <w:tc>
          <w:tcPr>
            <w:tcW w:w="6521" w:type="dxa"/>
          </w:tcPr>
          <w:p w14:paraId="2DD22D72" w14:textId="77777777" w:rsidR="009E36DC" w:rsidRDefault="00022DEB" w:rsidP="009E36DC">
            <w:pPr>
              <w:jc w:val="center"/>
              <w:rPr>
                <w:sz w:val="24"/>
                <w:szCs w:val="24"/>
              </w:rPr>
            </w:pPr>
            <w:r>
              <w:rPr>
                <w:sz w:val="24"/>
                <w:szCs w:val="24"/>
              </w:rPr>
              <w:t>Net Working Capital* / Operating Income</w:t>
            </w:r>
          </w:p>
          <w:p w14:paraId="1DF3B714" w14:textId="034D20D3" w:rsidR="00022DEB" w:rsidRPr="009E36DC" w:rsidRDefault="00022DEB" w:rsidP="009E36DC">
            <w:pPr>
              <w:jc w:val="center"/>
              <w:rPr>
                <w:sz w:val="24"/>
                <w:szCs w:val="24"/>
              </w:rPr>
            </w:pPr>
            <w:r>
              <w:rPr>
                <w:sz w:val="24"/>
                <w:szCs w:val="24"/>
              </w:rPr>
              <w:t>*NWC = Total Current Assets – Cash and Bank Balances – (Trade creditors + Advances from Customers + Income Taxes Payable + Other Operating Current Liabilities and Provision)</w:t>
            </w:r>
          </w:p>
        </w:tc>
      </w:tr>
      <w:tr w:rsidR="00022DEB" w14:paraId="2AC58D31" w14:textId="77777777" w:rsidTr="00022DEB">
        <w:tc>
          <w:tcPr>
            <w:tcW w:w="846" w:type="dxa"/>
          </w:tcPr>
          <w:p w14:paraId="55B612CD" w14:textId="77C65CA0" w:rsidR="00022DEB" w:rsidRDefault="00022DEB" w:rsidP="009E36DC">
            <w:pPr>
              <w:jc w:val="center"/>
              <w:rPr>
                <w:sz w:val="24"/>
                <w:szCs w:val="24"/>
              </w:rPr>
            </w:pPr>
            <w:r>
              <w:rPr>
                <w:sz w:val="24"/>
                <w:szCs w:val="24"/>
              </w:rPr>
              <w:t>8</w:t>
            </w:r>
          </w:p>
        </w:tc>
        <w:tc>
          <w:tcPr>
            <w:tcW w:w="2551" w:type="dxa"/>
          </w:tcPr>
          <w:p w14:paraId="44FC2381" w14:textId="3780BB06" w:rsidR="00022DEB" w:rsidRDefault="00022DEB" w:rsidP="009E36DC">
            <w:pPr>
              <w:jc w:val="center"/>
              <w:rPr>
                <w:sz w:val="24"/>
                <w:szCs w:val="24"/>
              </w:rPr>
            </w:pPr>
            <w:r>
              <w:rPr>
                <w:sz w:val="24"/>
                <w:szCs w:val="24"/>
              </w:rPr>
              <w:t>Debtor Days</w:t>
            </w:r>
          </w:p>
        </w:tc>
        <w:tc>
          <w:tcPr>
            <w:tcW w:w="6521" w:type="dxa"/>
          </w:tcPr>
          <w:p w14:paraId="17EAEE52" w14:textId="72645E03" w:rsidR="00022DEB" w:rsidRDefault="00022DEB" w:rsidP="009E36DC">
            <w:pPr>
              <w:jc w:val="center"/>
              <w:rPr>
                <w:sz w:val="24"/>
                <w:szCs w:val="24"/>
              </w:rPr>
            </w:pPr>
            <w:r>
              <w:rPr>
                <w:sz w:val="24"/>
                <w:szCs w:val="24"/>
              </w:rPr>
              <w:t>Accounts Receivable Operations * 365 / Gross Sales + Traded Goods Sales</w:t>
            </w:r>
          </w:p>
        </w:tc>
      </w:tr>
      <w:tr w:rsidR="00022DEB" w14:paraId="72127B24" w14:textId="77777777" w:rsidTr="00022DEB">
        <w:tc>
          <w:tcPr>
            <w:tcW w:w="846" w:type="dxa"/>
          </w:tcPr>
          <w:p w14:paraId="5B82727A" w14:textId="05791816" w:rsidR="00022DEB" w:rsidRDefault="00022DEB" w:rsidP="009E36DC">
            <w:pPr>
              <w:jc w:val="center"/>
              <w:rPr>
                <w:sz w:val="24"/>
                <w:szCs w:val="24"/>
              </w:rPr>
            </w:pPr>
            <w:r>
              <w:rPr>
                <w:sz w:val="24"/>
                <w:szCs w:val="24"/>
              </w:rPr>
              <w:t>9</w:t>
            </w:r>
          </w:p>
        </w:tc>
        <w:tc>
          <w:tcPr>
            <w:tcW w:w="2551" w:type="dxa"/>
          </w:tcPr>
          <w:p w14:paraId="366E8F88" w14:textId="09275FA6" w:rsidR="00022DEB" w:rsidRDefault="00022DEB" w:rsidP="009E36DC">
            <w:pPr>
              <w:jc w:val="center"/>
              <w:rPr>
                <w:sz w:val="24"/>
                <w:szCs w:val="24"/>
              </w:rPr>
            </w:pPr>
            <w:r>
              <w:rPr>
                <w:sz w:val="24"/>
                <w:szCs w:val="24"/>
              </w:rPr>
              <w:t>Inventory Days</w:t>
            </w:r>
          </w:p>
        </w:tc>
        <w:tc>
          <w:tcPr>
            <w:tcW w:w="6521" w:type="dxa"/>
          </w:tcPr>
          <w:p w14:paraId="4A852CBF" w14:textId="61658FA5" w:rsidR="00022DEB" w:rsidRDefault="00022DEB" w:rsidP="009E36DC">
            <w:pPr>
              <w:jc w:val="center"/>
              <w:rPr>
                <w:sz w:val="24"/>
                <w:szCs w:val="24"/>
              </w:rPr>
            </w:pPr>
            <w:r>
              <w:rPr>
                <w:sz w:val="24"/>
                <w:szCs w:val="24"/>
              </w:rPr>
              <w:t>Total Inventory * 365 / Total Cost of Manufacturing</w:t>
            </w:r>
          </w:p>
        </w:tc>
      </w:tr>
      <w:tr w:rsidR="00022DEB" w14:paraId="40DD50FF" w14:textId="77777777" w:rsidTr="00022DEB">
        <w:tc>
          <w:tcPr>
            <w:tcW w:w="846" w:type="dxa"/>
          </w:tcPr>
          <w:p w14:paraId="506C4151" w14:textId="77777777" w:rsidR="003D5EE8" w:rsidRDefault="003D5EE8" w:rsidP="009E36DC">
            <w:pPr>
              <w:jc w:val="center"/>
              <w:rPr>
                <w:sz w:val="24"/>
                <w:szCs w:val="24"/>
              </w:rPr>
            </w:pPr>
          </w:p>
          <w:p w14:paraId="5CB93917" w14:textId="6F23EDF2" w:rsidR="00022DEB" w:rsidRDefault="00022DEB" w:rsidP="009E36DC">
            <w:pPr>
              <w:jc w:val="center"/>
              <w:rPr>
                <w:sz w:val="24"/>
                <w:szCs w:val="24"/>
              </w:rPr>
            </w:pPr>
            <w:r>
              <w:rPr>
                <w:sz w:val="24"/>
                <w:szCs w:val="24"/>
              </w:rPr>
              <w:t>10</w:t>
            </w:r>
          </w:p>
        </w:tc>
        <w:tc>
          <w:tcPr>
            <w:tcW w:w="2551" w:type="dxa"/>
          </w:tcPr>
          <w:p w14:paraId="3AFF59FE" w14:textId="77777777" w:rsidR="003D5EE8" w:rsidRDefault="003D5EE8" w:rsidP="009E36DC">
            <w:pPr>
              <w:jc w:val="center"/>
              <w:rPr>
                <w:sz w:val="24"/>
                <w:szCs w:val="24"/>
              </w:rPr>
            </w:pPr>
          </w:p>
          <w:p w14:paraId="48D00983" w14:textId="6412A98C" w:rsidR="00022DEB" w:rsidRDefault="00022DEB" w:rsidP="009E36DC">
            <w:pPr>
              <w:jc w:val="center"/>
              <w:rPr>
                <w:sz w:val="24"/>
                <w:szCs w:val="24"/>
              </w:rPr>
            </w:pPr>
            <w:r>
              <w:rPr>
                <w:sz w:val="24"/>
                <w:szCs w:val="24"/>
              </w:rPr>
              <w:t>Days Payable</w:t>
            </w:r>
          </w:p>
        </w:tc>
        <w:tc>
          <w:tcPr>
            <w:tcW w:w="6521" w:type="dxa"/>
          </w:tcPr>
          <w:p w14:paraId="7009BE7A" w14:textId="5FE9367E" w:rsidR="00022DEB" w:rsidRDefault="00022DEB" w:rsidP="009E36DC">
            <w:pPr>
              <w:jc w:val="center"/>
              <w:rPr>
                <w:sz w:val="24"/>
                <w:szCs w:val="24"/>
              </w:rPr>
            </w:pPr>
            <w:r>
              <w:rPr>
                <w:sz w:val="24"/>
                <w:szCs w:val="24"/>
              </w:rPr>
              <w:t>Trade Creditors / (Raw Material Consumption + Traded Goods Purchased + Consumable Stores + Power and Fuel + Employee Costs + Other Manufacturing Expenses)</w:t>
            </w:r>
          </w:p>
        </w:tc>
      </w:tr>
    </w:tbl>
    <w:p w14:paraId="132D3B4A" w14:textId="56FC899F" w:rsidR="00C40C73" w:rsidRDefault="00C40C73" w:rsidP="00C40C73">
      <w:pPr>
        <w:rPr>
          <w:sz w:val="24"/>
          <w:szCs w:val="24"/>
        </w:rPr>
      </w:pPr>
    </w:p>
    <w:p w14:paraId="31387407" w14:textId="5ACB7B38" w:rsidR="00C40C73" w:rsidRDefault="00C40C73" w:rsidP="00EE7991">
      <w:pPr>
        <w:pStyle w:val="ListParagraph"/>
        <w:numPr>
          <w:ilvl w:val="0"/>
          <w:numId w:val="3"/>
        </w:numPr>
        <w:jc w:val="both"/>
        <w:rPr>
          <w:sz w:val="24"/>
          <w:szCs w:val="24"/>
        </w:rPr>
      </w:pPr>
      <w:r>
        <w:rPr>
          <w:sz w:val="24"/>
          <w:szCs w:val="24"/>
        </w:rPr>
        <w:t xml:space="preserve">Visualization for Country-wise Sales by Year and % of Total Sales. </w:t>
      </w:r>
    </w:p>
    <w:p w14:paraId="2BC90AA3" w14:textId="77777777" w:rsidR="00C40C73" w:rsidRDefault="00C40C73" w:rsidP="00EE7991">
      <w:pPr>
        <w:pStyle w:val="ListParagraph"/>
        <w:jc w:val="both"/>
        <w:rPr>
          <w:sz w:val="24"/>
          <w:szCs w:val="24"/>
        </w:rPr>
      </w:pPr>
    </w:p>
    <w:p w14:paraId="535B567C" w14:textId="23F5EA4B" w:rsidR="00C40C73" w:rsidRDefault="00C40C73" w:rsidP="00EE7991">
      <w:pPr>
        <w:pStyle w:val="ListParagraph"/>
        <w:numPr>
          <w:ilvl w:val="0"/>
          <w:numId w:val="3"/>
        </w:numPr>
        <w:jc w:val="both"/>
        <w:rPr>
          <w:sz w:val="24"/>
          <w:szCs w:val="24"/>
        </w:rPr>
      </w:pPr>
      <w:r>
        <w:rPr>
          <w:sz w:val="24"/>
          <w:szCs w:val="24"/>
        </w:rPr>
        <w:t>Visualization to show sales to top 5 customers by Year with % of Total Sales</w:t>
      </w:r>
    </w:p>
    <w:p w14:paraId="14D70219" w14:textId="77777777" w:rsidR="00C40C73" w:rsidRPr="00C40C73" w:rsidRDefault="00C40C73" w:rsidP="00EE7991">
      <w:pPr>
        <w:pStyle w:val="ListParagraph"/>
        <w:jc w:val="both"/>
        <w:rPr>
          <w:sz w:val="24"/>
          <w:szCs w:val="24"/>
        </w:rPr>
      </w:pPr>
    </w:p>
    <w:p w14:paraId="7B7E2D02" w14:textId="75D38933" w:rsidR="00C40C73" w:rsidRDefault="00C40C73" w:rsidP="00EE7991">
      <w:pPr>
        <w:pStyle w:val="ListParagraph"/>
        <w:numPr>
          <w:ilvl w:val="0"/>
          <w:numId w:val="3"/>
        </w:numPr>
        <w:jc w:val="both"/>
        <w:rPr>
          <w:sz w:val="24"/>
          <w:szCs w:val="24"/>
        </w:rPr>
      </w:pPr>
      <w:r>
        <w:rPr>
          <w:sz w:val="24"/>
          <w:szCs w:val="24"/>
        </w:rPr>
        <w:t>Visualization to show Product wise Sales by Year with % of Total Sales</w:t>
      </w:r>
    </w:p>
    <w:p w14:paraId="696F8EEA" w14:textId="77777777" w:rsidR="00C40C73" w:rsidRPr="00C40C73" w:rsidRDefault="00C40C73" w:rsidP="00EE7991">
      <w:pPr>
        <w:pStyle w:val="ListParagraph"/>
        <w:jc w:val="both"/>
        <w:rPr>
          <w:sz w:val="24"/>
          <w:szCs w:val="24"/>
        </w:rPr>
      </w:pPr>
    </w:p>
    <w:p w14:paraId="4F4371BF" w14:textId="26066850" w:rsidR="00C40C73" w:rsidRDefault="00C40C73" w:rsidP="00EE7991">
      <w:pPr>
        <w:pStyle w:val="ListParagraph"/>
        <w:numPr>
          <w:ilvl w:val="0"/>
          <w:numId w:val="3"/>
        </w:numPr>
        <w:jc w:val="both"/>
        <w:rPr>
          <w:sz w:val="24"/>
          <w:szCs w:val="24"/>
        </w:rPr>
      </w:pPr>
      <w:r>
        <w:rPr>
          <w:sz w:val="24"/>
          <w:szCs w:val="24"/>
        </w:rPr>
        <w:t xml:space="preserve">Visualization to show Total Installed Capacity, Capacity utilized, and % capacity utilized by Year (% capacity utilized = Capacity Utilised / Total Capacity). </w:t>
      </w:r>
    </w:p>
    <w:p w14:paraId="4CBE0426" w14:textId="77777777" w:rsidR="00836A0C" w:rsidRPr="00836A0C" w:rsidRDefault="00836A0C" w:rsidP="00836A0C">
      <w:pPr>
        <w:pStyle w:val="ListParagraph"/>
        <w:rPr>
          <w:sz w:val="24"/>
          <w:szCs w:val="24"/>
        </w:rPr>
      </w:pPr>
    </w:p>
    <w:p w14:paraId="5EDC83ED" w14:textId="652E67F9" w:rsidR="00836A0C" w:rsidRDefault="00836A0C" w:rsidP="00EE7991">
      <w:pPr>
        <w:pStyle w:val="ListParagraph"/>
        <w:numPr>
          <w:ilvl w:val="0"/>
          <w:numId w:val="3"/>
        </w:numPr>
        <w:jc w:val="both"/>
        <w:rPr>
          <w:sz w:val="24"/>
          <w:szCs w:val="24"/>
        </w:rPr>
      </w:pPr>
      <w:r>
        <w:rPr>
          <w:sz w:val="24"/>
          <w:szCs w:val="24"/>
        </w:rPr>
        <w:t xml:space="preserve">Any other visualization which the developer/analyst deems fit. The management welcomes new ideas and analysis methods. </w:t>
      </w:r>
    </w:p>
    <w:p w14:paraId="7EA4ECA3" w14:textId="77777777" w:rsidR="00836A0C" w:rsidRPr="00836A0C" w:rsidRDefault="00836A0C" w:rsidP="00836A0C">
      <w:pPr>
        <w:pStyle w:val="ListParagraph"/>
        <w:rPr>
          <w:sz w:val="24"/>
          <w:szCs w:val="24"/>
        </w:rPr>
      </w:pPr>
    </w:p>
    <w:p w14:paraId="4057AD6C" w14:textId="5EE33CFA" w:rsidR="00836A0C" w:rsidRPr="00836A0C" w:rsidRDefault="00836A0C" w:rsidP="00836A0C">
      <w:pPr>
        <w:jc w:val="both"/>
        <w:rPr>
          <w:b/>
          <w:bCs/>
          <w:sz w:val="24"/>
          <w:szCs w:val="24"/>
        </w:rPr>
      </w:pPr>
      <w:r w:rsidRPr="00836A0C">
        <w:rPr>
          <w:b/>
          <w:bCs/>
          <w:sz w:val="24"/>
          <w:szCs w:val="24"/>
        </w:rPr>
        <w:t xml:space="preserve">Our Objective is to show all </w:t>
      </w:r>
      <w:r>
        <w:rPr>
          <w:b/>
          <w:bCs/>
          <w:sz w:val="24"/>
          <w:szCs w:val="24"/>
        </w:rPr>
        <w:t xml:space="preserve">the </w:t>
      </w:r>
      <w:r w:rsidRPr="00836A0C">
        <w:rPr>
          <w:b/>
          <w:bCs/>
          <w:sz w:val="24"/>
          <w:szCs w:val="24"/>
        </w:rPr>
        <w:t xml:space="preserve">functionalities of Power BI and make the customer aware </w:t>
      </w:r>
      <w:r w:rsidR="00835502">
        <w:rPr>
          <w:b/>
          <w:bCs/>
          <w:sz w:val="24"/>
          <w:szCs w:val="24"/>
        </w:rPr>
        <w:t>of</w:t>
      </w:r>
      <w:r w:rsidRPr="00836A0C">
        <w:rPr>
          <w:b/>
          <w:bCs/>
          <w:sz w:val="24"/>
          <w:szCs w:val="24"/>
        </w:rPr>
        <w:t xml:space="preserve"> the Power of Power BI. </w:t>
      </w:r>
    </w:p>
    <w:p w14:paraId="10EDFB86" w14:textId="77777777" w:rsidR="00C40C73" w:rsidRPr="00C40C73" w:rsidRDefault="00C40C73" w:rsidP="00C40C73">
      <w:pPr>
        <w:pStyle w:val="ListParagraph"/>
        <w:jc w:val="both"/>
        <w:rPr>
          <w:sz w:val="24"/>
          <w:szCs w:val="24"/>
        </w:rPr>
      </w:pPr>
    </w:p>
    <w:p w14:paraId="5CA164C0" w14:textId="77777777" w:rsidR="00C40C73" w:rsidRPr="00AE7F67" w:rsidRDefault="00C40C73" w:rsidP="00AE7F67">
      <w:pPr>
        <w:rPr>
          <w:b/>
          <w:bCs/>
          <w:sz w:val="24"/>
          <w:szCs w:val="24"/>
        </w:rPr>
      </w:pPr>
    </w:p>
    <w:sectPr w:rsidR="00C40C73" w:rsidRPr="00AE7F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E14A" w14:textId="77777777" w:rsidR="00916F60" w:rsidRDefault="00916F60" w:rsidP="00AE7F67">
      <w:pPr>
        <w:spacing w:after="0" w:line="240" w:lineRule="auto"/>
      </w:pPr>
      <w:r>
        <w:separator/>
      </w:r>
    </w:p>
  </w:endnote>
  <w:endnote w:type="continuationSeparator" w:id="0">
    <w:p w14:paraId="0F37B0AB" w14:textId="77777777" w:rsidR="00916F60" w:rsidRDefault="00916F60" w:rsidP="00AE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A198A" w14:textId="77777777" w:rsidR="00916F60" w:rsidRDefault="00916F60" w:rsidP="00AE7F67">
      <w:pPr>
        <w:spacing w:after="0" w:line="240" w:lineRule="auto"/>
      </w:pPr>
      <w:r>
        <w:separator/>
      </w:r>
    </w:p>
  </w:footnote>
  <w:footnote w:type="continuationSeparator" w:id="0">
    <w:p w14:paraId="2CBC1796" w14:textId="77777777" w:rsidR="00916F60" w:rsidRDefault="00916F60" w:rsidP="00AE7F67">
      <w:pPr>
        <w:spacing w:after="0" w:line="240" w:lineRule="auto"/>
      </w:pPr>
      <w:r>
        <w:continuationSeparator/>
      </w:r>
    </w:p>
  </w:footnote>
  <w:footnote w:id="1">
    <w:p w14:paraId="7985A308" w14:textId="79BF48C7" w:rsidR="00AE7F67" w:rsidRDefault="00AE7F67" w:rsidP="00AE7F67">
      <w:pPr>
        <w:pStyle w:val="FootnoteText"/>
      </w:pPr>
      <w:r>
        <w:rPr>
          <w:rStyle w:val="FootnoteReference"/>
        </w:rPr>
        <w:footnoteRef/>
      </w:r>
      <w:r>
        <w:t xml:space="preserve"> Hazard Analysis and Critical Control Point (HACCP) is a process control system designed to identify and prevent microbial and other hazards in food production.</w:t>
      </w:r>
    </w:p>
    <w:p w14:paraId="3A57F8C6" w14:textId="77777777" w:rsidR="004F4EE1" w:rsidRDefault="004F4EE1" w:rsidP="00AE7F67">
      <w:pPr>
        <w:pStyle w:val="FootnoteText"/>
        <w:rPr>
          <w:rFonts w:ascii="Times New Roman" w:hAnsi="Times New Roman"/>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A2897"/>
    <w:multiLevelType w:val="hybridMultilevel"/>
    <w:tmpl w:val="150A77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C603C3"/>
    <w:multiLevelType w:val="hybridMultilevel"/>
    <w:tmpl w:val="338E46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4C5A9B"/>
    <w:multiLevelType w:val="hybridMultilevel"/>
    <w:tmpl w:val="9C062D0E"/>
    <w:lvl w:ilvl="0" w:tplc="C7885718">
      <w:start w:val="200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67"/>
    <w:rsid w:val="00022DEB"/>
    <w:rsid w:val="00364AEA"/>
    <w:rsid w:val="003B759F"/>
    <w:rsid w:val="003D5EE8"/>
    <w:rsid w:val="004F4EE1"/>
    <w:rsid w:val="00745CC1"/>
    <w:rsid w:val="00835502"/>
    <w:rsid w:val="00836A0C"/>
    <w:rsid w:val="00916F60"/>
    <w:rsid w:val="0098273E"/>
    <w:rsid w:val="009E36DC"/>
    <w:rsid w:val="00A73627"/>
    <w:rsid w:val="00AE7F67"/>
    <w:rsid w:val="00C02B80"/>
    <w:rsid w:val="00C40C73"/>
    <w:rsid w:val="00D80C86"/>
    <w:rsid w:val="00DD3733"/>
    <w:rsid w:val="00EE7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B496"/>
  <w15:chartTrackingRefBased/>
  <w15:docId w15:val="{F0E52ED7-1DC1-47B7-BEFC-5460FBB3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aliases w:val="Char Char"/>
    <w:basedOn w:val="DefaultParagraphFont"/>
    <w:link w:val="FootnoteText"/>
    <w:uiPriority w:val="99"/>
    <w:semiHidden/>
    <w:locked/>
    <w:rsid w:val="00AE7F67"/>
    <w:rPr>
      <w:lang w:val="en-GB"/>
    </w:rPr>
  </w:style>
  <w:style w:type="paragraph" w:styleId="FootnoteText">
    <w:name w:val="footnote text"/>
    <w:aliases w:val="Char"/>
    <w:basedOn w:val="Normal"/>
    <w:link w:val="FootnoteTextChar"/>
    <w:uiPriority w:val="99"/>
    <w:semiHidden/>
    <w:unhideWhenUsed/>
    <w:rsid w:val="00AE7F67"/>
    <w:pPr>
      <w:spacing w:after="0" w:line="240" w:lineRule="auto"/>
    </w:pPr>
    <w:rPr>
      <w:lang w:val="en-GB"/>
    </w:rPr>
  </w:style>
  <w:style w:type="character" w:customStyle="1" w:styleId="FootnoteTextChar1">
    <w:name w:val="Footnote Text Char1"/>
    <w:basedOn w:val="DefaultParagraphFont"/>
    <w:uiPriority w:val="99"/>
    <w:semiHidden/>
    <w:rsid w:val="00AE7F67"/>
    <w:rPr>
      <w:sz w:val="20"/>
      <w:szCs w:val="20"/>
    </w:rPr>
  </w:style>
  <w:style w:type="character" w:styleId="FootnoteReference">
    <w:name w:val="footnote reference"/>
    <w:semiHidden/>
    <w:unhideWhenUsed/>
    <w:rsid w:val="00AE7F67"/>
    <w:rPr>
      <w:vertAlign w:val="superscript"/>
    </w:rPr>
  </w:style>
  <w:style w:type="paragraph" w:styleId="ListParagraph">
    <w:name w:val="List Paragraph"/>
    <w:basedOn w:val="Normal"/>
    <w:uiPriority w:val="34"/>
    <w:qFormat/>
    <w:rsid w:val="00745CC1"/>
    <w:pPr>
      <w:ind w:left="720"/>
      <w:contextualSpacing/>
    </w:pPr>
  </w:style>
  <w:style w:type="table" w:styleId="TableGrid">
    <w:name w:val="Table Grid"/>
    <w:basedOn w:val="TableNormal"/>
    <w:uiPriority w:val="39"/>
    <w:rsid w:val="009E3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8016">
      <w:bodyDiv w:val="1"/>
      <w:marLeft w:val="0"/>
      <w:marRight w:val="0"/>
      <w:marTop w:val="0"/>
      <w:marBottom w:val="0"/>
      <w:divBdr>
        <w:top w:val="none" w:sz="0" w:space="0" w:color="auto"/>
        <w:left w:val="none" w:sz="0" w:space="0" w:color="auto"/>
        <w:bottom w:val="none" w:sz="0" w:space="0" w:color="auto"/>
        <w:right w:val="none" w:sz="0" w:space="0" w:color="auto"/>
      </w:divBdr>
    </w:div>
    <w:div w:id="13057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Goyal</dc:creator>
  <cp:keywords/>
  <dc:description/>
  <cp:lastModifiedBy>Shubham  Goyal</cp:lastModifiedBy>
  <cp:revision>7</cp:revision>
  <dcterms:created xsi:type="dcterms:W3CDTF">2022-02-16T12:49:00Z</dcterms:created>
  <dcterms:modified xsi:type="dcterms:W3CDTF">2022-02-21T07:19:00Z</dcterms:modified>
</cp:coreProperties>
</file>