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6" w:lineRule="exact" w:before="0" w:after="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6CC0"/>
          <w:sz w:val="32"/>
        </w:rPr>
        <w:t>Sai Karthik</w:t>
      </w:r>
    </w:p>
    <w:p>
      <w:pPr>
        <w:autoSpaceDN w:val="0"/>
        <w:autoSpaceDE w:val="0"/>
        <w:widowControl/>
        <w:spacing w:line="197" w:lineRule="auto" w:before="40" w:after="0"/>
        <w:ind w:left="26" w:right="0" w:firstLine="0"/>
        <w:jc w:val="left"/>
      </w:pPr>
      <w:r>
        <w:rPr>
          <w:rFonts w:ascii="Calibri" w:hAnsi="Calibri" w:eastAsia="Calibri"/>
          <w:b/>
          <w:i/>
          <w:color w:val="000000"/>
          <w:sz w:val="22"/>
        </w:rPr>
        <w:t xml:space="preserve">Senior Data Scientist | GenAI (RAG) &amp; Machine Learning Engineer | Fraud &amp; Risk Analytics </w:t>
      </w:r>
    </w:p>
    <w:p>
      <w:pPr>
        <w:autoSpaceDN w:val="0"/>
        <w:autoSpaceDE w:val="0"/>
        <w:widowControl/>
        <w:spacing w:line="197" w:lineRule="auto" w:before="106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(940) 703-0937 •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0000FF"/>
          <w:sz w:val="22"/>
        </w:rPr>
        <w:hyperlink r:id="rId9" w:history="1">
          <w:r>
            <w:rPr>
              <w:rStyle w:val="Hyperlink"/>
            </w:rPr>
            <w:t>saikarthik.a@protectmymails.com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2"/>
        </w:rPr>
        <w:t>•</w:t>
      </w:r>
      <w:r>
        <w:rPr>
          <w:rFonts w:ascii="Calibri" w:hAnsi="Calibri" w:eastAsia="Calibri"/>
          <w:b/>
          <w:i w:val="0"/>
          <w:color w:val="0000FF"/>
          <w:sz w:val="22"/>
          <w:u w:val="single"/>
        </w:rPr>
        <w:t xml:space="preserve"> LinkedIn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• Dallas, Texas (Open to Relocate) </w:t>
      </w:r>
    </w:p>
    <w:p>
      <w:pPr>
        <w:autoSpaceDN w:val="0"/>
        <w:autoSpaceDE w:val="0"/>
        <w:widowControl/>
        <w:spacing w:line="197" w:lineRule="auto" w:before="164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6CC0"/>
          <w:sz w:val="24"/>
        </w:rPr>
        <w:t>P</w:t>
      </w:r>
      <w:r>
        <w:rPr>
          <w:rFonts w:ascii="Calibri" w:hAnsi="Calibri" w:eastAsia="Calibri"/>
          <w:b/>
          <w:i w:val="0"/>
          <w:color w:val="006CC0"/>
          <w:sz w:val="19"/>
        </w:rPr>
        <w:t xml:space="preserve">ROFESSIONAL </w:t>
      </w:r>
      <w:r>
        <w:rPr>
          <w:rFonts w:ascii="Calibri" w:hAnsi="Calibri" w:eastAsia="Calibri"/>
          <w:b/>
          <w:i w:val="0"/>
          <w:color w:val="006CC0"/>
          <w:sz w:val="24"/>
        </w:rPr>
        <w:t>S</w:t>
      </w:r>
      <w:r>
        <w:rPr>
          <w:rFonts w:ascii="Calibri" w:hAnsi="Calibri" w:eastAsia="Calibri"/>
          <w:b/>
          <w:i w:val="0"/>
          <w:color w:val="006CC0"/>
          <w:sz w:val="19"/>
        </w:rPr>
        <w:t>UMMARY</w:t>
      </w:r>
    </w:p>
    <w:p>
      <w:pPr>
        <w:autoSpaceDN w:val="0"/>
        <w:autoSpaceDE w:val="0"/>
        <w:widowControl/>
        <w:spacing w:line="197" w:lineRule="auto" w:before="11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Senior Data Scientist with 5+ years of experience building GenAI, ML, and real-time data systems across fintech, healthcare, and IoT domains. Expertise in </w:t>
      </w:r>
    </w:p>
    <w:p>
      <w:pPr>
        <w:autoSpaceDN w:val="0"/>
        <w:autoSpaceDE w:val="0"/>
        <w:widowControl/>
        <w:spacing w:line="197" w:lineRule="auto" w:before="38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LLMs (GPT, LLaMA), RAG, LangChain/LangGraph, and vector databases (FAISS, Pinecone) for fraud detection and risk intelligence. Strong in end-to-end ML </w:t>
      </w:r>
    </w:p>
    <w:p>
      <w:pPr>
        <w:autoSpaceDN w:val="0"/>
        <w:autoSpaceDE w:val="0"/>
        <w:widowControl/>
        <w:spacing w:line="197" w:lineRule="auto" w:before="4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pipelines and large-scale data engineering using Python, SQL, PySpark, Spark Streaming, Kafka, and Databricks, with hands-on experience in predictive </w:t>
      </w:r>
    </w:p>
    <w:p>
      <w:pPr>
        <w:autoSpaceDN w:val="0"/>
        <w:autoSpaceDE w:val="0"/>
        <w:widowControl/>
        <w:spacing w:line="197" w:lineRule="auto" w:before="38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modeling, anomaly detection, MLOps, and cloud deployment (AWS, Docker, Kubernetes) delivering scalable, production-grade AI systems. </w:t>
      </w:r>
    </w:p>
    <w:p>
      <w:pPr>
        <w:autoSpaceDN w:val="0"/>
        <w:autoSpaceDE w:val="0"/>
        <w:widowControl/>
        <w:spacing w:line="197" w:lineRule="auto" w:before="66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6CC0"/>
          <w:sz w:val="24"/>
        </w:rPr>
        <w:t>S</w:t>
      </w:r>
      <w:r>
        <w:rPr>
          <w:rFonts w:ascii="Calibri" w:hAnsi="Calibri" w:eastAsia="Calibri"/>
          <w:b/>
          <w:i w:val="0"/>
          <w:color w:val="006CC0"/>
          <w:sz w:val="19"/>
        </w:rPr>
        <w:t>KILLS</w:t>
      </w:r>
    </w:p>
    <w:p>
      <w:pPr>
        <w:autoSpaceDN w:val="0"/>
        <w:autoSpaceDE w:val="0"/>
        <w:widowControl/>
        <w:spacing w:line="197" w:lineRule="auto" w:before="86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Machine Learning &amp; Statistics: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Supervised/Unsupervised Learning, Regression, Classification, Clustering, XGBoost, LightGBM, Random Forest, Time Series </w:t>
      </w:r>
    </w:p>
    <w:p>
      <w:pPr>
        <w:autoSpaceDN w:val="0"/>
        <w:autoSpaceDE w:val="0"/>
        <w:widowControl/>
        <w:spacing w:line="197" w:lineRule="auto" w:before="38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Forecasting, Feature Engineering, Model Evaluation (ROC-AUC, Precision-Recall, F1-score), A/B Testing, Anomaly Detection </w:t>
      </w:r>
    </w:p>
    <w:p>
      <w:pPr>
        <w:autoSpaceDN w:val="0"/>
        <w:autoSpaceDE w:val="0"/>
        <w:widowControl/>
        <w:spacing w:line="197" w:lineRule="auto" w:before="42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AI / GenAI &amp; Deep Learning: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LLMs (GPT, LLaMA), LangChain, LangGraph, RAG Architecture, Prompt Engineering, Agentic AI, Transformers, Hugging Face, </w:t>
      </w:r>
    </w:p>
    <w:p>
      <w:pPr>
        <w:autoSpaceDN w:val="0"/>
        <w:autoSpaceDE w:val="0"/>
        <w:widowControl/>
        <w:spacing w:line="197" w:lineRule="auto" w:before="38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OpenAI API, Embeddings, Vector Databases (Pinecone, FAISS), Explainable AI (SHAP) </w:t>
      </w:r>
    </w:p>
    <w:p>
      <w:pPr>
        <w:autoSpaceDN w:val="0"/>
        <w:autoSpaceDE w:val="0"/>
        <w:widowControl/>
        <w:spacing w:line="197" w:lineRule="auto" w:before="40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Big Data &amp; Cloud: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Apache Spark, PySpark, Spark Streaming, Kafka, Databricks, AWS (S3, Lambda), Real-time Data Processing, Distributed Systems </w:t>
      </w:r>
    </w:p>
    <w:p>
      <w:pPr>
        <w:autoSpaceDN w:val="0"/>
        <w:autoSpaceDE w:val="0"/>
        <w:widowControl/>
        <w:spacing w:line="197" w:lineRule="auto" w:before="42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MLOps &amp; Deployment: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Docker, Kubernetes, CI/CD, MLflow, Airflow, Model Monitoring, Automated Retraining, Model Serving (Batch &amp; Real-time) </w:t>
      </w:r>
    </w:p>
    <w:p>
      <w:pPr>
        <w:autoSpaceDN w:val="0"/>
        <w:autoSpaceDE w:val="0"/>
        <w:widowControl/>
        <w:spacing w:line="197" w:lineRule="auto" w:before="38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Data Engineering &amp; SQL: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Advanced SQL (Query Optimization), ETL Pipelines, Data Modeling, PySpark Data Pipelines, Data Quality Checks </w:t>
      </w:r>
    </w:p>
    <w:p>
      <w:pPr>
        <w:autoSpaceDN w:val="0"/>
        <w:autoSpaceDE w:val="0"/>
        <w:widowControl/>
        <w:spacing w:line="197" w:lineRule="auto" w:before="40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Visualization &amp; BI: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Power BI (DAX), Tableau, Looker, KPI Dashboards, Executive Reporting </w:t>
      </w:r>
    </w:p>
    <w:p>
      <w:pPr>
        <w:autoSpaceDN w:val="0"/>
        <w:autoSpaceDE w:val="0"/>
        <w:widowControl/>
        <w:spacing w:line="197" w:lineRule="auto" w:before="56" w:after="44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6CC0"/>
          <w:sz w:val="24"/>
        </w:rPr>
        <w:t>W</w:t>
      </w:r>
      <w:r>
        <w:rPr>
          <w:rFonts w:ascii="Calibri" w:hAnsi="Calibri" w:eastAsia="Calibri"/>
          <w:b/>
          <w:i w:val="0"/>
          <w:color w:val="006CC0"/>
          <w:sz w:val="19"/>
        </w:rPr>
        <w:t xml:space="preserve">ORK </w:t>
      </w:r>
      <w:r>
        <w:rPr>
          <w:rFonts w:ascii="Calibri" w:hAnsi="Calibri" w:eastAsia="Calibri"/>
          <w:b/>
          <w:i w:val="0"/>
          <w:color w:val="006CC0"/>
          <w:sz w:val="24"/>
        </w:rPr>
        <w:t>E</w:t>
      </w:r>
      <w:r>
        <w:rPr>
          <w:rFonts w:ascii="Calibri" w:hAnsi="Calibri" w:eastAsia="Calibri"/>
          <w:b/>
          <w:i w:val="0"/>
          <w:color w:val="006CC0"/>
          <w:sz w:val="19"/>
        </w:rPr>
        <w:t>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3837"/>
        <w:gridCol w:w="3837"/>
        <w:gridCol w:w="3837"/>
      </w:tblGrid>
      <w:tr>
        <w:trPr>
          <w:trHeight w:hRule="exact" w:val="236"/>
        </w:trPr>
        <w:tc>
          <w:tcPr>
            <w:tcW w:type="dxa" w:w="5910"/>
            <w:gridSpan w:val="2"/>
            <w:tcBorders>
              <w:top w:sz="6.39999999999986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JP Morgan Chase &amp; Co. </w:t>
            </w:r>
          </w:p>
        </w:tc>
        <w:tc>
          <w:tcPr>
            <w:tcW w:type="dxa" w:w="5560"/>
            <w:tcBorders>
              <w:top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66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18"/>
              </w:rPr>
              <w:t xml:space="preserve">Dallas, Texas </w:t>
            </w:r>
          </w:p>
        </w:tc>
      </w:tr>
      <w:tr>
        <w:trPr>
          <w:trHeight w:hRule="exact" w:val="200"/>
        </w:trPr>
        <w:tc>
          <w:tcPr>
            <w:tcW w:type="dxa" w:w="59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Senior Data Scientist </w:t>
            </w:r>
          </w:p>
        </w:tc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" w:after="0"/>
              <w:ind w:left="0" w:right="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Jul2024 – Present </w:t>
            </w:r>
          </w:p>
        </w:tc>
      </w:tr>
      <w:tr>
        <w:trPr>
          <w:trHeight w:hRule="exact" w:val="278"/>
        </w:trPr>
        <w:tc>
          <w:tcPr>
            <w:tcW w:type="dxa" w:w="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4" w:after="0"/>
              <w:ind w:left="16" w:right="0" w:firstLine="0"/>
              <w:jc w:val="left"/>
            </w:pPr>
            <w:r>
              <w:rPr>
                <w:w w:val="102.6280403137207"/>
                <w:rFonts w:ascii="Symbol" w:hAnsi="Symbol" w:eastAsia="Symbol"/>
                <w:b w:val="0"/>
                <w:i w:val="0"/>
                <w:color w:val="000000"/>
                <w:sz w:val="18"/>
              </w:rPr>
              <w:t></w:t>
            </w:r>
          </w:p>
        </w:tc>
        <w:tc>
          <w:tcPr>
            <w:tcW w:type="dxa" w:w="112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1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 xml:space="preserve">Built a GenAI Financial Risk Intelligence Copilot using GPT/LLaMA with RAG architecture, enabling analysts to query 300K+ fraud transaction records in </w:t>
            </w:r>
          </w:p>
        </w:tc>
      </w:tr>
    </w:tbl>
    <w:p>
      <w:pPr>
        <w:autoSpaceDN w:val="0"/>
        <w:autoSpaceDE w:val="0"/>
        <w:widowControl/>
        <w:spacing w:line="197" w:lineRule="auto" w:before="14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natural language and reducing manual investigation effort across enterprise risk review workflows. </w:t>
      </w:r>
    </w:p>
    <w:p>
      <w:pPr>
        <w:autoSpaceDN w:val="0"/>
        <w:tabs>
          <w:tab w:pos="302" w:val="left"/>
        </w:tabs>
        <w:autoSpaceDE w:val="0"/>
        <w:widowControl/>
        <w:spacing w:line="262" w:lineRule="auto" w:before="6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Designed a vector-based knowledge retrieval system using FAISS/Pinecone and embedding models, improving contextual accuracy of fraud and credit </w:t>
      </w:r>
    </w:p>
    <w:p>
      <w:pPr>
        <w:autoSpaceDN w:val="0"/>
        <w:autoSpaceDE w:val="0"/>
        <w:widowControl/>
        <w:spacing w:line="197" w:lineRule="auto" w:before="38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risk explanations by 40% compared to traditional rule-based lookup systems. </w:t>
      </w:r>
    </w:p>
    <w:p>
      <w:pPr>
        <w:autoSpaceDN w:val="0"/>
        <w:tabs>
          <w:tab w:pos="306" w:val="left"/>
        </w:tabs>
        <w:autoSpaceDE w:val="0"/>
        <w:widowControl/>
        <w:spacing w:line="262" w:lineRule="auto" w:before="4" w:after="0"/>
        <w:ind w:left="30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Developed real-time data pipelines using Kafka, Spark Streaming, and Snowflake, processing 5M+ financial events daily and accelerating fraud risk </w:t>
      </w:r>
    </w:p>
    <w:p>
      <w:pPr>
        <w:autoSpaceDN w:val="0"/>
        <w:autoSpaceDE w:val="0"/>
        <w:widowControl/>
        <w:spacing w:line="197" w:lineRule="auto" w:before="40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detection through near real-time transaction monitoring and risk signal generation. </w:t>
      </w:r>
    </w:p>
    <w:p>
      <w:pPr>
        <w:autoSpaceDN w:val="0"/>
        <w:tabs>
          <w:tab w:pos="302" w:val="left"/>
        </w:tabs>
        <w:autoSpaceDE w:val="0"/>
        <w:widowControl/>
        <w:spacing w:line="262" w:lineRule="auto" w:before="2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Implemented LangChain/LangGraph-based LLM orchestration pipelines with RAG-driven transaction retrieval, enabling multi-step reasoning for fraud </w:t>
      </w:r>
    </w:p>
    <w:p>
      <w:pPr>
        <w:autoSpaceDN w:val="0"/>
        <w:autoSpaceDE w:val="0"/>
        <w:widowControl/>
        <w:spacing w:line="197" w:lineRule="auto" w:before="40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explanation, merchant profiling, and anomaly detection with structured, explainable outputs for real-time risk analysis systems. </w:t>
      </w:r>
    </w:p>
    <w:p>
      <w:pPr>
        <w:autoSpaceDN w:val="0"/>
        <w:tabs>
          <w:tab w:pos="302" w:val="left"/>
        </w:tabs>
        <w:autoSpaceDE w:val="0"/>
        <w:widowControl/>
        <w:spacing w:line="262" w:lineRule="auto" w:before="4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Engineered feature enrichment layer combining transactional history, behavioral signals, and merchant risk attributes using Python (Pandas, NumPy) </w:t>
      </w:r>
    </w:p>
    <w:p>
      <w:pPr>
        <w:autoSpaceDN w:val="0"/>
        <w:autoSpaceDE w:val="0"/>
        <w:widowControl/>
        <w:spacing w:line="197" w:lineRule="auto" w:before="40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and SQL, improving risk context completeness by 30%. </w:t>
      </w:r>
    </w:p>
    <w:p>
      <w:pPr>
        <w:autoSpaceDN w:val="0"/>
        <w:tabs>
          <w:tab w:pos="302" w:val="left"/>
        </w:tabs>
        <w:autoSpaceDE w:val="0"/>
        <w:widowControl/>
        <w:spacing w:line="262" w:lineRule="auto" w:before="2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Established AI governance and explainability frameworks using SHAP-based model interpretation and audit-ready validation workflows, improving </w:t>
      </w:r>
    </w:p>
    <w:p>
      <w:pPr>
        <w:autoSpaceDN w:val="0"/>
        <w:autoSpaceDE w:val="0"/>
        <w:widowControl/>
        <w:spacing w:line="197" w:lineRule="auto" w:before="40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transparency and regulatory compliance for risk analytics models.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6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Deployed containerized ML and LLM services on AWS (S3, Lambda, ECS) with CI/CD pipelines, MLflow model tracking, automated model monitoring, </w:t>
      </w:r>
    </w:p>
    <w:p>
      <w:pPr>
        <w:autoSpaceDN w:val="0"/>
        <w:autoSpaceDE w:val="0"/>
        <w:widowControl/>
        <w:spacing w:line="197" w:lineRule="auto" w:before="42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drift detection, and API-based serving, supporting scalable low-latency inference across enterprise fraud investigation platforms. </w:t>
      </w:r>
    </w:p>
    <w:p>
      <w:pPr>
        <w:autoSpaceDN w:val="0"/>
        <w:tabs>
          <w:tab w:pos="10520" w:val="left"/>
        </w:tabs>
        <w:autoSpaceDE w:val="0"/>
        <w:widowControl/>
        <w:spacing w:line="197" w:lineRule="auto" w:before="98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CVS Health 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Irving, Texas </w:t>
      </w:r>
    </w:p>
    <w:p>
      <w:pPr>
        <w:autoSpaceDN w:val="0"/>
        <w:tabs>
          <w:tab w:pos="9920" w:val="left"/>
        </w:tabs>
        <w:autoSpaceDE w:val="0"/>
        <w:widowControl/>
        <w:spacing w:line="197" w:lineRule="auto" w:before="38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Data Scientist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Sep 2023 – May 2024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0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Architected an end-to-end patient risk scoring system for chronic disease prediction (diabetes, COPD, heart disease, hypertension) using Python, SQL, </w:t>
      </w:r>
    </w:p>
    <w:p>
      <w:pPr>
        <w:autoSpaceDN w:val="0"/>
        <w:autoSpaceDE w:val="0"/>
        <w:widowControl/>
        <w:spacing w:line="197" w:lineRule="auto" w:before="42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and PySpark, processing 2M+ EHR and claims records to identify high-risk patients via scalable healthcare data pipelines.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4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Developed predictive classification models (XGBoost, LightGBM, Logistic Regression baseline) for chronic disease risk scoring, improving early </w:t>
      </w:r>
    </w:p>
    <w:p>
      <w:pPr>
        <w:autoSpaceDN w:val="0"/>
        <w:autoSpaceDE w:val="0"/>
        <w:widowControl/>
        <w:spacing w:line="197" w:lineRule="auto" w:before="40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identification of high-risk patients across multi-condition cohorts in large-scale healthcare datasets. </w:t>
      </w:r>
    </w:p>
    <w:p>
      <w:pPr>
        <w:autoSpaceDN w:val="0"/>
        <w:tabs>
          <w:tab w:pos="302" w:val="left"/>
        </w:tabs>
        <w:autoSpaceDE w:val="0"/>
        <w:widowControl/>
        <w:spacing w:line="262" w:lineRule="auto" w:before="6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Implemented survival analysis models using Kaplan-Meier estimators and Cox Proportional Hazards techniques, enabling time-to-event prediction and </w:t>
      </w:r>
    </w:p>
    <w:p>
      <w:pPr>
        <w:autoSpaceDN w:val="0"/>
        <w:autoSpaceDE w:val="0"/>
        <w:widowControl/>
        <w:spacing w:line="197" w:lineRule="auto" w:before="38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patient risk stratification across 90K+ longitudinal patient records, supporting data-driven clinical outcome analysis and treatment planning.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12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Engineered advanced feature pipelines using Python (Pandas, NumPy), SQL, PySpark, and Databricks on EHR data including diagnosis history, lab </w:t>
      </w:r>
    </w:p>
    <w:p>
      <w:pPr>
        <w:autoSpaceDN w:val="0"/>
        <w:autoSpaceDE w:val="0"/>
        <w:widowControl/>
        <w:spacing w:line="197" w:lineRule="auto" w:before="38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results, prescriptions, and comorbidities, generating 500+ clinical risk features for large-scale predictive modeling and patient risk stratification.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6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Integrated model explainability using SHAP values to provide interpretable risk drivers for clinicians, improving transparency in patient-level predictions </w:t>
      </w:r>
    </w:p>
    <w:p>
      <w:pPr>
        <w:autoSpaceDN w:val="0"/>
        <w:autoSpaceDE w:val="0"/>
        <w:widowControl/>
        <w:spacing w:line="197" w:lineRule="auto" w:before="42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and enabling doctor-facing decision support insights for high-risk cases.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2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Deployed production ML pipelines using Airflow orchestration, SQL-based data workflows, and Spark batch processing, enabling automated model </w:t>
      </w:r>
    </w:p>
    <w:p>
      <w:pPr>
        <w:autoSpaceDN w:val="0"/>
        <w:autoSpaceDE w:val="0"/>
        <w:widowControl/>
        <w:spacing w:line="197" w:lineRule="auto" w:before="42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retraining and daily patient risk scoring at scale in healthcare environments. </w:t>
      </w:r>
    </w:p>
    <w:p>
      <w:pPr>
        <w:autoSpaceDN w:val="0"/>
        <w:tabs>
          <w:tab w:pos="11080" w:val="left"/>
        </w:tabs>
        <w:autoSpaceDE w:val="0"/>
        <w:widowControl/>
        <w:spacing w:line="197" w:lineRule="auto" w:before="84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KPIT </w:t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India </w:t>
      </w:r>
    </w:p>
    <w:p>
      <w:pPr>
        <w:autoSpaceDN w:val="0"/>
        <w:tabs>
          <w:tab w:pos="10084" w:val="left"/>
        </w:tabs>
        <w:autoSpaceDE w:val="0"/>
        <w:widowControl/>
        <w:spacing w:line="197" w:lineRule="auto" w:before="52" w:after="0"/>
        <w:ind w:left="2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Data Scientist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 Jun 2020 – Jul 2022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0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Developed an end-to-end predictive maintenance system for EV &amp; ICE fleets using Python, SQL, PySpark, and PyTorch, processing 3M+ IoT telemetry </w:t>
      </w:r>
    </w:p>
    <w:p>
      <w:pPr>
        <w:autoSpaceDN w:val="0"/>
        <w:autoSpaceDE w:val="0"/>
        <w:widowControl/>
        <w:spacing w:line="197" w:lineRule="auto" w:before="40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records (engine temperature, vibration, battery health, sensor logs) to predict early failure patterns across fleet systems.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2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Formulated advanced feature pipelines (500+ engineered signals) using time-window aggregations, rolling statistics, lag features, and missing value </w:t>
      </w:r>
    </w:p>
    <w:p>
      <w:pPr>
        <w:autoSpaceDN w:val="0"/>
        <w:autoSpaceDE w:val="0"/>
        <w:widowControl/>
        <w:spacing w:line="197" w:lineRule="auto" w:before="42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imputation on raw IoT sensor streams, improving model signal quality for downstream ML training.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2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Developed and tuned machine learning models using Scikit-learn (Random Forest, Gradient Boosting, K-Means clustering) to detect anomalous vehicle </w:t>
      </w:r>
    </w:p>
    <w:p>
      <w:pPr>
        <w:autoSpaceDN w:val="0"/>
        <w:autoSpaceDE w:val="0"/>
        <w:widowControl/>
        <w:spacing w:line="197" w:lineRule="auto" w:before="42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behavior and classify failure risk levels across multi-component systems.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4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Implemented time-series anomaly detection and forecasting models on critical sensor metrics (vibration, temperature, battery degradation), enabling </w:t>
      </w:r>
    </w:p>
    <w:p>
      <w:pPr>
        <w:autoSpaceDN w:val="0"/>
        <w:autoSpaceDE w:val="0"/>
        <w:widowControl/>
        <w:spacing w:line="197" w:lineRule="auto" w:before="42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early fault detection up to 7–14 days in advance of failure events. </w:t>
      </w:r>
    </w:p>
    <w:p>
      <w:pPr>
        <w:autoSpaceDN w:val="0"/>
        <w:tabs>
          <w:tab w:pos="302" w:val="left"/>
        </w:tabs>
        <w:autoSpaceDE w:val="0"/>
        <w:widowControl/>
        <w:spacing w:line="259" w:lineRule="auto" w:before="2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Evaluated model performance using AUC-ROC, Precision-Recall, F1-score, and confusion matrix analysis, optimizing thresholds for imbalanced failure </w:t>
      </w:r>
    </w:p>
    <w:p>
      <w:pPr>
        <w:autoSpaceDN w:val="0"/>
        <w:autoSpaceDE w:val="0"/>
        <w:widowControl/>
        <w:spacing w:line="197" w:lineRule="auto" w:before="42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datasets to reduce false negatives in high-risk vehicle predictions. </w:t>
      </w:r>
    </w:p>
    <w:p>
      <w:pPr>
        <w:autoSpaceDN w:val="0"/>
        <w:tabs>
          <w:tab w:pos="302" w:val="left"/>
        </w:tabs>
        <w:autoSpaceDE w:val="0"/>
        <w:widowControl/>
        <w:spacing w:line="262" w:lineRule="auto" w:before="4" w:after="0"/>
        <w:ind w:left="28" w:right="0" w:firstLine="0"/>
        <w:jc w:val="left"/>
      </w:pPr>
      <w:r>
        <w:rPr>
          <w:w w:val="102.6280403137207"/>
          <w:rFonts w:ascii="Symbol" w:hAnsi="Symbol" w:eastAsia="Symbol"/>
          <w:b w:val="0"/>
          <w:i w:val="0"/>
          <w:color w:val="000000"/>
          <w:sz w:val="18"/>
        </w:rPr>
        <w:t>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Deployed scalable ML inference pipelines using AWS (S3, EC2), Spark batch processing, and Kubernetes-based containerized workflows, enabling 30K+ </w:t>
      </w:r>
    </w:p>
    <w:p>
      <w:pPr>
        <w:autoSpaceDN w:val="0"/>
        <w:autoSpaceDE w:val="0"/>
        <w:widowControl/>
        <w:spacing w:line="197" w:lineRule="auto" w:before="40" w:after="0"/>
        <w:ind w:left="31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fleet-level daily predictions with automated retraining and scheduled scoring pipelines. </w:t>
      </w:r>
    </w:p>
    <w:p>
      <w:pPr>
        <w:autoSpaceDN w:val="0"/>
        <w:autoSpaceDE w:val="0"/>
        <w:widowControl/>
        <w:spacing w:line="197" w:lineRule="auto" w:before="64" w:after="0"/>
        <w:ind w:left="16" w:right="0" w:firstLine="0"/>
        <w:jc w:val="left"/>
      </w:pPr>
      <w:r>
        <w:rPr>
          <w:rFonts w:ascii="Calibri" w:hAnsi="Calibri" w:eastAsia="Calibri"/>
          <w:b/>
          <w:i w:val="0"/>
          <w:color w:val="006CC0"/>
          <w:sz w:val="24"/>
        </w:rPr>
        <w:t>E</w:t>
      </w:r>
      <w:r>
        <w:rPr>
          <w:rFonts w:ascii="Calibri" w:hAnsi="Calibri" w:eastAsia="Calibri"/>
          <w:b/>
          <w:i w:val="0"/>
          <w:color w:val="006CC0"/>
          <w:sz w:val="19"/>
        </w:rPr>
        <w:t>DUCATION</w:t>
      </w:r>
    </w:p>
    <w:p>
      <w:pPr>
        <w:autoSpaceDN w:val="0"/>
        <w:tabs>
          <w:tab w:pos="10684" w:val="left"/>
        </w:tabs>
        <w:autoSpaceDE w:val="0"/>
        <w:widowControl/>
        <w:spacing w:line="197" w:lineRule="auto" w:before="68" w:after="0"/>
        <w:ind w:left="2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18"/>
        </w:rPr>
        <w:t xml:space="preserve">Master of Science in Computer and Information Science | </w:t>
      </w:r>
      <w:r>
        <w:rPr>
          <w:rFonts w:ascii="Calibri" w:hAnsi="Calibri" w:eastAsia="Calibri"/>
          <w:b w:val="0"/>
          <w:i w:val="0"/>
          <w:color w:val="000000"/>
          <w:sz w:val="18"/>
        </w:rPr>
        <w:t xml:space="preserve">University of North Texas, Denton, TX </w:t>
      </w:r>
      <w:r>
        <w:tab/>
      </w:r>
      <w:r>
        <w:rPr>
          <w:rFonts w:ascii="Calibri" w:hAnsi="Calibri" w:eastAsia="Calibri"/>
          <w:b/>
          <w:i w:val="0"/>
          <w:color w:val="000000"/>
          <w:sz w:val="18"/>
        </w:rPr>
        <w:t xml:space="preserve">May 2024 </w:t>
      </w:r>
    </w:p>
    <w:sectPr w:rsidR="00FC693F" w:rsidRPr="0006063C" w:rsidSect="00034616">
      <w:pgSz w:w="12240" w:h="15840"/>
      <w:pgMar w:top="44" w:right="312" w:bottom="70" w:left="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aikarthik.a@protectmymail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