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9"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9"/>
    <w:bookmarkStart w:id="10"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currently building) · Microsoft Fabric (OneLake, Spark, Lakehouse, Warehouse,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10"/>
    <w:bookmarkStart w:id="17" w:name="professional-experience"/>
    <w:p>
      <w:pPr>
        <w:pStyle w:val="Heading2"/>
      </w:pPr>
      <w:r>
        <w:t xml:space="preserve">PROFESSIONAL EXPERIENCE</w:t>
      </w:r>
    </w:p>
    <w:bookmarkStart w:id="12" w:name="X26828fc29108c490e4010ac844415f13c82ddfe"/>
    <w:p>
      <w:pPr>
        <w:pStyle w:val="Heading3"/>
      </w:pPr>
      <w:r>
        <w:t xml:space="preserve">ROCKET COMPANIES (Rocket Innovation Studio &amp; Rocket Homes) | Detroit, MI / Toronto (Remote)</w:t>
      </w:r>
    </w:p>
    <w:bookmarkStart w:id="11"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(structured database exports, API payloads, event streams, flat-file feeds, and third-party data providers)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Full-Text Search:</w:t>
      </w:r>
      <w:r>
        <w:t xml:space="preserve"> </w:t>
      </w:r>
      <w:r>
        <w:t xml:space="preserve">Maintained Elasticsearch indices powering full-text search across millions of records,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Pipeline State Store:</w:t>
      </w:r>
      <w:r>
        <w:t xml:space="preserve"> </w:t>
      </w:r>
      <w:r>
        <w:t xml:space="preserve">Used DynamoDB as a current state store for pipeline job tracking: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including multi-agent AI decision support system and multimodal content automation pipeline.</w:t>
      </w:r>
    </w:p>
    <w:p>
      <w:r>
        <w:pict>
          <v:rect style="width:0;height:1.5pt" o:hralign="center" o:hrstd="t" o:hr="t"/>
        </w:pict>
      </w:r>
    </w:p>
    <w:bookmarkEnd w:id="11"/>
    <w:bookmarkEnd w:id="12"/>
    <w:bookmarkStart w:id="14" w:name="amrock-formerly-title-source-detroit-mi"/>
    <w:p>
      <w:pPr>
        <w:pStyle w:val="Heading3"/>
      </w:pPr>
      <w:r>
        <w:t xml:space="preserve">AMROCK (formerly Title Source) | Detroit, MI</w:t>
      </w:r>
    </w:p>
    <w:bookmarkStart w:id="13" w:name="X88649acc61fd8abf5518f664561712b5bef297c"/>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13"/>
    <w:bookmarkEnd w:id="14"/>
    <w:bookmarkStart w:id="16" w:name="chemical-semantics-inc.-gainesville-fl"/>
    <w:p>
      <w:pPr>
        <w:pStyle w:val="Heading3"/>
      </w:pPr>
      <w:r>
        <w:t xml:space="preserve">CHEMICAL SEMANTICS INC. | Gainesville, FL</w:t>
      </w:r>
    </w:p>
    <w:bookmarkStart w:id="15" w:name="X6a530084d2c7b3ff2b554351fe409714eef719f"/>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15"/>
    <w:bookmarkEnd w:id="16"/>
    <w:bookmarkEnd w:id="17"/>
    <w:bookmarkStart w:id="18" w:name="education"/>
    <w:p>
      <w:pPr>
        <w:pStyle w:val="Heading2"/>
      </w:pPr>
      <w:r>
        <w:t xml:space="preserve">EDUCATION</w:t>
      </w:r>
    </w:p>
    <w:p>
      <w:pPr>
        <w:pStyle w:val="Compact"/>
        <w:numPr>
          <w:ilvl w:val="0"/>
          <w:numId w:val="1008"/>
        </w:numPr>
      </w:pPr>
      <w:r>
        <w:rPr>
          <w:b/>
          <w:bCs/>
        </w:rPr>
        <w:t xml:space="preserve">M.S. Computer Science, 2015</w:t>
      </w:r>
      <w:r>
        <w:t xml:space="preserve"> </w:t>
      </w:r>
      <w:r>
        <w:t xml:space="preserve">| University of Florida, Gainesville, FL | GPA: 3.8/4.0</w:t>
      </w:r>
    </w:p>
    <w:p>
      <w:pPr>
        <w:pStyle w:val="Compact"/>
        <w:numPr>
          <w:ilvl w:val="0"/>
          <w:numId w:val="1008"/>
        </w:numPr>
      </w:pPr>
      <w:r>
        <w:rPr>
          <w:b/>
          <w:bCs/>
        </w:rPr>
        <w:t xml:space="preserve">B.Tech Computer Science, 2014</w:t>
      </w:r>
      <w:r>
        <w:t xml:space="preserve"> </w:t>
      </w:r>
      <w:r>
        <w:t xml:space="preserve">| JIIT, Noida, India | GPA: 8.5/10.0</w:t>
      </w:r>
    </w:p>
    <w:bookmarkEnd w:id="18"/>
    <w:bookmarkStart w:id="19"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19"/>
    <w:bookmarkStart w:id="23" w:name="side-projects-innovation"/>
    <w:p>
      <w:pPr>
        <w:pStyle w:val="Heading2"/>
      </w:pPr>
      <w:r>
        <w:t xml:space="preserve">SIDE PROJECTS &amp; INNOVATION</w:t>
      </w:r>
    </w:p>
    <w:bookmarkStart w:id="20" w:name="X979cb8ecc78fdfcf955d224f2dc2c30058564fd"/>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from zero to Phase 2 delivery in three weeks. The platform features an embeddable booking widget, a role-based Progressive Web App, and a stateless REST API,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bookmarkEnd w:id="20"/>
    <w:bookmarkStart w:id="21" w:name="spx-options-analytics-platform"/>
    <w:p>
      <w:pPr>
        <w:pStyle w:val="Heading3"/>
      </w:pPr>
      <w:r>
        <w:t xml:space="preserve">SPX Options Analytics Platform</w:t>
      </w:r>
    </w:p>
    <w:p>
      <w:pPr>
        <w:pStyle w:val="FirstParagraph"/>
      </w:pPr>
      <w:r>
        <w:t xml:space="preserve">Independently designed and built a web-hosted options analytics platform that collects, processes, and visualizes SPX intraday options chain data (premiums, greeks, volume, open interest) from multiple data sources.</w:t>
      </w:r>
    </w:p>
    <w:p>
      <w:pPr>
        <w:pStyle w:val="Compact"/>
        <w:numPr>
          <w:ilvl w:val="0"/>
          <w:numId w:val="1011"/>
        </w:numPr>
      </w:pPr>
      <w:r>
        <w:rPr>
          <w:b/>
          <w:bCs/>
        </w:rPr>
        <w:t xml:space="preserve">Multi-Source Data Pipeline:</w:t>
      </w:r>
      <w:r>
        <w:t xml:space="preserve"> </w:t>
      </w:r>
      <w:r>
        <w:t xml:space="preserve">Built a unified ETL pipeline ingesting 1-minute options bars from IBKR TWS API (ongoing) and Polygon.io REST API (6+ month historical backfill) through a common collector interface with batch audit logging and quality-flag bitmask validation.</w:t>
      </w:r>
    </w:p>
    <w:p>
      <w:pPr>
        <w:pStyle w:val="Compact"/>
        <w:numPr>
          <w:ilvl w:val="0"/>
          <w:numId w:val="1011"/>
        </w:numPr>
      </w:pPr>
      <w:r>
        <w:rPr>
          <w:b/>
          <w:bCs/>
        </w:rPr>
        <w:t xml:space="preserve">Greeks Computation Engine:</w:t>
      </w:r>
      <w:r>
        <w:t xml:space="preserve"> </w:t>
      </w:r>
      <w:r>
        <w:t xml:space="preserve">Implemented a custom Black-Scholes engine computing first-order (Delta, Gamma, Theta, Vega, Rho) and second-order greeks (Vanna, Charm, Vomma, Speed, Color) from price bars. IV solved via Newton-Raphson from mid-price.</w:t>
      </w:r>
    </w:p>
    <w:p>
      <w:pPr>
        <w:pStyle w:val="Compact"/>
        <w:numPr>
          <w:ilvl w:val="0"/>
          <w:numId w:val="1011"/>
        </w:numPr>
      </w:pPr>
      <w:r>
        <w:rPr>
          <w:b/>
          <w:bCs/>
        </w:rPr>
        <w:t xml:space="preserve">Tiered Storage Architecture:</w:t>
      </w:r>
      <w:r>
        <w:t xml:space="preserve"> </w:t>
      </w:r>
      <w:r>
        <w:t xml:space="preserve">Designed a hot tier (Supabase PostgreSQL, monthly-partitioned time-series tables) for active queries; cold tier (Cloudflare R2, Parquet via S3 API) for historical archive with zero egress cost design.</w:t>
      </w:r>
    </w:p>
    <w:p>
      <w:pPr>
        <w:pStyle w:val="Compact"/>
        <w:numPr>
          <w:ilvl w:val="0"/>
          <w:numId w:val="1011"/>
        </w:numPr>
      </w:pPr>
      <w:r>
        <w:rPr>
          <w:b/>
          <w:bCs/>
        </w:rPr>
        <w:t xml:space="preserve">MDM-Principled Schema:</w:t>
      </w:r>
      <w:r>
        <w:t xml:space="preserve"> </w:t>
      </w:r>
      <w:r>
        <w:t xml:space="preserve">Designed a golden-record contract table with source-agnostic identity, ingestion audit log with batch lineage tracking, and configurable fetch parameters (strikes, intervals, DTE list).</w:t>
      </w:r>
    </w:p>
    <w:p>
      <w:r>
        <w:pict>
          <v:rect style="width:0;height:1.5pt" o:hralign="center" o:hrstd="t" o:hr="t"/>
        </w:pict>
      </w:r>
    </w:p>
    <w:bookmarkEnd w:id="21"/>
    <w:bookmarkStart w:id="22" w:name="X666ad4a4f109d23ecccc99672a48d5e55b8108f"/>
    <w:p>
      <w:pPr>
        <w:pStyle w:val="Heading3"/>
      </w:pPr>
      <w:r>
        <w:t xml:space="preserve">FuturesEdgeTrader - Multi-Agent Algorithmic Trading System</w:t>
      </w:r>
    </w:p>
    <w:p>
      <w:pPr>
        <w:pStyle w:val="FirstParagraph"/>
      </w:pPr>
      <w:r>
        <w:t xml:space="preserve">Independently architecting a production-grade, event-driven algorithmic trading system for E-mini futures (MES/MNQ) with AI-powered decision-making, multi-broker execution, and self-evolving parameter optimization.</w:t>
      </w:r>
    </w:p>
    <w:p>
      <w:pPr>
        <w:pStyle w:val="Compact"/>
        <w:numPr>
          <w:ilvl w:val="0"/>
          <w:numId w:val="1012"/>
        </w:numPr>
      </w:pPr>
      <w:r>
        <w:rPr>
          <w:b/>
          <w:bCs/>
        </w:rPr>
        <w:t xml:space="preserve">Multi-Agent Orchestration:</w:t>
      </w:r>
      <w:r>
        <w:t xml:space="preserve"> </w:t>
      </w:r>
      <w:r>
        <w:t xml:space="preserve">7-agent pipeline (Analyst, Validator, Executor, Tracker, Learner) coordinated by a state-machine orchestrator with rate limiting and event queuing. Claude API for analysis, deterministic execution layer for order placement.</w:t>
      </w:r>
    </w:p>
    <w:p>
      <w:pPr>
        <w:pStyle w:val="Compact"/>
        <w:numPr>
          <w:ilvl w:val="0"/>
          <w:numId w:val="1012"/>
        </w:numPr>
      </w:pPr>
      <w:r>
        <w:rPr>
          <w:b/>
          <w:bCs/>
        </w:rPr>
        <w:t xml:space="preserve">Real-Time Multi-Broker Integration:</w:t>
      </w:r>
      <w:r>
        <w:t xml:space="preserve"> </w:t>
      </w:r>
      <w:r>
        <w:t xml:space="preserve">Async tick feed aggregators across Rithmic (Protocol Buffers), Tradovate (WebSocket), and IBKR into unified tick-to-bar conversion for multi-timeframe indicator computation (CVD, VWAP, Volume Profile, EMA, Stoch RSI, ATR).</w:t>
      </w:r>
    </w:p>
    <w:p>
      <w:pPr>
        <w:pStyle w:val="Compact"/>
        <w:numPr>
          <w:ilvl w:val="0"/>
          <w:numId w:val="1012"/>
        </w:numPr>
      </w:pPr>
      <w:r>
        <w:rPr>
          <w:b/>
          <w:bCs/>
        </w:rPr>
        <w:t xml:space="preserve">Dual-Path Data Architecture:</w:t>
      </w:r>
      <w:r>
        <w:t xml:space="preserve"> </w:t>
      </w:r>
      <w:r>
        <w:t xml:space="preserve">PostgreSQL hot path (&lt;1ms reads) for signals, orders, and positions; Supabase cold path for trade archives and parameter history. 13-table schema with ENUM constraints, audit triggers, and parameterized queries.</w:t>
      </w:r>
    </w:p>
    <w:p>
      <w:pPr>
        <w:pStyle w:val="Compact"/>
        <w:numPr>
          <w:ilvl w:val="0"/>
          <w:numId w:val="1012"/>
        </w:numPr>
      </w:pPr>
      <w:r>
        <w:rPr>
          <w:b/>
          <w:bCs/>
        </w:rPr>
        <w:t xml:space="preserve">Layered Risk and Monitoring:</w:t>
      </w:r>
      <w:r>
        <w:t xml:space="preserve"> </w:t>
      </w:r>
      <w:r>
        <w:t xml:space="preserve">Atomic bracket orders (entry + stop + TP simultaneously), 2-mode kill switch, daily loss limits, Telegram bot for trade approval, and Streamlit live dashboard.</w:t>
      </w:r>
    </w:p>
    <w:p>
      <w:r>
        <w:pict>
          <v:rect style="width:0;height:1.5pt" o:hralign="center" o:hrstd="t" o:hr="t"/>
        </w:pict>
      </w:r>
    </w:p>
    <w:p>
      <w:pPr>
        <w:pStyle w:val="FirstParagraph"/>
      </w:pPr>
      <w:r>
        <w:rPr>
          <w:b/>
          <w:bCs/>
        </w:rPr>
        <w:t xml:space="preserve">Additional Projects</w:t>
      </w:r>
    </w:p>
    <w:p>
      <w:pPr>
        <w:pStyle w:val="Compact"/>
        <w:numPr>
          <w:ilvl w:val="0"/>
          <w:numId w:val="1013"/>
        </w:numPr>
      </w:pPr>
      <w:r>
        <w:rPr>
          <w:b/>
          <w:bCs/>
        </w:rPr>
        <w:t xml:space="preserve">AI Real Estate Buyer Report:</w:t>
      </w:r>
      <w:r>
        <w:t xml:space="preserve"> </w:t>
      </w:r>
      <w:r>
        <w:t xml:space="preserve">Designed and partially implemented a multi-agent AI system for complex decision support. Specialized data-gathering agents with a compiler agent synthesizing outputs into a structured PDF report. Multi-agent RAG pipeline with pgvector for semantic retrieval. Built during a company hackathon.</w:t>
      </w:r>
    </w:p>
    <w:p>
      <w:pPr>
        <w:pStyle w:val="Compact"/>
        <w:numPr>
          <w:ilvl w:val="0"/>
          <w:numId w:val="1013"/>
        </w:numPr>
      </w:pPr>
      <w:r>
        <w:rPr>
          <w:b/>
          <w:bCs/>
        </w:rPr>
        <w:t xml:space="preserve">Multimodal Content Pipeline:</w:t>
      </w:r>
      <w:r>
        <w:t xml:space="preserve"> </w:t>
      </w:r>
      <w:r>
        <w:t xml:space="preserve">Built a multimodal content pipeline during a company hack-week.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3"/>
        </w:numPr>
      </w:pPr>
      <w:r>
        <w:rPr>
          <w:b/>
          <w:bCs/>
        </w:rPr>
        <w:t xml:space="preserve">Bluetooth NFC Location Tags:</w:t>
      </w:r>
      <w:r>
        <w:t xml:space="preserve"> </w:t>
      </w:r>
      <w:r>
        <w:t xml:space="preserve">Developed a self-guided tour system using Bluetooth and NFC tags for location-triggered delivery of historical data to mobile devices, replacing manual tour facilitation with automated, proximity-aware content retrieval.</w:t>
      </w:r>
    </w:p>
    <w:bookmarkEnd w:id="22"/>
    <w:bookmarkEnd w:id="2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customStyle="1" w:styleId="Subtitle" w:type="paragraph">
    <w:name w:val="Subtitle"/>
    <w:basedOn w:val="Normal"/>
    <w:pPr>
      <w:spacing w:after="60"/>
      <w:jc w:val="center"/>
    </w:pPr>
    <w:rPr>
      <w:color w:val="555555"/>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2026-03-25T02:22:47Z</dcterms:created>
  <dcterms:modified xsi:type="dcterms:W3CDTF">2026-03-25T02:22:47Z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Senior Data Engineer | Cloud Data Platforms</vt:lpwstr>
  </property>
  <property fmtid="{D5CDD505-2E9C-101B-9397-08002B2CF9AE}" pid="9" name="toc-title">
    <vt:lpwstr>Table of contents</vt:lpwstr>
  </property>
</Properties>
</file>