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OLA Bookings Data Analysis Report</w:t>
      </w:r>
    </w:p>
    <w:p>
      <w:pPr>
        <w:jc w:val="center"/>
      </w:pPr>
      <w:r>
        <w:t>Comprehensive Analysis of 70,000+ Ride Bookings</w:t>
      </w:r>
    </w:p>
    <w:p/>
    <w:p>
      <w:pPr>
        <w:pStyle w:val="Heading1"/>
      </w:pPr>
      <w:r>
        <w:t>Executive Summary</w:t>
      </w:r>
    </w:p>
    <w:p>
      <w:r>
        <w:t>This report presents a comprehensive analysis of OLA ride-hailing booking data comprising 71,201 records. The analysis covers booking patterns, vehicle preferences, revenue metrics, payment methods, and customer satisfaction ratings.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Bookings</w:t>
            </w:r>
          </w:p>
        </w:tc>
        <w:tc>
          <w:tcPr>
            <w:tcW w:type="dxa" w:w="4320"/>
          </w:tcPr>
          <w:p>
            <w:r>
              <w:t>71,201</w:t>
            </w:r>
          </w:p>
        </w:tc>
      </w:tr>
      <w:tr>
        <w:tc>
          <w:tcPr>
            <w:tcW w:type="dxa" w:w="4320"/>
          </w:tcPr>
          <w:p>
            <w:r>
              <w:t>Successful Rides</w:t>
            </w:r>
          </w:p>
        </w:tc>
        <w:tc>
          <w:tcPr>
            <w:tcW w:type="dxa" w:w="4320"/>
          </w:tcPr>
          <w:p>
            <w:r>
              <w:t>44,271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62.2%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₹24,216,619</w:t>
            </w:r>
          </w:p>
        </w:tc>
      </w:tr>
      <w:tr>
        <w:tc>
          <w:tcPr>
            <w:tcW w:type="dxa" w:w="4320"/>
          </w:tcPr>
          <w:p>
            <w:r>
              <w:t>Average Booking Value</w:t>
            </w:r>
          </w:p>
        </w:tc>
        <w:tc>
          <w:tcPr>
            <w:tcW w:type="dxa" w:w="4320"/>
          </w:tcPr>
          <w:p>
            <w:r>
              <w:t>₹547.01</w:t>
            </w:r>
          </w:p>
        </w:tc>
      </w:tr>
      <w:tr>
        <w:tc>
          <w:tcPr>
            <w:tcW w:type="dxa" w:w="4320"/>
          </w:tcPr>
          <w:p>
            <w:r>
              <w:t>Average Ride Distance</w:t>
            </w:r>
          </w:p>
        </w:tc>
        <w:tc>
          <w:tcPr>
            <w:tcW w:type="dxa" w:w="4320"/>
          </w:tcPr>
          <w:p>
            <w:r>
              <w:t>22.8 km</w:t>
            </w:r>
          </w:p>
        </w:tc>
      </w:tr>
      <w:tr>
        <w:tc>
          <w:tcPr>
            <w:tcW w:type="dxa" w:w="4320"/>
          </w:tcPr>
          <w:p>
            <w:r>
              <w:t>Average Rating</w:t>
            </w:r>
          </w:p>
        </w:tc>
        <w:tc>
          <w:tcPr>
            <w:tcW w:type="dxa" w:w="4320"/>
          </w:tcPr>
          <w:p>
            <w:r>
              <w:t>4.00/5.0</w:t>
            </w:r>
          </w:p>
        </w:tc>
      </w:tr>
    </w:tbl>
    <w:p/>
    <w:p>
      <w:pPr>
        <w:pStyle w:val="Heading1"/>
      </w:pPr>
      <w:r>
        <w:t>1. Booking Status Analysis</w:t>
      </w:r>
    </w:p>
    <w:p>
      <w:r>
        <w:t>Out of 71,201 total bookings, 44,271 were successfully completed, representing a success rate of 62.2%. The remaining bookings were either canceled by drivers (12,728), canceled by customers (7,214), or drivers were not found (6,988).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0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Vehicle Type Analysis</w:t>
      </w:r>
    </w:p>
    <w:p>
      <w:r>
        <w:t>The distribution of bookings across vehicle types shows a fairly even spread. eBike leads with 10,271 bookings, followed by Prime Sedan (10,260) and Bike (10,193).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Revenue &amp; Payment Analysis</w:t>
      </w:r>
    </w:p>
    <w:p>
      <w:r>
        <w:t>Total revenue generated from successful rides amounts to ₹24,216,619, with an average booking value of ₹547.01. Cash remains the dominant payment method, followed by UPI transactions.</w:t>
      </w:r>
    </w:p>
    <w:p>
      <w:pPr>
        <w:pStyle w:val="IntenseQuote"/>
      </w:pPr>
      <w:r>
        <w:t>Revenue by Payment Method: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Payment Method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Rides</w:t>
            </w:r>
          </w:p>
        </w:tc>
      </w:tr>
      <w:tr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₹13,259,198</w:t>
            </w:r>
          </w:p>
        </w:tc>
        <w:tc>
          <w:tcPr>
            <w:tcW w:type="dxa" w:w="2880"/>
          </w:tcPr>
          <w:p>
            <w:r>
              <w:t>24,166</w:t>
            </w:r>
          </w:p>
        </w:tc>
      </w:tr>
      <w:tr>
        <w:tc>
          <w:tcPr>
            <w:tcW w:type="dxa" w:w="2880"/>
          </w:tcPr>
          <w:p>
            <w:r>
              <w:t>Credit Card</w:t>
            </w:r>
          </w:p>
        </w:tc>
        <w:tc>
          <w:tcPr>
            <w:tcW w:type="dxa" w:w="2880"/>
          </w:tcPr>
          <w:p>
            <w:r>
              <w:t>₹900,354</w:t>
            </w:r>
          </w:p>
        </w:tc>
        <w:tc>
          <w:tcPr>
            <w:tcW w:type="dxa" w:w="2880"/>
          </w:tcPr>
          <w:p>
            <w:r>
              <w:t>1,683</w:t>
            </w:r>
          </w:p>
        </w:tc>
      </w:tr>
      <w:tr>
        <w:tc>
          <w:tcPr>
            <w:tcW w:type="dxa" w:w="2880"/>
          </w:tcPr>
          <w:p>
            <w:r>
              <w:t>Debit Card</w:t>
            </w:r>
          </w:p>
        </w:tc>
        <w:tc>
          <w:tcPr>
            <w:tcW w:type="dxa" w:w="2880"/>
          </w:tcPr>
          <w:p>
            <w:r>
              <w:t>₹239,672</w:t>
            </w:r>
          </w:p>
        </w:tc>
        <w:tc>
          <w:tcPr>
            <w:tcW w:type="dxa" w:w="2880"/>
          </w:tcPr>
          <w:p>
            <w:r>
              <w:t>448</w:t>
            </w:r>
          </w:p>
        </w:tc>
      </w:tr>
      <w:tr>
        <w:tc>
          <w:tcPr>
            <w:tcW w:type="dxa" w:w="2880"/>
          </w:tcPr>
          <w:p>
            <w:r>
              <w:t>UPI</w:t>
            </w:r>
          </w:p>
        </w:tc>
        <w:tc>
          <w:tcPr>
            <w:tcW w:type="dxa" w:w="2880"/>
          </w:tcPr>
          <w:p>
            <w:r>
              <w:t>₹9,817,395</w:t>
            </w:r>
          </w:p>
        </w:tc>
        <w:tc>
          <w:tcPr>
            <w:tcW w:type="dxa" w:w="2880"/>
          </w:tcPr>
          <w:p>
            <w:r>
              <w:t>17,974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923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2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Customer &amp; Driver Ratings</w:t>
      </w:r>
    </w:p>
    <w:p>
      <w:r>
        <w:t>Both driver and customer ratings average around 4.00/5.0, indicating generally positive experiences. The distribution shows ratings concentrated between 3.0 and 5.0, with a notable peak at 5.0 stars.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6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Findings &amp; Recommendations</w:t>
      </w:r>
    </w:p>
    <w:p>
      <w:pPr>
        <w:pStyle w:val="ListBullet"/>
      </w:pPr>
      <w:r>
        <w:t>Success Rate Concern: At 62.2%, nearly 38% of bookings fail - focus on driver availability</w:t>
      </w:r>
    </w:p>
    <w:p>
      <w:pPr>
        <w:pStyle w:val="ListBullet"/>
      </w:pPr>
      <w:r>
        <w:t>Driver Cancellations: 12,728 cancellations need attention</w:t>
      </w:r>
    </w:p>
    <w:p>
      <w:pPr>
        <w:pStyle w:val="ListBullet"/>
      </w:pPr>
      <w:r>
        <w:t>Payment Preference: Cash (54.6%) dominates - opportunity to promote digital payments</w:t>
      </w:r>
    </w:p>
    <w:p>
      <w:pPr>
        <w:pStyle w:val="ListBullet"/>
      </w:pPr>
      <w:r>
        <w:t>Service Quality: Average rating of 4.0/5 is good but has room for improvement</w:t>
      </w:r>
    </w:p>
    <w:p>
      <w:pPr>
        <w:pStyle w:val="ListBullet"/>
      </w:pPr>
      <w:r>
        <w:t>Vehicle Balance: Even distribution suggests healthy fleet management</w:t>
      </w:r>
    </w:p>
    <w:p/>
    <w:p>
      <w:r>
        <w:t>____________________________________________________________</w:t>
      </w:r>
    </w:p>
    <w:p>
      <w:pPr>
        <w:jc w:val="center"/>
      </w:pPr>
      <w:r>
        <w:t>Report Generated: November 2025 | Data Source: OLA Bookings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