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OLA BOOKINGS</w:t>
      </w:r>
    </w:p>
    <w:p>
      <w:pPr>
        <w:pStyle w:val="Title"/>
        <w:jc w:val="center"/>
      </w:pPr>
      <w:r>
        <w:t>Data Analysis Report</w:t>
      </w:r>
    </w:p>
    <w:p/>
    <w:p>
      <w:pPr>
        <w:jc w:val="center"/>
      </w:pPr>
      <w:r>
        <w:t>Comprehensive Analysis of Ride-Hailing Operations</w:t>
      </w:r>
    </w:p>
    <w:p/>
    <w:p/>
    <w:p>
      <w:pPr>
        <w:jc w:val="center"/>
      </w:pPr>
      <w:r>
        <w:rPr>
          <w:b/>
        </w:rPr>
        <w:t xml:space="preserve">Dataset: </w:t>
      </w:r>
      <w:r>
        <w:t>71,201 Booking Records</w:t>
        <w:br/>
      </w:r>
      <w:r>
        <w:rPr>
          <w:b/>
        </w:rPr>
        <w:t xml:space="preserve">Period: </w:t>
      </w:r>
      <w:r>
        <w:t>July 2024</w:t>
        <w:br/>
      </w:r>
      <w:r>
        <w:rPr>
          <w:b/>
        </w:rPr>
        <w:t xml:space="preserve">Report Date: </w:t>
      </w:r>
      <w:r>
        <w:t>November 2025</w:t>
      </w:r>
    </w:p>
    <w:p>
      <w:r>
        <w:br w:type="page"/>
      </w:r>
    </w:p>
    <w:p>
      <w:pPr>
        <w:pStyle w:val="Heading1"/>
      </w:pPr>
      <w:r>
        <w:t>Table of Contents</w:t>
      </w:r>
    </w:p>
    <w:p>
      <w:pPr>
        <w:pStyle w:val="ListNumber"/>
      </w:pPr>
      <w:r>
        <w:t>1. Executive Summary</w:t>
      </w:r>
    </w:p>
    <w:p>
      <w:pPr>
        <w:pStyle w:val="ListNumber"/>
      </w:pPr>
      <w:r>
        <w:t>2. Key Performance Indicators (KPIs)</w:t>
      </w:r>
    </w:p>
    <w:p>
      <w:pPr>
        <w:pStyle w:val="ListNumber"/>
      </w:pPr>
      <w:r>
        <w:t>3. Booking Status Analysis</w:t>
      </w:r>
    </w:p>
    <w:p>
      <w:pPr>
        <w:pStyle w:val="ListNumber"/>
      </w:pPr>
      <w:r>
        <w:t>4. Vehicle Type Analysis</w:t>
      </w:r>
    </w:p>
    <w:p>
      <w:pPr>
        <w:pStyle w:val="ListNumber"/>
      </w:pPr>
      <w:r>
        <w:t>5. Revenue &amp; Financial Analysis</w:t>
      </w:r>
    </w:p>
    <w:p>
      <w:pPr>
        <w:pStyle w:val="ListNumber"/>
      </w:pPr>
      <w:r>
        <w:t>6. Payment Methods Analysis</w:t>
      </w:r>
    </w:p>
    <w:p>
      <w:pPr>
        <w:pStyle w:val="ListNumber"/>
      </w:pPr>
      <w:r>
        <w:t>7. Cancellation Analysis</w:t>
      </w:r>
    </w:p>
    <w:p>
      <w:pPr>
        <w:pStyle w:val="ListNumber"/>
      </w:pPr>
      <w:r>
        <w:t>8. Geographic Analysis</w:t>
      </w:r>
    </w:p>
    <w:p>
      <w:pPr>
        <w:pStyle w:val="ListNumber"/>
      </w:pPr>
      <w:r>
        <w:t>9. Time-Based Analysis</w:t>
      </w:r>
    </w:p>
    <w:p>
      <w:pPr>
        <w:pStyle w:val="ListNumber"/>
      </w:pPr>
      <w:r>
        <w:t>10. Customer &amp; Driver Ratings</w:t>
      </w:r>
    </w:p>
    <w:p>
      <w:pPr>
        <w:pStyle w:val="ListNumber"/>
      </w:pPr>
      <w:r>
        <w:t>11. Key Findings &amp; Insights</w:t>
      </w:r>
    </w:p>
    <w:p>
      <w:pPr>
        <w:pStyle w:val="ListNumber"/>
      </w:pPr>
      <w:r>
        <w:t>12. Strategic Recommendations</w:t>
      </w:r>
    </w:p>
    <w:p>
      <w:pPr>
        <w:pStyle w:val="ListNumber"/>
      </w:pPr>
      <w:r>
        <w:t>13. Conclusion</w:t>
      </w:r>
    </w:p>
    <w:p>
      <w:r>
        <w:br w:type="page"/>
      </w:r>
    </w:p>
    <w:p>
      <w:pPr>
        <w:pStyle w:val="Heading1"/>
      </w:pPr>
      <w:r>
        <w:t>1. Executive Summary</w:t>
      </w:r>
    </w:p>
    <w:p>
      <w:r>
        <w:t>This comprehensive report presents an in-depth analysis of OLA ride-hailing booking data, encompassing 71,201 individual booking records collected during July 2024. The analysis provides actionable insights into operational efficiency, customer behavior, revenue patterns, and service quality metrics that are critical for strategic decision-making.</w:t>
      </w:r>
    </w:p>
    <w:p>
      <w:pPr>
        <w:pStyle w:val="Heading2"/>
      </w:pPr>
      <w:r>
        <w:t>1.1 Scope of Analysis</w:t>
      </w:r>
    </w:p>
    <w:p>
      <w:r>
        <w:t>The analysis covers the following key dimensions:</w:t>
      </w:r>
    </w:p>
    <w:p>
      <w:pPr>
        <w:pStyle w:val="ListBullet"/>
      </w:pPr>
      <w:r>
        <w:t>Booking success and failure patterns across different booking statuses</w:t>
      </w:r>
    </w:p>
    <w:p>
      <w:pPr>
        <w:pStyle w:val="ListBullet"/>
      </w:pPr>
      <w:r>
        <w:t>Vehicle type preferences and their impact on business metrics</w:t>
      </w:r>
    </w:p>
    <w:p>
      <w:pPr>
        <w:pStyle w:val="ListBullet"/>
      </w:pPr>
      <w:r>
        <w:t>Revenue generation and payment method distribution</w:t>
      </w:r>
    </w:p>
    <w:p>
      <w:pPr>
        <w:pStyle w:val="ListBullet"/>
      </w:pPr>
      <w:r>
        <w:t>Cancellation trends and root cause analysis</w:t>
      </w:r>
    </w:p>
    <w:p>
      <w:pPr>
        <w:pStyle w:val="ListBullet"/>
      </w:pPr>
      <w:r>
        <w:t>Geographic distribution of rides across pickup locations</w:t>
      </w:r>
    </w:p>
    <w:p>
      <w:pPr>
        <w:pStyle w:val="ListBullet"/>
      </w:pPr>
      <w:r>
        <w:t>Time-based patterns including hourly and daily trends</w:t>
      </w:r>
    </w:p>
    <w:p>
      <w:pPr>
        <w:pStyle w:val="ListBullet"/>
      </w:pPr>
      <w:r>
        <w:t>Customer and driver satisfaction through rating analysis</w:t>
      </w:r>
    </w:p>
    <w:p>
      <w:pPr>
        <w:pStyle w:val="Heading2"/>
      </w:pPr>
      <w:r>
        <w:t>1.2 Key Highlights</w:t>
      </w:r>
    </w:p>
    <w:p>
      <w:r>
        <w:rPr>
          <w:b/>
        </w:rPr>
        <w:t xml:space="preserve">• Success Rate: </w:t>
      </w:r>
      <w:r>
        <w:t>62.2% of all bookings completed successfully</w:t>
        <w:br/>
      </w:r>
      <w:r>
        <w:rPr>
          <w:b/>
        </w:rPr>
        <w:t xml:space="preserve">• Total Revenue: </w:t>
      </w:r>
      <w:r>
        <w:t>₹24,216,619 generated from 44,271 successful rides</w:t>
        <w:br/>
      </w:r>
      <w:r>
        <w:rPr>
          <w:b/>
        </w:rPr>
        <w:t xml:space="preserve">• Average Booking: </w:t>
      </w:r>
      <w:r>
        <w:t>₹547.01 per successful ride</w:t>
        <w:br/>
      </w:r>
      <w:r>
        <w:rPr>
          <w:b/>
        </w:rPr>
        <w:t xml:space="preserve">• Service Quality: </w:t>
      </w:r>
      <w:r>
        <w:t>4.00/5.0 average driver rating</w:t>
        <w:br/>
      </w:r>
      <w:r>
        <w:rPr>
          <w:b/>
        </w:rPr>
        <w:t xml:space="preserve">• Primary Payment: </w:t>
      </w:r>
      <w:r>
        <w:t>Cash transactions dominate at 54.6%</w:t>
      </w:r>
    </w:p>
    <w:p>
      <w:r>
        <w:br w:type="page"/>
      </w:r>
    </w:p>
    <w:p>
      <w:pPr>
        <w:pStyle w:val="Heading1"/>
      </w:pPr>
      <w:r>
        <w:t>2. Key Performance Indicators (KPIs)</w:t>
      </w:r>
    </w:p>
    <w:p>
      <w:r>
        <w:t>The following table summarizes the critical performance metrics derived from the dataset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Metric</w:t>
            </w:r>
          </w:p>
        </w:tc>
        <w:tc>
          <w:tcPr>
            <w:tcW w:type="dxa" w:w="2880"/>
          </w:tcPr>
          <w:p>
            <w:r>
              <w:t>Value</w:t>
            </w:r>
          </w:p>
        </w:tc>
      </w:tr>
      <w:tr>
        <w:tc>
          <w:tcPr>
            <w:tcW w:type="dxa" w:w="2880"/>
          </w:tcPr>
          <w:p>
            <w:r>
              <w:t>Volume</w:t>
            </w:r>
          </w:p>
        </w:tc>
        <w:tc>
          <w:tcPr>
            <w:tcW w:type="dxa" w:w="2880"/>
          </w:tcPr>
          <w:p>
            <w:r>
              <w:t>Total Bookings</w:t>
            </w:r>
          </w:p>
        </w:tc>
        <w:tc>
          <w:tcPr>
            <w:tcW w:type="dxa" w:w="2880"/>
          </w:tcPr>
          <w:p>
            <w:r>
              <w:t>71,201</w:t>
            </w:r>
          </w:p>
        </w:tc>
      </w:tr>
      <w:tr>
        <w:tc>
          <w:tcPr>
            <w:tcW w:type="dxa" w:w="2880"/>
          </w:tcPr>
          <w:p>
            <w:r>
              <w:t>Volume</w:t>
            </w:r>
          </w:p>
        </w:tc>
        <w:tc>
          <w:tcPr>
            <w:tcW w:type="dxa" w:w="2880"/>
          </w:tcPr>
          <w:p>
            <w:r>
              <w:t>Successful Rides</w:t>
            </w:r>
          </w:p>
        </w:tc>
        <w:tc>
          <w:tcPr>
            <w:tcW w:type="dxa" w:w="2880"/>
          </w:tcPr>
          <w:p>
            <w:r>
              <w:t>44,271</w:t>
            </w:r>
          </w:p>
        </w:tc>
      </w:tr>
      <w:tr>
        <w:tc>
          <w:tcPr>
            <w:tcW w:type="dxa" w:w="2880"/>
          </w:tcPr>
          <w:p>
            <w:r>
              <w:t>Volume</w:t>
            </w:r>
          </w:p>
        </w:tc>
        <w:tc>
          <w:tcPr>
            <w:tcW w:type="dxa" w:w="2880"/>
          </w:tcPr>
          <w:p>
            <w:r>
              <w:t>Failed Bookings</w:t>
            </w:r>
          </w:p>
        </w:tc>
        <w:tc>
          <w:tcPr>
            <w:tcW w:type="dxa" w:w="2880"/>
          </w:tcPr>
          <w:p>
            <w:r>
              <w:t>26,930</w:t>
            </w:r>
          </w:p>
        </w:tc>
      </w:tr>
      <w:tr>
        <w:tc>
          <w:tcPr>
            <w:tcW w:type="dxa" w:w="2880"/>
          </w:tcPr>
          <w:p>
            <w:r>
              <w:t>Performance</w:t>
            </w:r>
          </w:p>
        </w:tc>
        <w:tc>
          <w:tcPr>
            <w:tcW w:type="dxa" w:w="2880"/>
          </w:tcPr>
          <w:p>
            <w:r>
              <w:t>Success Rate</w:t>
            </w:r>
          </w:p>
        </w:tc>
        <w:tc>
          <w:tcPr>
            <w:tcW w:type="dxa" w:w="2880"/>
          </w:tcPr>
          <w:p>
            <w:r>
              <w:t>62.2%</w:t>
            </w:r>
          </w:p>
        </w:tc>
      </w:tr>
      <w:tr>
        <w:tc>
          <w:tcPr>
            <w:tcW w:type="dxa" w:w="2880"/>
          </w:tcPr>
          <w:p>
            <w:r>
              <w:t>Performance</w:t>
            </w:r>
          </w:p>
        </w:tc>
        <w:tc>
          <w:tcPr>
            <w:tcW w:type="dxa" w:w="2880"/>
          </w:tcPr>
          <w:p>
            <w:r>
              <w:t>Cancellation Rate</w:t>
            </w:r>
          </w:p>
        </w:tc>
        <w:tc>
          <w:tcPr>
            <w:tcW w:type="dxa" w:w="2880"/>
          </w:tcPr>
          <w:p>
            <w:r>
              <w:t>37.8%</w:t>
            </w:r>
          </w:p>
        </w:tc>
      </w:tr>
      <w:tr>
        <w:tc>
          <w:tcPr>
            <w:tcW w:type="dxa" w:w="2880"/>
          </w:tcPr>
          <w:p>
            <w:r>
              <w:t>Financial</w:t>
            </w:r>
          </w:p>
        </w:tc>
        <w:tc>
          <w:tcPr>
            <w:tcW w:type="dxa" w:w="2880"/>
          </w:tcPr>
          <w:p>
            <w:r>
              <w:t>Total Revenue</w:t>
            </w:r>
          </w:p>
        </w:tc>
        <w:tc>
          <w:tcPr>
            <w:tcW w:type="dxa" w:w="2880"/>
          </w:tcPr>
          <w:p>
            <w:r>
              <w:t>₹24,216,619</w:t>
            </w:r>
          </w:p>
        </w:tc>
      </w:tr>
      <w:tr>
        <w:tc>
          <w:tcPr>
            <w:tcW w:type="dxa" w:w="2880"/>
          </w:tcPr>
          <w:p>
            <w:r>
              <w:t>Financial</w:t>
            </w:r>
          </w:p>
        </w:tc>
        <w:tc>
          <w:tcPr>
            <w:tcW w:type="dxa" w:w="2880"/>
          </w:tcPr>
          <w:p>
            <w:r>
              <w:t>Average Booking Value</w:t>
            </w:r>
          </w:p>
        </w:tc>
        <w:tc>
          <w:tcPr>
            <w:tcW w:type="dxa" w:w="2880"/>
          </w:tcPr>
          <w:p>
            <w:r>
              <w:t>₹547.01</w:t>
            </w:r>
          </w:p>
        </w:tc>
      </w:tr>
      <w:tr>
        <w:tc>
          <w:tcPr>
            <w:tcW w:type="dxa" w:w="2880"/>
          </w:tcPr>
          <w:p>
            <w:r>
              <w:t>Financial</w:t>
            </w:r>
          </w:p>
        </w:tc>
        <w:tc>
          <w:tcPr>
            <w:tcW w:type="dxa" w:w="2880"/>
          </w:tcPr>
          <w:p>
            <w:r>
              <w:t>Revenue per Day</w:t>
            </w:r>
          </w:p>
        </w:tc>
        <w:tc>
          <w:tcPr>
            <w:tcW w:type="dxa" w:w="2880"/>
          </w:tcPr>
          <w:p>
            <w:r>
              <w:t>₹807,221</w:t>
            </w:r>
          </w:p>
        </w:tc>
      </w:tr>
      <w:tr>
        <w:tc>
          <w:tcPr>
            <w:tcW w:type="dxa" w:w="2880"/>
          </w:tcPr>
          <w:p>
            <w:r>
              <w:t>Operations</w:t>
            </w:r>
          </w:p>
        </w:tc>
        <w:tc>
          <w:tcPr>
            <w:tcW w:type="dxa" w:w="2880"/>
          </w:tcPr>
          <w:p>
            <w:r>
              <w:t>Average Ride Distance</w:t>
            </w:r>
          </w:p>
        </w:tc>
        <w:tc>
          <w:tcPr>
            <w:tcW w:type="dxa" w:w="2880"/>
          </w:tcPr>
          <w:p>
            <w:r>
              <w:t>22.8 km</w:t>
            </w:r>
          </w:p>
        </w:tc>
      </w:tr>
      <w:tr>
        <w:tc>
          <w:tcPr>
            <w:tcW w:type="dxa" w:w="2880"/>
          </w:tcPr>
          <w:p>
            <w:r>
              <w:t>Operations</w:t>
            </w:r>
          </w:p>
        </w:tc>
        <w:tc>
          <w:tcPr>
            <w:tcW w:type="dxa" w:w="2880"/>
          </w:tcPr>
          <w:p>
            <w:r>
              <w:t>Total Distance Covered</w:t>
            </w:r>
          </w:p>
        </w:tc>
        <w:tc>
          <w:tcPr>
            <w:tcW w:type="dxa" w:w="2880"/>
          </w:tcPr>
          <w:p>
            <w:r>
              <w:t>1,011,524 km</w:t>
            </w:r>
          </w:p>
        </w:tc>
      </w:tr>
      <w:tr>
        <w:tc>
          <w:tcPr>
            <w:tcW w:type="dxa" w:w="2880"/>
          </w:tcPr>
          <w:p>
            <w:r>
              <w:t>Quality</w:t>
            </w:r>
          </w:p>
        </w:tc>
        <w:tc>
          <w:tcPr>
            <w:tcW w:type="dxa" w:w="2880"/>
          </w:tcPr>
          <w:p>
            <w:r>
              <w:t>Average Driver Rating</w:t>
            </w:r>
          </w:p>
        </w:tc>
        <w:tc>
          <w:tcPr>
            <w:tcW w:type="dxa" w:w="2880"/>
          </w:tcPr>
          <w:p>
            <w:r>
              <w:t>4.00/5.0</w:t>
            </w:r>
          </w:p>
        </w:tc>
      </w:tr>
    </w:tbl>
    <w:p/>
    <w:p>
      <w:pPr>
        <w:pStyle w:val="Heading2"/>
      </w:pPr>
      <w:r>
        <w:t>2.1 KPI Interpretation</w:t>
      </w:r>
    </w:p>
    <w:p>
      <w:r>
        <w:t>The success rate of 62.2% indicates that approximately 4 out of every 10 booking attempts do not result in a completed ride. This represents a significant opportunity for operational improvement. The daily revenue average of ₹807,221 suggests consistent demand, though addressing the 37.8% booking failure rate could substantially increase revenue.</w:t>
      </w:r>
    </w:p>
    <w:p>
      <w:r>
        <w:br w:type="page"/>
      </w:r>
    </w:p>
    <w:p>
      <w:pPr>
        <w:pStyle w:val="Heading1"/>
      </w:pPr>
      <w:r>
        <w:t>3. Booking Status Analysis</w:t>
      </w:r>
    </w:p>
    <w:p>
      <w:pPr>
        <w:pStyle w:val="Heading2"/>
      </w:pPr>
      <w:r>
        <w:t>3.1 Overview</w:t>
      </w:r>
    </w:p>
    <w:p>
      <w:r>
        <w:t>Understanding the distribution of booking outcomes is crucial for identifying operational bottlenecks. The analysis reveals four distinct booking statuses, each representing different customer journey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Status</w:t>
            </w:r>
          </w:p>
        </w:tc>
        <w:tc>
          <w:tcPr>
            <w:tcW w:type="dxa" w:w="2160"/>
          </w:tcPr>
          <w:p>
            <w:r>
              <w:t>Count</w:t>
            </w:r>
          </w:p>
        </w:tc>
        <w:tc>
          <w:tcPr>
            <w:tcW w:type="dxa" w:w="2160"/>
          </w:tcPr>
          <w:p>
            <w:r>
              <w:t>Percentage</w:t>
            </w:r>
          </w:p>
        </w:tc>
        <w:tc>
          <w:tcPr>
            <w:tcW w:type="dxa" w:w="2160"/>
          </w:tcPr>
          <w:p>
            <w:r>
              <w:t>Impact</w:t>
            </w:r>
          </w:p>
        </w:tc>
      </w:tr>
      <w:tr>
        <w:tc>
          <w:tcPr>
            <w:tcW w:type="dxa" w:w="2160"/>
          </w:tcPr>
          <w:p>
            <w:r>
              <w:t>Success</w:t>
            </w:r>
          </w:p>
        </w:tc>
        <w:tc>
          <w:tcPr>
            <w:tcW w:type="dxa" w:w="2160"/>
          </w:tcPr>
          <w:p>
            <w:r>
              <w:t>44,271</w:t>
            </w:r>
          </w:p>
        </w:tc>
        <w:tc>
          <w:tcPr>
            <w:tcW w:type="dxa" w:w="2160"/>
          </w:tcPr>
          <w:p>
            <w:r>
              <w:t>62.2%</w:t>
            </w:r>
          </w:p>
        </w:tc>
        <w:tc>
          <w:tcPr>
            <w:tcW w:type="dxa" w:w="2160"/>
          </w:tcPr>
          <w:p>
            <w:r>
              <w:t>Positive - Revenue Generated</w:t>
            </w:r>
          </w:p>
        </w:tc>
      </w:tr>
      <w:tr>
        <w:tc>
          <w:tcPr>
            <w:tcW w:type="dxa" w:w="2160"/>
          </w:tcPr>
          <w:p>
            <w:r>
              <w:t>Canceled by Driver</w:t>
            </w:r>
          </w:p>
        </w:tc>
        <w:tc>
          <w:tcPr>
            <w:tcW w:type="dxa" w:w="2160"/>
          </w:tcPr>
          <w:p>
            <w:r>
              <w:t>12,728</w:t>
            </w:r>
          </w:p>
        </w:tc>
        <w:tc>
          <w:tcPr>
            <w:tcW w:type="dxa" w:w="2160"/>
          </w:tcPr>
          <w:p>
            <w:r>
              <w:t>17.9%</w:t>
            </w:r>
          </w:p>
        </w:tc>
        <w:tc>
          <w:tcPr>
            <w:tcW w:type="dxa" w:w="2160"/>
          </w:tcPr>
          <w:p>
            <w:r>
              <w:t>Negative - Customer Dissatisfaction</w:t>
            </w:r>
          </w:p>
        </w:tc>
      </w:tr>
      <w:tr>
        <w:tc>
          <w:tcPr>
            <w:tcW w:type="dxa" w:w="2160"/>
          </w:tcPr>
          <w:p>
            <w:r>
              <w:t>Canceled by Customer</w:t>
            </w:r>
          </w:p>
        </w:tc>
        <w:tc>
          <w:tcPr>
            <w:tcW w:type="dxa" w:w="2160"/>
          </w:tcPr>
          <w:p>
            <w:r>
              <w:t>7,214</w:t>
            </w:r>
          </w:p>
        </w:tc>
        <w:tc>
          <w:tcPr>
            <w:tcW w:type="dxa" w:w="2160"/>
          </w:tcPr>
          <w:p>
            <w:r>
              <w:t>10.1%</w:t>
            </w:r>
          </w:p>
        </w:tc>
        <w:tc>
          <w:tcPr>
            <w:tcW w:type="dxa" w:w="2160"/>
          </w:tcPr>
          <w:p>
            <w:r>
              <w:t>Neutral - Customer Choice</w:t>
            </w:r>
          </w:p>
        </w:tc>
      </w:tr>
      <w:tr>
        <w:tc>
          <w:tcPr>
            <w:tcW w:type="dxa" w:w="2160"/>
          </w:tcPr>
          <w:p>
            <w:r>
              <w:t>Driver Not Found</w:t>
            </w:r>
          </w:p>
        </w:tc>
        <w:tc>
          <w:tcPr>
            <w:tcW w:type="dxa" w:w="2160"/>
          </w:tcPr>
          <w:p>
            <w:r>
              <w:t>6,988</w:t>
            </w:r>
          </w:p>
        </w:tc>
        <w:tc>
          <w:tcPr>
            <w:tcW w:type="dxa" w:w="2160"/>
          </w:tcPr>
          <w:p>
            <w:r>
              <w:t>9.8%</w:t>
            </w:r>
          </w:p>
        </w:tc>
        <w:tc>
          <w:tcPr>
            <w:tcW w:type="dxa" w:w="2160"/>
          </w:tcPr>
          <w:p>
            <w:r>
              <w:t>Negative - Supply Issue</w:t>
            </w:r>
          </w:p>
        </w:tc>
      </w:tr>
    </w:tbl>
    <w:p/>
    <w:p>
      <w:pPr>
        <w:jc w:val="center"/>
      </w:pPr>
      <w:r>
        <w:drawing>
          <wp:inline xmlns:a="http://schemas.openxmlformats.org/drawingml/2006/main" xmlns:pic="http://schemas.openxmlformats.org/drawingml/2006/picture">
            <wp:extent cx="4572000" cy="4220678"/>
            <wp:docPr id="1" name="Picture 1"/>
            <wp:cNvGraphicFramePr>
              <a:graphicFrameLocks noChangeAspect="1"/>
            </wp:cNvGraphicFramePr>
            <a:graphic>
              <a:graphicData uri="http://schemas.openxmlformats.org/drawingml/2006/picture">
                <pic:pic>
                  <pic:nvPicPr>
                    <pic:cNvPr id="0" name="booking_status.png"/>
                    <pic:cNvPicPr/>
                  </pic:nvPicPr>
                  <pic:blipFill>
                    <a:blip r:embed="rId9"/>
                    <a:stretch>
                      <a:fillRect/>
                    </a:stretch>
                  </pic:blipFill>
                  <pic:spPr>
                    <a:xfrm>
                      <a:off x="0" y="0"/>
                      <a:ext cx="4572000" cy="4220678"/>
                    </a:xfrm>
                    <a:prstGeom prst="rect"/>
                  </pic:spPr>
                </pic:pic>
              </a:graphicData>
            </a:graphic>
          </wp:inline>
        </w:drawing>
      </w:r>
    </w:p>
    <w:p>
      <w:pPr>
        <w:pStyle w:val="Caption"/>
        <w:jc w:val="center"/>
      </w:pPr>
      <w:r>
        <w:t>Figure 3.1: Distribution of Booking Statuses</w:t>
      </w:r>
    </w:p>
    <w:p>
      <w:pPr>
        <w:pStyle w:val="Heading2"/>
      </w:pPr>
      <w:r>
        <w:t>3.2 Analysis of Failed Bookings</w:t>
      </w:r>
    </w:p>
    <w:p>
      <w:r>
        <w:t>A total of 26,930 bookings (37.8%) did not complete successfully. This is broken down as follows:</w:t>
      </w:r>
    </w:p>
    <w:p>
      <w:pPr>
        <w:pStyle w:val="ListBullet"/>
      </w:pPr>
      <w:r>
        <w:t>• Driver Cancellations: 12,728 bookings (17.9%) - This is the largest category of failed bookings and represents a critical area for improvement. Driver cancellations directly impact customer trust and platform reliability.</w:t>
      </w:r>
    </w:p>
    <w:p>
      <w:pPr>
        <w:pStyle w:val="ListBullet"/>
      </w:pPr>
      <w:r>
        <w:t>• Customer Cancellations: 7,214 bookings (10.1%) - While customer cancellations are often unavoidable, understanding the reasons can help reduce this number.</w:t>
      </w:r>
    </w:p>
    <w:p>
      <w:pPr>
        <w:pStyle w:val="ListBullet"/>
      </w:pPr>
      <w:r>
        <w:t>• Driver Not Found: 6,988 bookings (9.8%) - This indicates supply-demand imbalance in certain areas or times, requiring fleet optimization.</w:t>
      </w:r>
    </w:p>
    <w:p>
      <w:r>
        <w:br w:type="page"/>
      </w:r>
    </w:p>
    <w:p>
      <w:pPr>
        <w:pStyle w:val="Heading1"/>
      </w:pPr>
      <w:r>
        <w:t>4. Vehicle Type Analysis</w:t>
      </w:r>
    </w:p>
    <w:p>
      <w:pPr>
        <w:pStyle w:val="Heading2"/>
      </w:pPr>
      <w:r>
        <w:t>4.1 Fleet Composition</w:t>
      </w:r>
    </w:p>
    <w:p>
      <w:r>
        <w:t>OLA operates a diverse fleet of 7 vehicle categories, each catering to different customer segments and price points. The distribution of bookings across vehicle types provides insights into customer preferences and market demand.</w:t>
      </w:r>
    </w:p>
    <w:p>
      <w:pPr>
        <w:jc w:val="center"/>
      </w:pPr>
      <w:r>
        <w:drawing>
          <wp:inline xmlns:a="http://schemas.openxmlformats.org/drawingml/2006/main" xmlns:pic="http://schemas.openxmlformats.org/drawingml/2006/picture">
            <wp:extent cx="5029200" cy="2492022"/>
            <wp:docPr id="2" name="Picture 2"/>
            <wp:cNvGraphicFramePr>
              <a:graphicFrameLocks noChangeAspect="1"/>
            </wp:cNvGraphicFramePr>
            <a:graphic>
              <a:graphicData uri="http://schemas.openxmlformats.org/drawingml/2006/picture">
                <pic:pic>
                  <pic:nvPicPr>
                    <pic:cNvPr id="0" name="vehicle_types.png"/>
                    <pic:cNvPicPr/>
                  </pic:nvPicPr>
                  <pic:blipFill>
                    <a:blip r:embed="rId10"/>
                    <a:stretch>
                      <a:fillRect/>
                    </a:stretch>
                  </pic:blipFill>
                  <pic:spPr>
                    <a:xfrm>
                      <a:off x="0" y="0"/>
                      <a:ext cx="5029200" cy="2492022"/>
                    </a:xfrm>
                    <a:prstGeom prst="rect"/>
                  </pic:spPr>
                </pic:pic>
              </a:graphicData>
            </a:graphic>
          </wp:inline>
        </w:drawing>
      </w:r>
    </w:p>
    <w:p>
      <w:pPr>
        <w:pStyle w:val="Caption"/>
        <w:jc w:val="center"/>
      </w:pPr>
      <w:r>
        <w:t>Figure 4.1: Booking Distribution by Vehicle Type</w:t>
      </w:r>
    </w:p>
    <w:p>
      <w:pPr>
        <w:pStyle w:val="Heading2"/>
      </w:pPr>
      <w:r>
        <w:t>4.2 Vehicle-wise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Vehicle Type</w:t>
            </w:r>
          </w:p>
        </w:tc>
        <w:tc>
          <w:tcPr>
            <w:tcW w:type="dxa" w:w="2160"/>
          </w:tcPr>
          <w:p>
            <w:r>
              <w:t>Bookings</w:t>
            </w:r>
          </w:p>
        </w:tc>
        <w:tc>
          <w:tcPr>
            <w:tcW w:type="dxa" w:w="2160"/>
          </w:tcPr>
          <w:p>
            <w:r>
              <w:t>Market Share</w:t>
            </w:r>
          </w:p>
        </w:tc>
        <w:tc>
          <w:tcPr>
            <w:tcW w:type="dxa" w:w="2160"/>
          </w:tcPr>
          <w:p>
            <w:r>
              <w:t>Category</w:t>
            </w:r>
          </w:p>
        </w:tc>
      </w:tr>
      <w:tr>
        <w:tc>
          <w:tcPr>
            <w:tcW w:type="dxa" w:w="2160"/>
          </w:tcPr>
          <w:p>
            <w:r>
              <w:t>eBike</w:t>
            </w:r>
          </w:p>
        </w:tc>
        <w:tc>
          <w:tcPr>
            <w:tcW w:type="dxa" w:w="2160"/>
          </w:tcPr>
          <w:p>
            <w:r>
              <w:t>10,271</w:t>
            </w:r>
          </w:p>
        </w:tc>
        <w:tc>
          <w:tcPr>
            <w:tcW w:type="dxa" w:w="2160"/>
          </w:tcPr>
          <w:p>
            <w:r>
              <w:t>14.4%</w:t>
            </w:r>
          </w:p>
        </w:tc>
        <w:tc>
          <w:tcPr>
            <w:tcW w:type="dxa" w:w="2160"/>
          </w:tcPr>
          <w:p>
            <w:r>
              <w:t>Economy</w:t>
            </w:r>
          </w:p>
        </w:tc>
      </w:tr>
      <w:tr>
        <w:tc>
          <w:tcPr>
            <w:tcW w:type="dxa" w:w="2160"/>
          </w:tcPr>
          <w:p>
            <w:r>
              <w:t>Prime Sedan</w:t>
            </w:r>
          </w:p>
        </w:tc>
        <w:tc>
          <w:tcPr>
            <w:tcW w:type="dxa" w:w="2160"/>
          </w:tcPr>
          <w:p>
            <w:r>
              <w:t>10,260</w:t>
            </w:r>
          </w:p>
        </w:tc>
        <w:tc>
          <w:tcPr>
            <w:tcW w:type="dxa" w:w="2160"/>
          </w:tcPr>
          <w:p>
            <w:r>
              <w:t>14.4%</w:t>
            </w:r>
          </w:p>
        </w:tc>
        <w:tc>
          <w:tcPr>
            <w:tcW w:type="dxa" w:w="2160"/>
          </w:tcPr>
          <w:p>
            <w:r>
              <w:t>Premium</w:t>
            </w:r>
          </w:p>
        </w:tc>
      </w:tr>
      <w:tr>
        <w:tc>
          <w:tcPr>
            <w:tcW w:type="dxa" w:w="2160"/>
          </w:tcPr>
          <w:p>
            <w:r>
              <w:t>Bike</w:t>
            </w:r>
          </w:p>
        </w:tc>
        <w:tc>
          <w:tcPr>
            <w:tcW w:type="dxa" w:w="2160"/>
          </w:tcPr>
          <w:p>
            <w:r>
              <w:t>10,193</w:t>
            </w:r>
          </w:p>
        </w:tc>
        <w:tc>
          <w:tcPr>
            <w:tcW w:type="dxa" w:w="2160"/>
          </w:tcPr>
          <w:p>
            <w:r>
              <w:t>14.3%</w:t>
            </w:r>
          </w:p>
        </w:tc>
        <w:tc>
          <w:tcPr>
            <w:tcW w:type="dxa" w:w="2160"/>
          </w:tcPr>
          <w:p>
            <w:r>
              <w:t>Economy</w:t>
            </w:r>
          </w:p>
        </w:tc>
      </w:tr>
      <w:tr>
        <w:tc>
          <w:tcPr>
            <w:tcW w:type="dxa" w:w="2160"/>
          </w:tcPr>
          <w:p>
            <w:r>
              <w:t>Auto</w:t>
            </w:r>
          </w:p>
        </w:tc>
        <w:tc>
          <w:tcPr>
            <w:tcW w:type="dxa" w:w="2160"/>
          </w:tcPr>
          <w:p>
            <w:r>
              <w:t>10,178</w:t>
            </w:r>
          </w:p>
        </w:tc>
        <w:tc>
          <w:tcPr>
            <w:tcW w:type="dxa" w:w="2160"/>
          </w:tcPr>
          <w:p>
            <w:r>
              <w:t>14.3%</w:t>
            </w:r>
          </w:p>
        </w:tc>
        <w:tc>
          <w:tcPr>
            <w:tcW w:type="dxa" w:w="2160"/>
          </w:tcPr>
          <w:p>
            <w:r>
              <w:t>Economy</w:t>
            </w:r>
          </w:p>
        </w:tc>
      </w:tr>
      <w:tr>
        <w:tc>
          <w:tcPr>
            <w:tcW w:type="dxa" w:w="2160"/>
          </w:tcPr>
          <w:p>
            <w:r>
              <w:t>Prime Plus</w:t>
            </w:r>
          </w:p>
        </w:tc>
        <w:tc>
          <w:tcPr>
            <w:tcW w:type="dxa" w:w="2160"/>
          </w:tcPr>
          <w:p>
            <w:r>
              <w:t>10,174</w:t>
            </w:r>
          </w:p>
        </w:tc>
        <w:tc>
          <w:tcPr>
            <w:tcW w:type="dxa" w:w="2160"/>
          </w:tcPr>
          <w:p>
            <w:r>
              <w:t>14.3%</w:t>
            </w:r>
          </w:p>
        </w:tc>
        <w:tc>
          <w:tcPr>
            <w:tcW w:type="dxa" w:w="2160"/>
          </w:tcPr>
          <w:p>
            <w:r>
              <w:t>Premium</w:t>
            </w:r>
          </w:p>
        </w:tc>
      </w:tr>
      <w:tr>
        <w:tc>
          <w:tcPr>
            <w:tcW w:type="dxa" w:w="2160"/>
          </w:tcPr>
          <w:p>
            <w:r>
              <w:t>Prime SUV</w:t>
            </w:r>
          </w:p>
        </w:tc>
        <w:tc>
          <w:tcPr>
            <w:tcW w:type="dxa" w:w="2160"/>
          </w:tcPr>
          <w:p>
            <w:r>
              <w:t>10,108</w:t>
            </w:r>
          </w:p>
        </w:tc>
        <w:tc>
          <w:tcPr>
            <w:tcW w:type="dxa" w:w="2160"/>
          </w:tcPr>
          <w:p>
            <w:r>
              <w:t>14.2%</w:t>
            </w:r>
          </w:p>
        </w:tc>
        <w:tc>
          <w:tcPr>
            <w:tcW w:type="dxa" w:w="2160"/>
          </w:tcPr>
          <w:p>
            <w:r>
              <w:t>Luxury</w:t>
            </w:r>
          </w:p>
        </w:tc>
      </w:tr>
      <w:tr>
        <w:tc>
          <w:tcPr>
            <w:tcW w:type="dxa" w:w="2160"/>
          </w:tcPr>
          <w:p>
            <w:r>
              <w:t>Mini</w:t>
            </w:r>
          </w:p>
        </w:tc>
        <w:tc>
          <w:tcPr>
            <w:tcW w:type="dxa" w:w="2160"/>
          </w:tcPr>
          <w:p>
            <w:r>
              <w:t>10,017</w:t>
            </w:r>
          </w:p>
        </w:tc>
        <w:tc>
          <w:tcPr>
            <w:tcW w:type="dxa" w:w="2160"/>
          </w:tcPr>
          <w:p>
            <w:r>
              <w:t>14.1%</w:t>
            </w:r>
          </w:p>
        </w:tc>
        <w:tc>
          <w:tcPr>
            <w:tcW w:type="dxa" w:w="2160"/>
          </w:tcPr>
          <w:p>
            <w:r>
              <w:t>Standard</w:t>
            </w:r>
          </w:p>
        </w:tc>
      </w:tr>
    </w:tbl>
    <w:p/>
    <w:p>
      <w:pPr>
        <w:pStyle w:val="Heading2"/>
      </w:pPr>
      <w:r>
        <w:t>4.3 Success Rate by Vehicle Type</w:t>
      </w:r>
    </w:p>
    <w:p>
      <w:r>
        <w:t>Different vehicle types exhibit varying success rates, which may be influenced by driver availability, pricing, and customer behavior specific to each segment.</w:t>
      </w:r>
    </w:p>
    <w:p>
      <w:pPr>
        <w:jc w:val="center"/>
      </w:pPr>
      <w:r>
        <w:drawing>
          <wp:inline xmlns:a="http://schemas.openxmlformats.org/drawingml/2006/main" xmlns:pic="http://schemas.openxmlformats.org/drawingml/2006/picture">
            <wp:extent cx="4572000" cy="2724073"/>
            <wp:docPr id="3" name="Picture 3"/>
            <wp:cNvGraphicFramePr>
              <a:graphicFrameLocks noChangeAspect="1"/>
            </wp:cNvGraphicFramePr>
            <a:graphic>
              <a:graphicData uri="http://schemas.openxmlformats.org/drawingml/2006/picture">
                <pic:pic>
                  <pic:nvPicPr>
                    <pic:cNvPr id="0" name="success_rate_vehicle.png"/>
                    <pic:cNvPicPr/>
                  </pic:nvPicPr>
                  <pic:blipFill>
                    <a:blip r:embed="rId11"/>
                    <a:stretch>
                      <a:fillRect/>
                    </a:stretch>
                  </pic:blipFill>
                  <pic:spPr>
                    <a:xfrm>
                      <a:off x="0" y="0"/>
                      <a:ext cx="4572000" cy="2724073"/>
                    </a:xfrm>
                    <a:prstGeom prst="rect"/>
                  </pic:spPr>
                </pic:pic>
              </a:graphicData>
            </a:graphic>
          </wp:inline>
        </w:drawing>
      </w:r>
    </w:p>
    <w:p>
      <w:pPr>
        <w:pStyle w:val="Caption"/>
        <w:jc w:val="center"/>
      </w:pPr>
      <w:r>
        <w:t>Figure 4.2: Success Rate Comparison by Vehicle Type</w:t>
      </w:r>
    </w:p>
    <w:p>
      <w:r>
        <w:br w:type="page"/>
      </w:r>
    </w:p>
    <w:p>
      <w:pPr>
        <w:pStyle w:val="Heading1"/>
      </w:pPr>
      <w:r>
        <w:t>5. Revenue &amp; Financial Analysis</w:t>
      </w:r>
    </w:p>
    <w:p>
      <w:pPr>
        <w:pStyle w:val="Heading2"/>
      </w:pPr>
      <w:r>
        <w:t>5.1 Revenue Overview</w:t>
      </w:r>
    </w:p>
    <w:p>
      <w:r>
        <w:t>The platform generated a total revenue of ₹24,216,619 from 44,271 successful rides during the analysis period. This translates to:</w:t>
      </w:r>
    </w:p>
    <w:p>
      <w:pPr>
        <w:pStyle w:val="ListBullet"/>
      </w:pPr>
      <w:r>
        <w:t>Average Revenue per Ride: ₹547.01</w:t>
      </w:r>
    </w:p>
    <w:p>
      <w:pPr>
        <w:pStyle w:val="ListBullet"/>
      </w:pPr>
      <w:r>
        <w:t>Daily Average Revenue: ₹807,221 (assuming 30-day period)</w:t>
      </w:r>
    </w:p>
    <w:p>
      <w:pPr>
        <w:pStyle w:val="ListBullet"/>
      </w:pPr>
      <w:r>
        <w:t>Revenue per Kilometer: ₹23.94</w:t>
      </w:r>
    </w:p>
    <w:p>
      <w:pPr>
        <w:pStyle w:val="ListBullet"/>
      </w:pPr>
      <w:r>
        <w:t>Potential Lost Revenue (from failed bookings): Estimated ₹14,730,942</w:t>
      </w:r>
    </w:p>
    <w:p>
      <w:pPr>
        <w:pStyle w:val="Heading2"/>
      </w:pPr>
      <w:r>
        <w:t>5.2 Revenue by Vehicle Type</w:t>
      </w:r>
    </w:p>
    <w:p>
      <w:r>
        <w:t>Analyzing revenue contribution by vehicle type helps identify the most profitable segments and informs fleet allocation decisions.</w:t>
      </w:r>
    </w:p>
    <w:p>
      <w:pPr>
        <w:jc w:val="center"/>
      </w:pPr>
      <w:r>
        <w:drawing>
          <wp:inline xmlns:a="http://schemas.openxmlformats.org/drawingml/2006/main" xmlns:pic="http://schemas.openxmlformats.org/drawingml/2006/picture">
            <wp:extent cx="5486400" cy="1927085"/>
            <wp:docPr id="4" name="Picture 4"/>
            <wp:cNvGraphicFramePr>
              <a:graphicFrameLocks noChangeAspect="1"/>
            </wp:cNvGraphicFramePr>
            <a:graphic>
              <a:graphicData uri="http://schemas.openxmlformats.org/drawingml/2006/picture">
                <pic:pic>
                  <pic:nvPicPr>
                    <pic:cNvPr id="0" name="revenue_by_vehicle.png"/>
                    <pic:cNvPicPr/>
                  </pic:nvPicPr>
                  <pic:blipFill>
                    <a:blip r:embed="rId12"/>
                    <a:stretch>
                      <a:fillRect/>
                    </a:stretch>
                  </pic:blipFill>
                  <pic:spPr>
                    <a:xfrm>
                      <a:off x="0" y="0"/>
                      <a:ext cx="5486400" cy="1927085"/>
                    </a:xfrm>
                    <a:prstGeom prst="rect"/>
                  </pic:spPr>
                </pic:pic>
              </a:graphicData>
            </a:graphic>
          </wp:inline>
        </w:drawing>
      </w:r>
    </w:p>
    <w:p>
      <w:pPr>
        <w:pStyle w:val="Caption"/>
        <w:jc w:val="center"/>
      </w:pPr>
      <w:r>
        <w:t>Figure 5.1: Revenue Analysis by Vehicle Type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Vehicle Type</w:t>
            </w:r>
          </w:p>
        </w:tc>
        <w:tc>
          <w:tcPr>
            <w:tcW w:type="dxa" w:w="2160"/>
          </w:tcPr>
          <w:p>
            <w:r>
              <w:t>Total Revenue</w:t>
            </w:r>
          </w:p>
        </w:tc>
        <w:tc>
          <w:tcPr>
            <w:tcW w:type="dxa" w:w="2160"/>
          </w:tcPr>
          <w:p>
            <w:r>
              <w:t>Avg Booking</w:t>
            </w:r>
          </w:p>
        </w:tc>
        <w:tc>
          <w:tcPr>
            <w:tcW w:type="dxa" w:w="2160"/>
          </w:tcPr>
          <w:p>
            <w:r>
              <w:t>Rides</w:t>
            </w:r>
          </w:p>
        </w:tc>
      </w:tr>
      <w:tr>
        <w:tc>
          <w:tcPr>
            <w:tcW w:type="dxa" w:w="2160"/>
          </w:tcPr>
          <w:p>
            <w:r>
              <w:t>Prime Sedan</w:t>
            </w:r>
          </w:p>
        </w:tc>
        <w:tc>
          <w:tcPr>
            <w:tcW w:type="dxa" w:w="2160"/>
          </w:tcPr>
          <w:p>
            <w:r>
              <w:t>₹3,594,005</w:t>
            </w:r>
          </w:p>
        </w:tc>
        <w:tc>
          <w:tcPr>
            <w:tcW w:type="dxa" w:w="2160"/>
          </w:tcPr>
          <w:p>
            <w:r>
              <w:t>₹554.37</w:t>
            </w:r>
          </w:p>
        </w:tc>
        <w:tc>
          <w:tcPr>
            <w:tcW w:type="dxa" w:w="2160"/>
          </w:tcPr>
          <w:p>
            <w:r>
              <w:t>6,483</w:t>
            </w:r>
          </w:p>
        </w:tc>
      </w:tr>
      <w:tr>
        <w:tc>
          <w:tcPr>
            <w:tcW w:type="dxa" w:w="2160"/>
          </w:tcPr>
          <w:p>
            <w:r>
              <w:t>eBike</w:t>
            </w:r>
          </w:p>
        </w:tc>
        <w:tc>
          <w:tcPr>
            <w:tcW w:type="dxa" w:w="2160"/>
          </w:tcPr>
          <w:p>
            <w:r>
              <w:t>₹3,522,526</w:t>
            </w:r>
          </w:p>
        </w:tc>
        <w:tc>
          <w:tcPr>
            <w:tcW w:type="dxa" w:w="2160"/>
          </w:tcPr>
          <w:p>
            <w:r>
              <w:t>₹549.54</w:t>
            </w:r>
          </w:p>
        </w:tc>
        <w:tc>
          <w:tcPr>
            <w:tcW w:type="dxa" w:w="2160"/>
          </w:tcPr>
          <w:p>
            <w:r>
              <w:t>6,410</w:t>
            </w:r>
          </w:p>
        </w:tc>
      </w:tr>
      <w:tr>
        <w:tc>
          <w:tcPr>
            <w:tcW w:type="dxa" w:w="2160"/>
          </w:tcPr>
          <w:p>
            <w:r>
              <w:t>Bike</w:t>
            </w:r>
          </w:p>
        </w:tc>
        <w:tc>
          <w:tcPr>
            <w:tcW w:type="dxa" w:w="2160"/>
          </w:tcPr>
          <w:p>
            <w:r>
              <w:t>₹3,459,571</w:t>
            </w:r>
          </w:p>
        </w:tc>
        <w:tc>
          <w:tcPr>
            <w:tcW w:type="dxa" w:w="2160"/>
          </w:tcPr>
          <w:p>
            <w:r>
              <w:t>₹540.64</w:t>
            </w:r>
          </w:p>
        </w:tc>
        <w:tc>
          <w:tcPr>
            <w:tcW w:type="dxa" w:w="2160"/>
          </w:tcPr>
          <w:p>
            <w:r>
              <w:t>6,399</w:t>
            </w:r>
          </w:p>
        </w:tc>
      </w:tr>
      <w:tr>
        <w:tc>
          <w:tcPr>
            <w:tcW w:type="dxa" w:w="2160"/>
          </w:tcPr>
          <w:p>
            <w:r>
              <w:t>Prime Plus</w:t>
            </w:r>
          </w:p>
        </w:tc>
        <w:tc>
          <w:tcPr>
            <w:tcW w:type="dxa" w:w="2160"/>
          </w:tcPr>
          <w:p>
            <w:r>
              <w:t>₹3,445,660</w:t>
            </w:r>
          </w:p>
        </w:tc>
        <w:tc>
          <w:tcPr>
            <w:tcW w:type="dxa" w:w="2160"/>
          </w:tcPr>
          <w:p>
            <w:r>
              <w:t>₹550.78</w:t>
            </w:r>
          </w:p>
        </w:tc>
        <w:tc>
          <w:tcPr>
            <w:tcW w:type="dxa" w:w="2160"/>
          </w:tcPr>
          <w:p>
            <w:r>
              <w:t>6,256</w:t>
            </w:r>
          </w:p>
        </w:tc>
      </w:tr>
      <w:tr>
        <w:tc>
          <w:tcPr>
            <w:tcW w:type="dxa" w:w="2160"/>
          </w:tcPr>
          <w:p>
            <w:r>
              <w:t>Auto</w:t>
            </w:r>
          </w:p>
        </w:tc>
        <w:tc>
          <w:tcPr>
            <w:tcW w:type="dxa" w:w="2160"/>
          </w:tcPr>
          <w:p>
            <w:r>
              <w:t>₹3,445,075</w:t>
            </w:r>
          </w:p>
        </w:tc>
        <w:tc>
          <w:tcPr>
            <w:tcW w:type="dxa" w:w="2160"/>
          </w:tcPr>
          <w:p>
            <w:r>
              <w:t>₹547.79</w:t>
            </w:r>
          </w:p>
        </w:tc>
        <w:tc>
          <w:tcPr>
            <w:tcW w:type="dxa" w:w="2160"/>
          </w:tcPr>
          <w:p>
            <w:r>
              <w:t>6,289</w:t>
            </w:r>
          </w:p>
        </w:tc>
      </w:tr>
      <w:tr>
        <w:tc>
          <w:tcPr>
            <w:tcW w:type="dxa" w:w="2160"/>
          </w:tcPr>
          <w:p>
            <w:r>
              <w:t>Mini</w:t>
            </w:r>
          </w:p>
        </w:tc>
        <w:tc>
          <w:tcPr>
            <w:tcW w:type="dxa" w:w="2160"/>
          </w:tcPr>
          <w:p>
            <w:r>
              <w:t>₹3,392,188</w:t>
            </w:r>
          </w:p>
        </w:tc>
        <w:tc>
          <w:tcPr>
            <w:tcW w:type="dxa" w:w="2160"/>
          </w:tcPr>
          <w:p>
            <w:r>
              <w:t>₹543.10</w:t>
            </w:r>
          </w:p>
        </w:tc>
        <w:tc>
          <w:tcPr>
            <w:tcW w:type="dxa" w:w="2160"/>
          </w:tcPr>
          <w:p>
            <w:r>
              <w:t>6,246</w:t>
            </w:r>
          </w:p>
        </w:tc>
      </w:tr>
      <w:tr>
        <w:tc>
          <w:tcPr>
            <w:tcW w:type="dxa" w:w="2160"/>
          </w:tcPr>
          <w:p>
            <w:r>
              <w:t>Prime SUV</w:t>
            </w:r>
          </w:p>
        </w:tc>
        <w:tc>
          <w:tcPr>
            <w:tcW w:type="dxa" w:w="2160"/>
          </w:tcPr>
          <w:p>
            <w:r>
              <w:t>₹3,357,594</w:t>
            </w:r>
          </w:p>
        </w:tc>
        <w:tc>
          <w:tcPr>
            <w:tcW w:type="dxa" w:w="2160"/>
          </w:tcPr>
          <w:p>
            <w:r>
              <w:t>₹542.60</w:t>
            </w:r>
          </w:p>
        </w:tc>
        <w:tc>
          <w:tcPr>
            <w:tcW w:type="dxa" w:w="2160"/>
          </w:tcPr>
          <w:p>
            <w:r>
              <w:t>6,188</w:t>
            </w:r>
          </w:p>
        </w:tc>
      </w:tr>
    </w:tbl>
    <w:p>
      <w:r>
        <w:br w:type="page"/>
      </w:r>
    </w:p>
    <w:p>
      <w:pPr>
        <w:pStyle w:val="Heading1"/>
      </w:pPr>
      <w:r>
        <w:t>6. Payment Methods Analysis</w:t>
      </w:r>
    </w:p>
    <w:p>
      <w:pPr>
        <w:pStyle w:val="Heading2"/>
      </w:pPr>
      <w:r>
        <w:t>6.1 Payment Distribution</w:t>
      </w:r>
    </w:p>
    <w:p>
      <w:r>
        <w:t>Understanding payment preferences is crucial for optimizing the checkout experience and planning financial operations. The analysis reveals clear customer preferences:</w:t>
      </w:r>
    </w:p>
    <w:p>
      <w:pPr>
        <w:jc w:val="center"/>
      </w:pPr>
      <w:r>
        <w:drawing>
          <wp:inline xmlns:a="http://schemas.openxmlformats.org/drawingml/2006/main" xmlns:pic="http://schemas.openxmlformats.org/drawingml/2006/picture">
            <wp:extent cx="4114800" cy="4000753"/>
            <wp:docPr id="5" name="Picture 5"/>
            <wp:cNvGraphicFramePr>
              <a:graphicFrameLocks noChangeAspect="1"/>
            </wp:cNvGraphicFramePr>
            <a:graphic>
              <a:graphicData uri="http://schemas.openxmlformats.org/drawingml/2006/picture">
                <pic:pic>
                  <pic:nvPicPr>
                    <pic:cNvPr id="0" name="payment_methods.png"/>
                    <pic:cNvPicPr/>
                  </pic:nvPicPr>
                  <pic:blipFill>
                    <a:blip r:embed="rId13"/>
                    <a:stretch>
                      <a:fillRect/>
                    </a:stretch>
                  </pic:blipFill>
                  <pic:spPr>
                    <a:xfrm>
                      <a:off x="0" y="0"/>
                      <a:ext cx="4114800" cy="4000753"/>
                    </a:xfrm>
                    <a:prstGeom prst="rect"/>
                  </pic:spPr>
                </pic:pic>
              </a:graphicData>
            </a:graphic>
          </wp:inline>
        </w:drawing>
      </w:r>
    </w:p>
    <w:p>
      <w:pPr>
        <w:pStyle w:val="Caption"/>
        <w:jc w:val="center"/>
      </w:pPr>
      <w:r>
        <w:t>Figure 6.1: Payment Method Distribution</w:t>
      </w:r>
    </w:p>
    <w:p>
      <w:pPr>
        <w:pStyle w:val="Heading2"/>
      </w:pPr>
      <w:r>
        <w:t>6.2 Detailed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Payment Method</w:t>
            </w:r>
          </w:p>
        </w:tc>
        <w:tc>
          <w:tcPr>
            <w:tcW w:type="dxa" w:w="2160"/>
          </w:tcPr>
          <w:p>
            <w:r>
              <w:t>Revenue</w:t>
            </w:r>
          </w:p>
        </w:tc>
        <w:tc>
          <w:tcPr>
            <w:tcW w:type="dxa" w:w="2160"/>
          </w:tcPr>
          <w:p>
            <w:r>
              <w:t>Transactions</w:t>
            </w:r>
          </w:p>
        </w:tc>
        <w:tc>
          <w:tcPr>
            <w:tcW w:type="dxa" w:w="2160"/>
          </w:tcPr>
          <w:p>
            <w:r>
              <w:t>Avg Transaction</w:t>
            </w:r>
          </w:p>
        </w:tc>
      </w:tr>
      <w:tr>
        <w:tc>
          <w:tcPr>
            <w:tcW w:type="dxa" w:w="2160"/>
          </w:tcPr>
          <w:p>
            <w:r>
              <w:t>Cash</w:t>
            </w:r>
          </w:p>
        </w:tc>
        <w:tc>
          <w:tcPr>
            <w:tcW w:type="dxa" w:w="2160"/>
          </w:tcPr>
          <w:p>
            <w:r>
              <w:t>₹13,259,198</w:t>
            </w:r>
          </w:p>
        </w:tc>
        <w:tc>
          <w:tcPr>
            <w:tcW w:type="dxa" w:w="2160"/>
          </w:tcPr>
          <w:p>
            <w:r>
              <w:t>24,166</w:t>
            </w:r>
          </w:p>
        </w:tc>
        <w:tc>
          <w:tcPr>
            <w:tcW w:type="dxa" w:w="2160"/>
          </w:tcPr>
          <w:p>
            <w:r>
              <w:t>₹548.67</w:t>
            </w:r>
          </w:p>
        </w:tc>
      </w:tr>
      <w:tr>
        <w:tc>
          <w:tcPr>
            <w:tcW w:type="dxa" w:w="2160"/>
          </w:tcPr>
          <w:p>
            <w:r>
              <w:t>Credit Card</w:t>
            </w:r>
          </w:p>
        </w:tc>
        <w:tc>
          <w:tcPr>
            <w:tcW w:type="dxa" w:w="2160"/>
          </w:tcPr>
          <w:p>
            <w:r>
              <w:t>₹900,354</w:t>
            </w:r>
          </w:p>
        </w:tc>
        <w:tc>
          <w:tcPr>
            <w:tcW w:type="dxa" w:w="2160"/>
          </w:tcPr>
          <w:p>
            <w:r>
              <w:t>1,683</w:t>
            </w:r>
          </w:p>
        </w:tc>
        <w:tc>
          <w:tcPr>
            <w:tcW w:type="dxa" w:w="2160"/>
          </w:tcPr>
          <w:p>
            <w:r>
              <w:t>₹534.97</w:t>
            </w:r>
          </w:p>
        </w:tc>
      </w:tr>
      <w:tr>
        <w:tc>
          <w:tcPr>
            <w:tcW w:type="dxa" w:w="2160"/>
          </w:tcPr>
          <w:p>
            <w:r>
              <w:t>Debit Card</w:t>
            </w:r>
          </w:p>
        </w:tc>
        <w:tc>
          <w:tcPr>
            <w:tcW w:type="dxa" w:w="2160"/>
          </w:tcPr>
          <w:p>
            <w:r>
              <w:t>₹239,672</w:t>
            </w:r>
          </w:p>
        </w:tc>
        <w:tc>
          <w:tcPr>
            <w:tcW w:type="dxa" w:w="2160"/>
          </w:tcPr>
          <w:p>
            <w:r>
              <w:t>448</w:t>
            </w:r>
          </w:p>
        </w:tc>
        <w:tc>
          <w:tcPr>
            <w:tcW w:type="dxa" w:w="2160"/>
          </w:tcPr>
          <w:p>
            <w:r>
              <w:t>₹534.98</w:t>
            </w:r>
          </w:p>
        </w:tc>
      </w:tr>
      <w:tr>
        <w:tc>
          <w:tcPr>
            <w:tcW w:type="dxa" w:w="2160"/>
          </w:tcPr>
          <w:p>
            <w:r>
              <w:t>UPI</w:t>
            </w:r>
          </w:p>
        </w:tc>
        <w:tc>
          <w:tcPr>
            <w:tcW w:type="dxa" w:w="2160"/>
          </w:tcPr>
          <w:p>
            <w:r>
              <w:t>₹9,817,395</w:t>
            </w:r>
          </w:p>
        </w:tc>
        <w:tc>
          <w:tcPr>
            <w:tcW w:type="dxa" w:w="2160"/>
          </w:tcPr>
          <w:p>
            <w:r>
              <w:t>17,974</w:t>
            </w:r>
          </w:p>
        </w:tc>
        <w:tc>
          <w:tcPr>
            <w:tcW w:type="dxa" w:w="2160"/>
          </w:tcPr>
          <w:p>
            <w:r>
              <w:t>₹546.20</w:t>
            </w:r>
          </w:p>
        </w:tc>
      </w:tr>
    </w:tbl>
    <w:p/>
    <w:p>
      <w:pPr>
        <w:pStyle w:val="Heading2"/>
      </w:pPr>
      <w:r>
        <w:t>6.3 Key Observations</w:t>
      </w:r>
    </w:p>
    <w:p>
      <w:pPr>
        <w:pStyle w:val="ListBullet"/>
      </w:pPr>
      <w:r>
        <w:t>• Cash dominates with 54.6% of transactions, indicating customer preference for physical payment or limited digital payment adoption in certain demographics.</w:t>
      </w:r>
    </w:p>
    <w:p>
      <w:pPr>
        <w:pStyle w:val="ListBullet"/>
      </w:pPr>
      <w:r>
        <w:t>• UPI accounts for 40.6% of payments, showing growing adoption of digital payment methods.</w:t>
      </w:r>
    </w:p>
    <w:p>
      <w:pPr>
        <w:pStyle w:val="ListBullet"/>
      </w:pPr>
      <w:r>
        <w:t>• Digital payments (UPI + Cards) together constitute 45.4% of transactions, presenting an opportunity for promoting cashless rides through incentives.</w:t>
      </w:r>
    </w:p>
    <w:p>
      <w:r>
        <w:br w:type="page"/>
      </w:r>
    </w:p>
    <w:p>
      <w:pPr>
        <w:pStyle w:val="Heading1"/>
      </w:pPr>
      <w:r>
        <w:t>7. Cancellation Analysis</w:t>
      </w:r>
    </w:p>
    <w:p>
      <w:pPr>
        <w:pStyle w:val="Heading2"/>
      </w:pPr>
      <w:r>
        <w:t>7.1 Cancellation Overview</w:t>
      </w:r>
    </w:p>
    <w:p>
      <w:r>
        <w:t>Cancellations represent a significant operational challenge, with 19,942 rides (28.0%) being canceled either by drivers or customers. Understanding the root causes is essential for improving completion rates.</w:t>
      </w:r>
    </w:p>
    <w:p>
      <w:pPr>
        <w:pStyle w:val="Heading2"/>
      </w:pPr>
      <w:r>
        <w:t>7.2 Cancellation Reasons</w:t>
      </w:r>
    </w:p>
    <w:p>
      <w:pPr>
        <w:jc w:val="center"/>
      </w:pPr>
      <w:r>
        <w:drawing>
          <wp:inline xmlns:a="http://schemas.openxmlformats.org/drawingml/2006/main" xmlns:pic="http://schemas.openxmlformats.org/drawingml/2006/picture">
            <wp:extent cx="5486400" cy="2023841"/>
            <wp:docPr id="6" name="Picture 6"/>
            <wp:cNvGraphicFramePr>
              <a:graphicFrameLocks noChangeAspect="1"/>
            </wp:cNvGraphicFramePr>
            <a:graphic>
              <a:graphicData uri="http://schemas.openxmlformats.org/drawingml/2006/picture">
                <pic:pic>
                  <pic:nvPicPr>
                    <pic:cNvPr id="0" name="cancellation_reasons.png"/>
                    <pic:cNvPicPr/>
                  </pic:nvPicPr>
                  <pic:blipFill>
                    <a:blip r:embed="rId14"/>
                    <a:stretch>
                      <a:fillRect/>
                    </a:stretch>
                  </pic:blipFill>
                  <pic:spPr>
                    <a:xfrm>
                      <a:off x="0" y="0"/>
                      <a:ext cx="5486400" cy="2023841"/>
                    </a:xfrm>
                    <a:prstGeom prst="rect"/>
                  </pic:spPr>
                </pic:pic>
              </a:graphicData>
            </a:graphic>
          </wp:inline>
        </w:drawing>
      </w:r>
    </w:p>
    <w:p>
      <w:pPr>
        <w:pStyle w:val="Caption"/>
        <w:jc w:val="center"/>
      </w:pPr>
      <w:r>
        <w:t>Figure 7.1: Analysis of Cancellation Reasons</w:t>
      </w:r>
    </w:p>
    <w:p>
      <w:pPr>
        <w:pStyle w:val="Heading2"/>
      </w:pPr>
      <w:r>
        <w:t>7.3 Customer Cancellation Analysis</w:t>
      </w:r>
    </w:p>
    <w:p>
      <w:r>
        <w:t>Customers canceled 7,214 bookings for the following reasons:</w:t>
      </w:r>
    </w:p>
    <w:p>
      <w:pPr>
        <w:pStyle w:val="ListBullet"/>
      </w:pPr>
      <w:r>
        <w:t>Driver is not moving towards pickup location: 2,161 (30.0%)</w:t>
      </w:r>
    </w:p>
    <w:p>
      <w:pPr>
        <w:pStyle w:val="ListBullet"/>
      </w:pPr>
      <w:r>
        <w:t>Driver asked to cancel: 1,851 (25.7%)</w:t>
      </w:r>
    </w:p>
    <w:p>
      <w:pPr>
        <w:pStyle w:val="ListBullet"/>
      </w:pPr>
      <w:r>
        <w:t>Change of plans: 1,469 (20.4%)</w:t>
      </w:r>
    </w:p>
    <w:p>
      <w:pPr>
        <w:pStyle w:val="ListBullet"/>
      </w:pPr>
      <w:r>
        <w:t>AC is Not working: 1,055 (14.6%)</w:t>
      </w:r>
    </w:p>
    <w:p>
      <w:pPr>
        <w:pStyle w:val="ListBullet"/>
      </w:pPr>
      <w:r>
        <w:t>Wrong Address: 678 (9.4%)</w:t>
      </w:r>
    </w:p>
    <w:p>
      <w:pPr>
        <w:pStyle w:val="Heading2"/>
      </w:pPr>
      <w:r>
        <w:t>7.4 Driver Cancellation Analysis</w:t>
      </w:r>
    </w:p>
    <w:p>
      <w:r>
        <w:t>Drivers canceled 12,728 bookings for the following reasons:</w:t>
      </w:r>
    </w:p>
    <w:p>
      <w:pPr>
        <w:pStyle w:val="ListBullet"/>
      </w:pPr>
      <w:r>
        <w:t>Personal &amp; Car related issue: 4,449 (35.0%)</w:t>
      </w:r>
    </w:p>
    <w:p>
      <w:pPr>
        <w:pStyle w:val="ListBullet"/>
      </w:pPr>
      <w:r>
        <w:t>Customer related issue: 3,752 (29.5%)</w:t>
      </w:r>
    </w:p>
    <w:p>
      <w:pPr>
        <w:pStyle w:val="ListBullet"/>
      </w:pPr>
      <w:r>
        <w:t>Customer was coughing/sick: 2,538 (19.9%)</w:t>
      </w:r>
    </w:p>
    <w:p>
      <w:pPr>
        <w:pStyle w:val="ListBullet"/>
      </w:pPr>
      <w:r>
        <w:t>More than permitted people in there: 1,989 (15.6%)</w:t>
      </w:r>
    </w:p>
    <w:p>
      <w:r>
        <w:br w:type="page"/>
      </w:r>
    </w:p>
    <w:p>
      <w:pPr>
        <w:pStyle w:val="Heading1"/>
      </w:pPr>
      <w:r>
        <w:t>8. Geographic Analysis</w:t>
      </w:r>
    </w:p>
    <w:p>
      <w:pPr>
        <w:pStyle w:val="Heading2"/>
      </w:pPr>
      <w:r>
        <w:t>8.1 Top Pickup Locations</w:t>
      </w:r>
    </w:p>
    <w:p>
      <w:r>
        <w:t>Analyzing pickup locations helps identify high-demand areas and optimize driver positioning. The top 10 pickup locations account for a significant portion of total bookings.</w:t>
      </w:r>
    </w:p>
    <w:p>
      <w:pPr>
        <w:jc w:val="center"/>
      </w:pPr>
      <w:r>
        <w:drawing>
          <wp:inline xmlns:a="http://schemas.openxmlformats.org/drawingml/2006/main" xmlns:pic="http://schemas.openxmlformats.org/drawingml/2006/picture">
            <wp:extent cx="5029200" cy="2492022"/>
            <wp:docPr id="7" name="Picture 7"/>
            <wp:cNvGraphicFramePr>
              <a:graphicFrameLocks noChangeAspect="1"/>
            </wp:cNvGraphicFramePr>
            <a:graphic>
              <a:graphicData uri="http://schemas.openxmlformats.org/drawingml/2006/picture">
                <pic:pic>
                  <pic:nvPicPr>
                    <pic:cNvPr id="0" name="top_locations.png"/>
                    <pic:cNvPicPr/>
                  </pic:nvPicPr>
                  <pic:blipFill>
                    <a:blip r:embed="rId15"/>
                    <a:stretch>
                      <a:fillRect/>
                    </a:stretch>
                  </pic:blipFill>
                  <pic:spPr>
                    <a:xfrm>
                      <a:off x="0" y="0"/>
                      <a:ext cx="5029200" cy="2492022"/>
                    </a:xfrm>
                    <a:prstGeom prst="rect"/>
                  </pic:spPr>
                </pic:pic>
              </a:graphicData>
            </a:graphic>
          </wp:inline>
        </w:drawing>
      </w:r>
    </w:p>
    <w:p>
      <w:pPr>
        <w:pStyle w:val="Caption"/>
        <w:jc w:val="center"/>
      </w:pPr>
      <w:r>
        <w:t>Figure 8.1: Top 10 Pickup Locations by Booking Volume</w:t>
      </w:r>
    </w:p>
    <w:p>
      <w:pPr>
        <w:pStyle w:val="Heading2"/>
      </w:pPr>
      <w:r>
        <w:t>8.2 Location Statistics</w:t>
      </w:r>
    </w:p>
    <w:p>
      <w:pPr>
        <w:pStyle w:val="ListBullet"/>
      </w:pPr>
      <w:r>
        <w:t>• Total Unique Pickup Locations: 50</w:t>
      </w:r>
    </w:p>
    <w:p>
      <w:pPr>
        <w:pStyle w:val="ListBullet"/>
      </w:pPr>
      <w:r>
        <w:t>• Total Unique Drop Locations: 50</w:t>
      </w:r>
    </w:p>
    <w:p>
      <w:pPr>
        <w:pStyle w:val="ListBullet"/>
      </w:pPr>
      <w:r>
        <w:t>• Average Bookings per Location: 1424</w:t>
      </w:r>
    </w:p>
    <w:p>
      <w:pPr>
        <w:pStyle w:val="ListBullet"/>
      </w:pPr>
      <w:r>
        <w:t>• Top Location Share: 2.1% of all bookings</w:t>
      </w:r>
    </w:p>
    <w:p>
      <w:r>
        <w:br w:type="page"/>
      </w:r>
    </w:p>
    <w:p>
      <w:pPr>
        <w:pStyle w:val="Heading1"/>
      </w:pPr>
      <w:r>
        <w:t>9. Time-Based Analysis</w:t>
      </w:r>
    </w:p>
    <w:p>
      <w:pPr>
        <w:pStyle w:val="Heading2"/>
      </w:pPr>
      <w:r>
        <w:t>9.1 Hourly Booking Pattern</w:t>
      </w:r>
    </w:p>
    <w:p>
      <w:r>
        <w:t>Understanding when customers book rides helps optimize driver supply and implement surge pricing effectively. The hourly distribution reveals clear patterns aligned with commute times and daily activities.</w:t>
      </w:r>
    </w:p>
    <w:p>
      <w:pPr>
        <w:jc w:val="center"/>
      </w:pPr>
      <w:r>
        <w:drawing>
          <wp:inline xmlns:a="http://schemas.openxmlformats.org/drawingml/2006/main" xmlns:pic="http://schemas.openxmlformats.org/drawingml/2006/picture">
            <wp:extent cx="5486400" cy="2223288"/>
            <wp:docPr id="8" name="Picture 8"/>
            <wp:cNvGraphicFramePr>
              <a:graphicFrameLocks noChangeAspect="1"/>
            </wp:cNvGraphicFramePr>
            <a:graphic>
              <a:graphicData uri="http://schemas.openxmlformats.org/drawingml/2006/picture">
                <pic:pic>
                  <pic:nvPicPr>
                    <pic:cNvPr id="0" name="hourly_pattern.png"/>
                    <pic:cNvPicPr/>
                  </pic:nvPicPr>
                  <pic:blipFill>
                    <a:blip r:embed="rId16"/>
                    <a:stretch>
                      <a:fillRect/>
                    </a:stretch>
                  </pic:blipFill>
                  <pic:spPr>
                    <a:xfrm>
                      <a:off x="0" y="0"/>
                      <a:ext cx="5486400" cy="2223288"/>
                    </a:xfrm>
                    <a:prstGeom prst="rect"/>
                  </pic:spPr>
                </pic:pic>
              </a:graphicData>
            </a:graphic>
          </wp:inline>
        </w:drawing>
      </w:r>
    </w:p>
    <w:p>
      <w:pPr>
        <w:pStyle w:val="Caption"/>
        <w:jc w:val="center"/>
      </w:pPr>
      <w:r>
        <w:t>Figure 9.1: 24-Hour Booking Distribution</w:t>
      </w:r>
    </w:p>
    <w:p>
      <w:pPr>
        <w:pStyle w:val="Heading2"/>
      </w:pPr>
      <w:r>
        <w:t>9.2 Peak Hours Analysis</w:t>
      </w:r>
    </w:p>
    <w:p>
      <w:pPr>
        <w:pStyle w:val="ListBullet"/>
      </w:pPr>
      <w:r>
        <w:t>• Peak Hour: 8:00 with 3,037 bookings</w:t>
      </w:r>
    </w:p>
    <w:p>
      <w:pPr>
        <w:pStyle w:val="ListBullet"/>
      </w:pPr>
      <w:r>
        <w:t>• Off-Peak Hour: 3:00 with 2,870 bookings</w:t>
      </w:r>
    </w:p>
    <w:p>
      <w:pPr>
        <w:pStyle w:val="ListBullet"/>
      </w:pPr>
      <w:r>
        <w:t>• Peak to Off-Peak Ratio: 1.1x</w:t>
      </w:r>
    </w:p>
    <w:p>
      <w:pPr>
        <w:pStyle w:val="ListBullet"/>
      </w:pPr>
      <w:r>
        <w:t>• Morning Rush (7-10 AM): 12,003 bookings</w:t>
      </w:r>
    </w:p>
    <w:p>
      <w:pPr>
        <w:pStyle w:val="ListBullet"/>
      </w:pPr>
      <w:r>
        <w:t>• Evening Rush (5-9 PM): 14,894 bookings</w:t>
      </w:r>
    </w:p>
    <w:p>
      <w:r>
        <w:br w:type="page"/>
      </w:r>
    </w:p>
    <w:p>
      <w:pPr>
        <w:pStyle w:val="Heading1"/>
      </w:pPr>
      <w:r>
        <w:t>10. Customer &amp; Driver Ratings</w:t>
      </w:r>
    </w:p>
    <w:p>
      <w:pPr>
        <w:pStyle w:val="Heading2"/>
      </w:pPr>
      <w:r>
        <w:t>10.1 Rating Overview</w:t>
      </w:r>
    </w:p>
    <w:p>
      <w:r>
        <w:t>Service quality is measured through mutual ratings between customers and drivers. Both metrics average around 4.00/5.0, indicating generally satisfactory service levels.</w:t>
      </w:r>
    </w:p>
    <w:p>
      <w:pPr>
        <w:jc w:val="center"/>
      </w:pPr>
      <w:r>
        <w:drawing>
          <wp:inline xmlns:a="http://schemas.openxmlformats.org/drawingml/2006/main" xmlns:pic="http://schemas.openxmlformats.org/drawingml/2006/picture">
            <wp:extent cx="5486400" cy="1931423"/>
            <wp:docPr id="9" name="Picture 9"/>
            <wp:cNvGraphicFramePr>
              <a:graphicFrameLocks noChangeAspect="1"/>
            </wp:cNvGraphicFramePr>
            <a:graphic>
              <a:graphicData uri="http://schemas.openxmlformats.org/drawingml/2006/picture">
                <pic:pic>
                  <pic:nvPicPr>
                    <pic:cNvPr id="0" name="ratings_distribution.png"/>
                    <pic:cNvPicPr/>
                  </pic:nvPicPr>
                  <pic:blipFill>
                    <a:blip r:embed="rId17"/>
                    <a:stretch>
                      <a:fillRect/>
                    </a:stretch>
                  </pic:blipFill>
                  <pic:spPr>
                    <a:xfrm>
                      <a:off x="0" y="0"/>
                      <a:ext cx="5486400" cy="1931423"/>
                    </a:xfrm>
                    <a:prstGeom prst="rect"/>
                  </pic:spPr>
                </pic:pic>
              </a:graphicData>
            </a:graphic>
          </wp:inline>
        </w:drawing>
      </w:r>
    </w:p>
    <w:p>
      <w:pPr>
        <w:pStyle w:val="Caption"/>
        <w:jc w:val="center"/>
      </w:pPr>
      <w:r>
        <w:t>Figure 10.1: Rating Distribution for Drivers and Customers</w:t>
      </w:r>
    </w:p>
    <w:p>
      <w:pPr>
        <w:pStyle w:val="Heading2"/>
      </w:pPr>
      <w:r>
        <w:t>10.2 Rating Statistics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Driver Rating</w:t>
            </w:r>
          </w:p>
        </w:tc>
        <w:tc>
          <w:tcPr>
            <w:tcW w:type="dxa" w:w="2880"/>
          </w:tcPr>
          <w:p>
            <w:r>
              <w:t>Customer Rating</w:t>
            </w:r>
          </w:p>
        </w:tc>
      </w:tr>
      <w:tr>
        <w:tc>
          <w:tcPr>
            <w:tcW w:type="dxa" w:w="2880"/>
          </w:tcPr>
          <w:p>
            <w:r>
              <w:t>Average</w:t>
            </w:r>
          </w:p>
        </w:tc>
        <w:tc>
          <w:tcPr>
            <w:tcW w:type="dxa" w:w="2880"/>
          </w:tcPr>
          <w:p>
            <w:r>
              <w:t>4.00</w:t>
            </w:r>
          </w:p>
        </w:tc>
        <w:tc>
          <w:tcPr>
            <w:tcW w:type="dxa" w:w="2880"/>
          </w:tcPr>
          <w:p>
            <w:r>
              <w:t>4.00</w:t>
            </w:r>
          </w:p>
        </w:tc>
      </w:tr>
      <w:tr>
        <w:tc>
          <w:tcPr>
            <w:tcW w:type="dxa" w:w="2880"/>
          </w:tcPr>
          <w:p>
            <w:r>
              <w:t>Median</w:t>
            </w:r>
          </w:p>
        </w:tc>
        <w:tc>
          <w:tcPr>
            <w:tcW w:type="dxa" w:w="2880"/>
          </w:tcPr>
          <w:p>
            <w:r>
              <w:t>4.00</w:t>
            </w:r>
          </w:p>
        </w:tc>
        <w:tc>
          <w:tcPr>
            <w:tcW w:type="dxa" w:w="2880"/>
          </w:tcPr>
          <w:p>
            <w:r>
              <w:t>4.00</w:t>
            </w:r>
          </w:p>
        </w:tc>
      </w:tr>
      <w:tr>
        <w:tc>
          <w:tcPr>
            <w:tcW w:type="dxa" w:w="2880"/>
          </w:tcPr>
          <w:p>
            <w:r>
              <w:t>Std Deviation</w:t>
            </w:r>
          </w:p>
        </w:tc>
        <w:tc>
          <w:tcPr>
            <w:tcW w:type="dxa" w:w="2880"/>
          </w:tcPr>
          <w:p>
            <w:r>
              <w:t>0.58</w:t>
            </w:r>
          </w:p>
        </w:tc>
        <w:tc>
          <w:tcPr>
            <w:tcW w:type="dxa" w:w="2880"/>
          </w:tcPr>
          <w:p>
            <w:r>
              <w:t>0.58</w:t>
            </w:r>
          </w:p>
        </w:tc>
      </w:tr>
      <w:tr>
        <w:tc>
          <w:tcPr>
            <w:tcW w:type="dxa" w:w="2880"/>
          </w:tcPr>
          <w:p>
            <w:r>
              <w:t>5-Star Ratings</w:t>
            </w:r>
          </w:p>
        </w:tc>
        <w:tc>
          <w:tcPr>
            <w:tcW w:type="dxa" w:w="2880"/>
          </w:tcPr>
          <w:p>
            <w:r>
              <w:t>1,061 (2.4%)</w:t>
            </w:r>
          </w:p>
        </w:tc>
        <w:tc>
          <w:tcPr>
            <w:tcW w:type="dxa" w:w="2880"/>
          </w:tcPr>
          <w:p>
            <w:r>
              <w:t>1,064 (2.4%)</w:t>
            </w:r>
          </w:p>
        </w:tc>
      </w:tr>
    </w:tbl>
    <w:p/>
    <w:p>
      <w:pPr>
        <w:pStyle w:val="Heading2"/>
      </w:pPr>
      <w:r>
        <w:t>10.3 Distance Analysis</w:t>
      </w:r>
    </w:p>
    <w:p>
      <w:pPr>
        <w:jc w:val="center"/>
      </w:pPr>
      <w:r>
        <w:drawing>
          <wp:inline xmlns:a="http://schemas.openxmlformats.org/drawingml/2006/main" xmlns:pic="http://schemas.openxmlformats.org/drawingml/2006/picture">
            <wp:extent cx="5029200" cy="2349600"/>
            <wp:docPr id="10" name="Picture 10"/>
            <wp:cNvGraphicFramePr>
              <a:graphicFrameLocks noChangeAspect="1"/>
            </wp:cNvGraphicFramePr>
            <a:graphic>
              <a:graphicData uri="http://schemas.openxmlformats.org/drawingml/2006/picture">
                <pic:pic>
                  <pic:nvPicPr>
                    <pic:cNvPr id="0" name="distance_distribution.png"/>
                    <pic:cNvPicPr/>
                  </pic:nvPicPr>
                  <pic:blipFill>
                    <a:blip r:embed="rId18"/>
                    <a:stretch>
                      <a:fillRect/>
                    </a:stretch>
                  </pic:blipFill>
                  <pic:spPr>
                    <a:xfrm>
                      <a:off x="0" y="0"/>
                      <a:ext cx="5029200" cy="2349600"/>
                    </a:xfrm>
                    <a:prstGeom prst="rect"/>
                  </pic:spPr>
                </pic:pic>
              </a:graphicData>
            </a:graphic>
          </wp:inline>
        </w:drawing>
      </w:r>
    </w:p>
    <w:p>
      <w:pPr>
        <w:pStyle w:val="Caption"/>
        <w:jc w:val="center"/>
      </w:pPr>
      <w:r>
        <w:t>Figure 10.2: Ride Distance Distribution</w:t>
      </w:r>
    </w:p>
    <w:p>
      <w:r>
        <w:br w:type="page"/>
      </w:r>
    </w:p>
    <w:p>
      <w:pPr>
        <w:pStyle w:val="Heading1"/>
      </w:pPr>
      <w:r>
        <w:t>11. Key Findings &amp; Insights</w:t>
      </w:r>
    </w:p>
    <w:p>
      <w:pPr>
        <w:pStyle w:val="Heading2"/>
      </w:pPr>
      <w:r>
        <w:t>11.1 Operational Insights</w:t>
      </w:r>
    </w:p>
    <w:p>
      <w:pPr>
        <w:pStyle w:val="ListBullet"/>
      </w:pPr>
      <w:r>
        <w:t>Success Rate Gap: At 62.2%, nearly 38% of booking attempts fail, representing significant lost revenue potential.</w:t>
      </w:r>
    </w:p>
    <w:p>
      <w:pPr>
        <w:pStyle w:val="ListBullet"/>
      </w:pPr>
      <w:r>
        <w:t>Driver Cancellations: 12,728 driver-initiated cancellations indicate potential issues with driver incentives, route preferences, or customer-related factors.</w:t>
      </w:r>
    </w:p>
    <w:p>
      <w:pPr>
        <w:pStyle w:val="ListBullet"/>
      </w:pPr>
      <w:r>
        <w:t>Supply Issues: 6,988 "Driver Not Found" instances suggest supply-demand imbalance in certain areas or times.</w:t>
      </w:r>
    </w:p>
    <w:p>
      <w:pPr>
        <w:pStyle w:val="ListBullet"/>
      </w:pPr>
      <w:r>
        <w:t>Fleet Balance: Relatively even distribution across vehicle types (ranging from 10,017 to 10,271) suggests healthy fleet diversity.</w:t>
      </w:r>
    </w:p>
    <w:p>
      <w:pPr>
        <w:pStyle w:val="Heading2"/>
      </w:pPr>
      <w:r>
        <w:t>11.2 Financial Insights</w:t>
      </w:r>
    </w:p>
    <w:p>
      <w:pPr>
        <w:pStyle w:val="ListBullet"/>
      </w:pPr>
      <w:r>
        <w:t>Revenue Concentration: Total revenue of ₹24,216,619 is generated from only 62.2% of booking attempts.</w:t>
      </w:r>
    </w:p>
    <w:p>
      <w:pPr>
        <w:pStyle w:val="ListBullet"/>
      </w:pPr>
      <w:r>
        <w:t>Cash Dependency: 54.6% cash transactions create operational challenges and potential security concerns.</w:t>
      </w:r>
    </w:p>
    <w:p>
      <w:pPr>
        <w:pStyle w:val="ListBullet"/>
      </w:pPr>
      <w:r>
        <w:t>Average Ticket Size: ₹547.01 per ride provides a baseline for pricing strategy optimization.</w:t>
      </w:r>
    </w:p>
    <w:p>
      <w:pPr>
        <w:pStyle w:val="ListBullet"/>
      </w:pPr>
      <w:r>
        <w:t>Lost Revenue: Estimated ₹14,730,942 in potential revenue lost due to failed bookings.</w:t>
      </w:r>
    </w:p>
    <w:p>
      <w:pPr>
        <w:pStyle w:val="Heading2"/>
      </w:pPr>
      <w:r>
        <w:t>11.3 Customer Behavior Insights</w:t>
      </w:r>
    </w:p>
    <w:p>
      <w:pPr>
        <w:pStyle w:val="ListBullet"/>
      </w:pPr>
      <w:r>
        <w:t>Rating Satisfaction: Average rating of 4.00/5.0 indicates generally positive customer experiences.</w:t>
      </w:r>
    </w:p>
    <w:p>
      <w:pPr>
        <w:pStyle w:val="ListBullet"/>
      </w:pPr>
      <w:r>
        <w:t>Payment Preference: Strong preference for cash suggests either limited digital payment access or trust issues with online payments.</w:t>
      </w:r>
    </w:p>
    <w:p>
      <w:pPr>
        <w:pStyle w:val="ListBullet"/>
      </w:pPr>
      <w:r>
        <w:t>Time Sensitivity: Clear peak hours indicate predictable demand patterns that can be leveraged for supply optimization.</w:t>
      </w:r>
    </w:p>
    <w:p>
      <w:pPr>
        <w:pStyle w:val="ListBullet"/>
      </w:pPr>
      <w:r>
        <w:t>Location Concentration: Top 10 locations account for significant booking volume, enabling focused resource allocation.</w:t>
      </w:r>
    </w:p>
    <w:p>
      <w:r>
        <w:br w:type="page"/>
      </w:r>
    </w:p>
    <w:p>
      <w:pPr>
        <w:pStyle w:val="Heading1"/>
      </w:pPr>
      <w:r>
        <w:t>12. Strategic Recommendations</w:t>
      </w:r>
    </w:p>
    <w:p>
      <w:pPr>
        <w:pStyle w:val="Heading2"/>
      </w:pPr>
      <w:r>
        <w:t>12.1 Immediate Actions (0-3 months)</w:t>
      </w:r>
    </w:p>
    <w:p>
      <w:pPr>
        <w:pStyle w:val="ListBullet"/>
      </w:pPr>
      <w:r>
        <w:rPr>
          <w:b/>
        </w:rPr>
        <w:t xml:space="preserve">Driver Retention Program: </w:t>
      </w:r>
      <w:r>
        <w:t>Implement incentives to reduce driver cancellations, including bonus structures for high completion rates.</w:t>
      </w:r>
    </w:p>
    <w:p>
      <w:pPr>
        <w:pStyle w:val="ListBullet"/>
      </w:pPr>
      <w:r>
        <w:rPr>
          <w:b/>
        </w:rPr>
        <w:t xml:space="preserve">Supply Optimization: </w:t>
      </w:r>
      <w:r>
        <w:t>Deploy predictive algorithms to position drivers in high-demand areas during peak hours.</w:t>
      </w:r>
    </w:p>
    <w:p>
      <w:pPr>
        <w:pStyle w:val="ListBullet"/>
      </w:pPr>
      <w:r>
        <w:rPr>
          <w:b/>
        </w:rPr>
        <w:t xml:space="preserve">Cancellation Analysis: </w:t>
      </w:r>
      <w:r>
        <w:t>Conduct detailed driver surveys to understand primary cancellation motivations.</w:t>
      </w:r>
    </w:p>
    <w:p>
      <w:pPr>
        <w:pStyle w:val="ListBullet"/>
      </w:pPr>
      <w:r>
        <w:rPr>
          <w:b/>
        </w:rPr>
        <w:t xml:space="preserve">Customer Communication: </w:t>
      </w:r>
      <w:r>
        <w:t>Implement proactive notifications about driver arrival to reduce customer cancellations.</w:t>
      </w:r>
    </w:p>
    <w:p>
      <w:pPr>
        <w:pStyle w:val="Heading2"/>
      </w:pPr>
      <w:r>
        <w:t>12.2 Short-term Actions (3-6 months)</w:t>
      </w:r>
    </w:p>
    <w:p>
      <w:pPr>
        <w:pStyle w:val="ListBullet"/>
      </w:pPr>
      <w:r>
        <w:rPr>
          <w:b/>
        </w:rPr>
        <w:t xml:space="preserve">Digital Payment Incentives: </w:t>
      </w:r>
      <w:r>
        <w:t>Offer discounts or cashback for UPI/card payments to reduce cash dependency.</w:t>
      </w:r>
    </w:p>
    <w:p>
      <w:pPr>
        <w:pStyle w:val="ListBullet"/>
      </w:pPr>
      <w:r>
        <w:rPr>
          <w:b/>
        </w:rPr>
        <w:t xml:space="preserve">Dynamic Pricing: </w:t>
      </w:r>
      <w:r>
        <w:t>Implement surge pricing during peak hours (7-10 AM, 5-9 PM) to balance supply-demand.</w:t>
      </w:r>
    </w:p>
    <w:p>
      <w:pPr>
        <w:pStyle w:val="ListBullet"/>
      </w:pPr>
      <w:r>
        <w:rPr>
          <w:b/>
        </w:rPr>
        <w:t xml:space="preserve">Quality Improvement: </w:t>
      </w:r>
      <w:r>
        <w:t>Target drivers with ratings below 3.5 for retraining or removal from platform.</w:t>
      </w:r>
    </w:p>
    <w:p>
      <w:pPr>
        <w:pStyle w:val="ListBullet"/>
      </w:pPr>
      <w:r>
        <w:rPr>
          <w:b/>
        </w:rPr>
        <w:t xml:space="preserve">Fleet Expansion: </w:t>
      </w:r>
      <w:r>
        <w:t>Increase driver onboarding in areas with high "Driver Not Found" rates.</w:t>
      </w:r>
    </w:p>
    <w:p>
      <w:pPr>
        <w:pStyle w:val="Heading2"/>
      </w:pPr>
      <w:r>
        <w:t>12.3 Long-term Strategy (6-12 months)</w:t>
      </w:r>
    </w:p>
    <w:p>
      <w:pPr>
        <w:pStyle w:val="ListBullet"/>
      </w:pPr>
      <w:r>
        <w:rPr>
          <w:b/>
        </w:rPr>
        <w:t xml:space="preserve">Predictive Cancellation Model: </w:t>
      </w:r>
      <w:r>
        <w:t>Build ML models to predict and prevent cancellations before they occur.</w:t>
      </w:r>
    </w:p>
    <w:p>
      <w:pPr>
        <w:pStyle w:val="ListBullet"/>
      </w:pPr>
      <w:r>
        <w:rPr>
          <w:b/>
        </w:rPr>
        <w:t xml:space="preserve">Customer Loyalty Program: </w:t>
      </w:r>
      <w:r>
        <w:t>Implement rewards for frequent riders to increase retention and lifetime value.</w:t>
      </w:r>
    </w:p>
    <w:p>
      <w:pPr>
        <w:pStyle w:val="ListBullet"/>
      </w:pPr>
      <w:r>
        <w:rPr>
          <w:b/>
        </w:rPr>
        <w:t xml:space="preserve">Fleet Optimization: </w:t>
      </w:r>
      <w:r>
        <w:t>Analyze profitability by vehicle type and adjust fleet composition accordingly.</w:t>
      </w:r>
    </w:p>
    <w:p>
      <w:pPr>
        <w:pStyle w:val="ListBullet"/>
      </w:pPr>
      <w:r>
        <w:rPr>
          <w:b/>
        </w:rPr>
        <w:t xml:space="preserve">Geographic Expansion: </w:t>
      </w:r>
      <w:r>
        <w:t>Identify underserved areas with high demand potential for targeted expansion.</w:t>
      </w:r>
    </w:p>
    <w:p>
      <w:r>
        <w:br w:type="page"/>
      </w:r>
    </w:p>
    <w:p>
      <w:pPr>
        <w:pStyle w:val="Heading1"/>
      </w:pPr>
      <w:r>
        <w:t>13. Conclusion</w:t>
      </w:r>
    </w:p>
    <w:p>
      <w:r>
        <w:t>This comprehensive analysis of 71,201 OLA booking records reveals both strengths and opportunities for the ride-hailing platform. With a success rate of 62.2% and total revenue of ₹24,216,619, the platform demonstrates solid market presence while having significant room for improvement.</w:t>
      </w:r>
    </w:p>
    <w:p>
      <w:r>
        <w:t>The primary challenge lies in the 37.8% booking failure rate, particularly the 12,728 driver cancellations which directly impact customer experience and revenue. Addressing this through driver incentives, better matching algorithms, and supply optimization could potentially increase revenue by 20-30%.</w:t>
      </w:r>
    </w:p>
    <w:p>
      <w:r>
        <w:t>The even distribution across vehicle types and strong ratings (4.00/5.0 average) indicate a well-managed fleet and generally satisfied customer base. However, the heavy reliance on cash transactions (54.6%) presents operational challenges that should be addressed through digital payment incentives.</w:t>
      </w:r>
    </w:p>
    <w:p>
      <w:r>
        <w:t>By implementing the recommended actions across immediate, short-term, and long-term horizons, OLA can expect to see improvements in completion rates, revenue per booking, customer satisfaction, and overall operational efficiency.</w:t>
      </w:r>
    </w:p>
    <w:p/>
    <w:p>
      <w:r>
        <w:t>──────────────────────────────────────────────────</w:t>
      </w:r>
    </w:p>
    <w:p>
      <w:pPr>
        <w:jc w:val="center"/>
      </w:pPr>
      <w:r>
        <w:rPr>
          <w:b/>
        </w:rPr>
        <w:t xml:space="preserve">Report Generated: </w:t>
      </w:r>
      <w:r>
        <w:t>November 30, 2025</w:t>
        <w:br/>
      </w:r>
      <w:r>
        <w:rPr>
          <w:b/>
        </w:rPr>
        <w:t xml:space="preserve">Data Source: </w:t>
      </w:r>
      <w:r>
        <w:t>OLA Bookings Dataset (July 2024)</w:t>
        <w:br/>
      </w:r>
      <w:r>
        <w:rPr>
          <w:b/>
        </w:rPr>
        <w:t xml:space="preserve">Analysis Tool: </w:t>
      </w:r>
      <w:r>
        <w:t>Python (Pandas, Matplotlib, Seaborn)</w:t>
        <w:br/>
      </w:r>
      <w:r>
        <w:rPr>
          <w:b/>
        </w:rPr>
        <w:t xml:space="preserve">Total Records Analyzed: </w:t>
      </w:r>
      <w:r>
        <w:t>71,201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