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003366"/>
          <w:sz w:val="44"/>
        </w:rPr>
        <w:t>Strategic Customer Engagement &amp; Product Utilization Analytics for Retail Banking Retention Architecture</w:t>
      </w:r>
    </w:p>
    <w:p>
      <w:pPr>
        <w:spacing w:after="480"/>
        <w:jc w:val="center"/>
      </w:pPr>
      <w:r>
        <w:rPr>
          <w:rFonts w:ascii="Arial" w:hAnsi="Arial"/>
          <w:i/>
          <w:color w:val="666666"/>
          <w:sz w:val="24"/>
        </w:rPr>
        <w:t>A Behavioral Analytics Framework Built for Asset Stability and Customer Lifetime Value Optimization</w:t>
      </w:r>
    </w:p>
    <w:p>
      <w:pPr>
        <w:spacing w:after="480"/>
        <w:jc w:val="center"/>
      </w:pPr>
      <w:r>
        <w:rPr>
          <w:rFonts w:ascii="Arial" w:hAnsi="Arial"/>
          <w:i w:val="0"/>
          <w:color w:val="666666"/>
          <w:sz w:val="24"/>
        </w:rPr>
        <w:t>Principal Investigator &amp; Analyst: Shivansh Agrawal</w:t>
        <w:br/>
        <w:t>Academic &amp; Institutional Partner: Unified Mentor</w:t>
        <w:br/>
        <w:t>Target Stakeholder Audience: Board of Directors &amp; Retail Banking Operations</w:t>
      </w:r>
    </w:p>
    <w:p>
      <w:pPr>
        <w:spacing w:before="360" w:after="120"/>
      </w:pPr>
      <w:r>
        <w:rPr>
          <w:rFonts w:ascii="Arial" w:hAnsi="Arial"/>
          <w:b/>
          <w:color w:val="003366"/>
          <w:sz w:val="28"/>
        </w:rPr>
        <w:t>SECTION 1: EXECUTIVE SUMMARY</w:t>
      </w:r>
    </w:p>
    <w:p>
      <w:pPr>
        <w:spacing w:after="240" w:line="276" w:lineRule="auto"/>
      </w:pPr>
      <w:r>
        <w:rPr>
          <w:rFonts w:ascii="Arial" w:hAnsi="Arial"/>
          <w:color w:val="333333"/>
          <w:sz w:val="22"/>
        </w:rPr>
        <w:t>Modern retail banking operations are undergoing a structural shift. Traditional retention strategies, which rely heavily on static customer demographic data (such as age, gender, or gross income), frequently fail to predict customer churn. This research paper develops a behavioral analytics framework that examines customer retention through the lens of financial relationship depth and digital product activity. By deploying programmatic data pipelines and live interactive intelligence, this study uncovers the specific behavioral thresholds that cause retail deposits to move from stable to volatile.</w:t>
      </w:r>
    </w:p>
    <w:p>
      <w:pPr>
        <w:spacing w:after="240" w:line="276" w:lineRule="auto"/>
      </w:pPr>
      <w:r>
        <w:rPr>
          <w:rFonts w:ascii="Arial" w:hAnsi="Arial"/>
          <w:b/>
          <w:color w:val="333333"/>
          <w:sz w:val="22"/>
        </w:rPr>
        <w:t xml:space="preserve">Core Institutional KPI Portfolio: </w:t>
      </w:r>
      <w:r>
        <w:rPr>
          <w:rFonts w:ascii="Arial" w:hAnsi="Arial"/>
          <w:color w:val="333333"/>
          <w:sz w:val="22"/>
        </w:rPr>
        <w:t>Based on our empirical analysis of 10,000 global retail banking customer portfolios, the diagnostic platform establishes three major baselines:</w:t>
      </w:r>
    </w:p>
    <w:p>
      <w:pPr>
        <w:spacing w:after="60" w:line="276" w:lineRule="auto"/>
      </w:pPr>
      <w:r>
        <w:rPr>
          <w:rFonts w:ascii="Arial" w:hAnsi="Arial"/>
          <w:b/>
          <w:color w:val="333333"/>
          <w:sz w:val="22"/>
        </w:rPr>
        <w:t>• Systemic Volatility (Average Churn Rate): 20.37%.</w:t>
      </w:r>
      <w:r>
        <w:rPr>
          <w:rFonts w:ascii="Arial" w:hAnsi="Arial"/>
          <w:color w:val="333333"/>
          <w:sz w:val="22"/>
        </w:rPr>
        <w:t xml:space="preserve"> This means approximately 1 in 5 retail customers close their accounts, representing a significant liquidity risk.</w:t>
      </w:r>
    </w:p>
    <w:p>
      <w:pPr>
        <w:spacing w:after="60" w:line="276" w:lineRule="auto"/>
      </w:pPr>
      <w:r>
        <w:rPr>
          <w:rFonts w:ascii="Arial" w:hAnsi="Arial"/>
          <w:b/>
          <w:color w:val="333333"/>
          <w:sz w:val="22"/>
        </w:rPr>
        <w:t>• Engagement Retention Ratio (ERR): 0.53.</w:t>
      </w:r>
      <w:r>
        <w:rPr>
          <w:rFonts w:ascii="Arial" w:hAnsi="Arial"/>
          <w:color w:val="333333"/>
          <w:sz w:val="22"/>
        </w:rPr>
        <w:t xml:space="preserve"> This score shows that an active customer relationship reduces the probability of churn by exactly 47% compared to inactive customer accounts.</w:t>
      </w:r>
    </w:p>
    <w:p>
      <w:pPr>
        <w:spacing w:after="240" w:line="276" w:lineRule="auto"/>
      </w:pPr>
      <w:r>
        <w:rPr>
          <w:rFonts w:ascii="Arial" w:hAnsi="Arial"/>
          <w:b/>
          <w:color w:val="333333"/>
          <w:sz w:val="22"/>
        </w:rPr>
        <w:t>• The Product Depth Paradox:</w:t>
      </w:r>
      <w:r>
        <w:rPr>
          <w:rFonts w:ascii="Arial" w:hAnsi="Arial"/>
          <w:color w:val="333333"/>
          <w:sz w:val="22"/>
        </w:rPr>
        <w:t xml:space="preserve"> Financial loyalty peaks when a customer holds exactly two products. Holding more than two products leads to a sharp increase in attrition rates.</w:t>
      </w:r>
    </w:p>
    <w:p>
      <w:pPr>
        <w:spacing w:before="360" w:after="120"/>
      </w:pPr>
      <w:r>
        <w:rPr>
          <w:rFonts w:ascii="Arial" w:hAnsi="Arial"/>
          <w:b/>
          <w:color w:val="003366"/>
          <w:sz w:val="28"/>
        </w:rPr>
        <w:t>SECTION 2: PROBLEM STATEMENT &amp; COMPREHENSIVE OBJECTIVES</w:t>
      </w:r>
    </w:p>
    <w:p>
      <w:pPr>
        <w:spacing w:after="240" w:line="276" w:lineRule="auto"/>
      </w:pPr>
      <w:r>
        <w:rPr>
          <w:rFonts w:ascii="Arial" w:hAnsi="Arial"/>
          <w:color w:val="333333"/>
          <w:sz w:val="22"/>
        </w:rPr>
        <w:t>Retail banks often misallocate marketing resources because their retention strategies treat all accounts the same way. This causes two main operational issues:</w:t>
      </w:r>
    </w:p>
    <w:p>
      <w:pPr>
        <w:spacing w:after="120" w:line="276" w:lineRule="auto"/>
      </w:pPr>
      <w:r>
        <w:rPr>
          <w:rFonts w:ascii="Arial" w:hAnsi="Arial"/>
          <w:b/>
          <w:color w:val="333333"/>
          <w:sz w:val="22"/>
        </w:rPr>
        <w:t xml:space="preserve">1. The Premium Portfolio Illusion: </w:t>
      </w:r>
      <w:r>
        <w:rPr>
          <w:rFonts w:ascii="Arial" w:hAnsi="Arial"/>
          <w:color w:val="333333"/>
          <w:sz w:val="22"/>
        </w:rPr>
        <w:t xml:space="preserve"> High-balance accounts are often categorized as stable or loyal based on their size alone. However, many of these accounts are completely inactive, making them a hidden churn risk.</w:t>
      </w:r>
    </w:p>
    <w:p>
      <w:pPr>
        <w:spacing w:after="240" w:line="276" w:lineRule="auto"/>
      </w:pPr>
      <w:r>
        <w:rPr>
          <w:rFonts w:ascii="Arial" w:hAnsi="Arial"/>
          <w:b/>
          <w:color w:val="333333"/>
          <w:sz w:val="22"/>
        </w:rPr>
        <w:t xml:space="preserve">2. Product Over-Bundling Risk: </w:t>
      </w:r>
      <w:r>
        <w:rPr>
          <w:rFonts w:ascii="Arial" w:hAnsi="Arial"/>
          <w:color w:val="333333"/>
          <w:sz w:val="22"/>
        </w:rPr>
        <w:t xml:space="preserve"> Cross-selling strategies often focus on maximizing product volume per customer without measuring the negative impact of over-bundling on customer satisfaction.</w:t>
      </w:r>
    </w:p>
    <w:p>
      <w:pPr>
        <w:spacing w:after="240" w:line="276" w:lineRule="auto"/>
      </w:pPr>
      <w:r>
        <w:rPr>
          <w:rFonts w:ascii="Arial" w:hAnsi="Arial"/>
          <w:color w:val="333333"/>
          <w:sz w:val="22"/>
        </w:rPr>
        <w:t>Our core objectives are to isolate and quantify the exact statistical relationship between active digital engagement and portfolio churn, map customer retention across different product counts to find the optimal product mix, and build an early-warning detection system to flag high-value, inactive accounts before capital flight occurs.</w:t>
      </w:r>
    </w:p>
    <w:p>
      <w:pPr>
        <w:spacing w:before="360" w:after="120"/>
      </w:pPr>
      <w:r>
        <w:rPr>
          <w:rFonts w:ascii="Arial" w:hAnsi="Arial"/>
          <w:b/>
          <w:color w:val="003366"/>
          <w:sz w:val="28"/>
        </w:rPr>
        <w:t>SECTION 3: SYSTEM ARCHITECTURE &amp; ANALYTICAL METHODOLOGY</w:t>
      </w:r>
    </w:p>
    <w:p>
      <w:pPr>
        <w:spacing w:after="240" w:line="276" w:lineRule="auto"/>
      </w:pPr>
      <w:r>
        <w:rPr>
          <w:rFonts w:ascii="Arial" w:hAnsi="Arial"/>
          <w:color w:val="333333"/>
          <w:sz w:val="22"/>
        </w:rPr>
        <w:t>To ensure data integrity, the pipeline processes the raw ledger data through strict validation rules before running the final retention models. This includes binary constraints validation for variables like credit card ownership and active status, alongside domain integrity audits to ensure logical alignment between product counts and asset balances.</w:t>
      </w:r>
    </w:p>
    <w:p>
      <w:pPr>
        <w:spacing w:after="240" w:line="276" w:lineRule="auto"/>
      </w:pPr>
      <w:r>
        <w:rPr>
          <w:rFonts w:ascii="Arial" w:hAnsi="Arial"/>
          <w:color w:val="333333"/>
          <w:sz w:val="22"/>
        </w:rPr>
        <w:t>The framework classifies portfolios into four primary behavioral tiers:</w:t>
      </w:r>
    </w:p>
    <w:p>
      <w:pPr>
        <w:spacing w:after="60" w:line="276" w:lineRule="auto"/>
      </w:pPr>
      <w:r>
        <w:rPr>
          <w:rFonts w:ascii="Arial" w:hAnsi="Arial"/>
          <w:b/>
          <w:color w:val="333333"/>
          <w:sz w:val="22"/>
        </w:rPr>
        <w:t xml:space="preserve">• Active Engaged: </w:t>
      </w:r>
      <w:r>
        <w:rPr>
          <w:rFonts w:ascii="Arial" w:hAnsi="Arial"/>
          <w:color w:val="333333"/>
          <w:sz w:val="22"/>
        </w:rPr>
        <w:t xml:space="preserve"> Customers who regularly interact with the bank and hold two or more products.</w:t>
      </w:r>
    </w:p>
    <w:p>
      <w:pPr>
        <w:spacing w:after="60" w:line="276" w:lineRule="auto"/>
      </w:pPr>
      <w:r>
        <w:rPr>
          <w:rFonts w:ascii="Arial" w:hAnsi="Arial"/>
          <w:b/>
          <w:color w:val="333333"/>
          <w:sz w:val="22"/>
        </w:rPr>
        <w:t xml:space="preserve">• Inactive Disengaged: </w:t>
      </w:r>
      <w:r>
        <w:rPr>
          <w:rFonts w:ascii="Arial" w:hAnsi="Arial"/>
          <w:color w:val="333333"/>
          <w:sz w:val="22"/>
        </w:rPr>
        <w:t xml:space="preserve"> High-risk customers who are completely inactive and hold only one product.</w:t>
      </w:r>
    </w:p>
    <w:p>
      <w:pPr>
        <w:spacing w:after="60" w:line="276" w:lineRule="auto"/>
      </w:pPr>
      <w:r>
        <w:rPr>
          <w:rFonts w:ascii="Arial" w:hAnsi="Arial"/>
          <w:b/>
          <w:color w:val="333333"/>
          <w:sz w:val="22"/>
        </w:rPr>
        <w:t xml:space="preserve">• Active But Low-Product: </w:t>
      </w:r>
      <w:r>
        <w:rPr>
          <w:rFonts w:ascii="Arial" w:hAnsi="Arial"/>
          <w:color w:val="333333"/>
          <w:sz w:val="22"/>
        </w:rPr>
        <w:t xml:space="preserve"> Customers who are active but only use a single product, leaving room for targeted cross-selling.</w:t>
      </w:r>
    </w:p>
    <w:p>
      <w:pPr>
        <w:spacing w:after="240" w:line="276" w:lineRule="auto"/>
      </w:pPr>
      <w:r>
        <w:rPr>
          <w:rFonts w:ascii="Arial" w:hAnsi="Arial"/>
          <w:b/>
          <w:color w:val="333333"/>
          <w:sz w:val="22"/>
        </w:rPr>
        <w:t xml:space="preserve">• Inactive High-Balance (At-Risk Premium): </w:t>
      </w:r>
      <w:r>
        <w:rPr>
          <w:rFonts w:ascii="Arial" w:hAnsi="Arial"/>
          <w:color w:val="333333"/>
          <w:sz w:val="22"/>
        </w:rPr>
        <w:t xml:space="preserve"> Wealthy accounts that fall in the top 25% of the bank's balance distribution but show zero account activity.</w:t>
      </w:r>
    </w:p>
    <w:p>
      <w:pPr>
        <w:spacing w:before="360" w:after="120"/>
      </w:pPr>
      <w:r>
        <w:rPr>
          <w:rFonts w:ascii="Arial" w:hAnsi="Arial"/>
          <w:b/>
          <w:color w:val="003366"/>
          <w:sz w:val="28"/>
        </w:rPr>
        <w:t>SECTION 4: DEEP METRIC ANALYSIS &amp; MATRICES</w:t>
      </w:r>
    </w:p>
    <w:p>
      <w:pPr>
        <w:spacing w:after="240" w:line="276" w:lineRule="auto"/>
      </w:pPr>
      <w:r>
        <w:rPr>
          <w:rFonts w:ascii="Arial" w:hAnsi="Arial"/>
          <w:color w:val="333333"/>
          <w:sz w:val="22"/>
        </w:rPr>
        <w:t>Our data shows a distinct nonlinear relationship between product depth and customer churn. To illustrate this critical inflection point, the matrix below details the churn risk across product distribution bands: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Arial" w:hAnsi="Arial"/>
                <w:b/>
              </w:rPr>
              <w:t>Products Held</w:t>
            </w:r>
          </w:p>
        </w:tc>
        <w:tc>
          <w:tcPr>
            <w:tcW w:type="dxa" w:w="2340"/>
          </w:tcPr>
          <w:p>
            <w:r>
              <w:rPr>
                <w:rFonts w:ascii="Arial" w:hAnsi="Arial"/>
                <w:b/>
              </w:rPr>
              <w:t>Churn Volatility Index</w:t>
            </w:r>
          </w:p>
        </w:tc>
        <w:tc>
          <w:tcPr>
            <w:tcW w:type="dxa" w:w="2340"/>
          </w:tcPr>
          <w:p>
            <w:r>
              <w:rPr>
                <w:rFonts w:ascii="Arial" w:hAnsi="Arial"/>
                <w:b/>
              </w:rPr>
              <w:t>Operational Risk Class</w:t>
            </w:r>
          </w:p>
        </w:tc>
        <w:tc>
          <w:tcPr>
            <w:tcW w:type="dxa" w:w="2340"/>
          </w:tcPr>
          <w:p>
            <w:r>
              <w:rPr>
                <w:rFonts w:ascii="Arial" w:hAnsi="Arial"/>
                <w:b/>
              </w:rPr>
              <w:t>Strategic Action Required</w:t>
            </w:r>
          </w:p>
        </w:tc>
      </w:tr>
      <w:tr>
        <w:tc>
          <w:tcPr>
            <w:tcW w:type="dxa" w:w="2340"/>
          </w:tcPr>
          <w:p>
            <w:r>
              <w:rPr>
                <w:rFonts w:ascii="Arial" w:hAnsi="Arial"/>
                <w:sz w:val="20"/>
              </w:rPr>
              <w:t>1 Product</w:t>
            </w:r>
          </w:p>
        </w:tc>
        <w:tc>
          <w:tcPr>
            <w:tcW w:type="dxa" w:w="2340"/>
          </w:tcPr>
          <w:p>
            <w:r>
              <w:rPr>
                <w:rFonts w:ascii="Arial" w:hAnsi="Arial"/>
                <w:sz w:val="20"/>
              </w:rPr>
              <w:t>Moderate-High Risk</w:t>
            </w:r>
          </w:p>
        </w:tc>
        <w:tc>
          <w:tcPr>
            <w:tcW w:type="dxa" w:w="2340"/>
          </w:tcPr>
          <w:p>
            <w:r>
              <w:rPr>
                <w:rFonts w:ascii="Arial" w:hAnsi="Arial"/>
                <w:sz w:val="20"/>
              </w:rPr>
              <w:t>Baseline Exposure Zone</w:t>
            </w:r>
          </w:p>
        </w:tc>
        <w:tc>
          <w:tcPr>
            <w:tcW w:type="dxa" w:w="2340"/>
          </w:tcPr>
          <w:p>
            <w:r>
              <w:rPr>
                <w:rFonts w:ascii="Arial" w:hAnsi="Arial"/>
                <w:sz w:val="20"/>
              </w:rPr>
              <w:t>Cross-sell core secondary products</w:t>
            </w:r>
          </w:p>
        </w:tc>
      </w:tr>
      <w:tr>
        <w:tc>
          <w:tcPr>
            <w:tcW w:type="dxa" w:w="2340"/>
          </w:tcPr>
          <w:p>
            <w:r>
              <w:rPr>
                <w:rFonts w:ascii="Arial" w:hAnsi="Arial"/>
                <w:sz w:val="20"/>
              </w:rPr>
              <w:t>2 Products</w:t>
            </w:r>
          </w:p>
        </w:tc>
        <w:tc>
          <w:tcPr>
            <w:tcW w:type="dxa" w:w="2340"/>
          </w:tcPr>
          <w:p>
            <w:r>
              <w:rPr>
                <w:rFonts w:ascii="Arial" w:hAnsi="Arial"/>
                <w:sz w:val="20"/>
              </w:rPr>
              <w:t>Minimal Risk (Sweet Spot)</w:t>
            </w:r>
          </w:p>
        </w:tc>
        <w:tc>
          <w:tcPr>
            <w:tcW w:type="dxa" w:w="2340"/>
          </w:tcPr>
          <w:p>
            <w:r>
              <w:rPr>
                <w:rFonts w:ascii="Arial" w:hAnsi="Arial"/>
                <w:sz w:val="20"/>
              </w:rPr>
              <w:t>Core Stability Zone</w:t>
            </w:r>
          </w:p>
        </w:tc>
        <w:tc>
          <w:tcPr>
            <w:tcW w:type="dxa" w:w="2340"/>
          </w:tcPr>
          <w:p>
            <w:r>
              <w:rPr>
                <w:rFonts w:ascii="Arial" w:hAnsi="Arial"/>
                <w:sz w:val="20"/>
              </w:rPr>
              <w:t>Lock in with long-term loyalty rewards</w:t>
            </w:r>
          </w:p>
        </w:tc>
      </w:tr>
      <w:tr>
        <w:tc>
          <w:tcPr>
            <w:tcW w:type="dxa" w:w="2340"/>
          </w:tcPr>
          <w:p>
            <w:r>
              <w:rPr>
                <w:rFonts w:ascii="Arial" w:hAnsi="Arial"/>
                <w:sz w:val="20"/>
              </w:rPr>
              <w:t>3 Products</w:t>
            </w:r>
          </w:p>
        </w:tc>
        <w:tc>
          <w:tcPr>
            <w:tcW w:type="dxa" w:w="2340"/>
          </w:tcPr>
          <w:p>
            <w:r>
              <w:rPr>
                <w:rFonts w:ascii="Arial" w:hAnsi="Arial"/>
                <w:sz w:val="20"/>
              </w:rPr>
              <w:t>High Volatility</w:t>
            </w:r>
          </w:p>
        </w:tc>
        <w:tc>
          <w:tcPr>
            <w:tcW w:type="dxa" w:w="2340"/>
          </w:tcPr>
          <w:p>
            <w:r>
              <w:rPr>
                <w:rFonts w:ascii="Arial" w:hAnsi="Arial"/>
                <w:sz w:val="20"/>
              </w:rPr>
              <w:t>Forced Cross-Selling Strain</w:t>
            </w:r>
          </w:p>
        </w:tc>
        <w:tc>
          <w:tcPr>
            <w:tcW w:type="dxa" w:w="2340"/>
          </w:tcPr>
          <w:p>
            <w:r>
              <w:rPr>
                <w:rFonts w:ascii="Arial" w:hAnsi="Arial"/>
                <w:sz w:val="20"/>
              </w:rPr>
              <w:t>Audit for hidden fees and poor service</w:t>
            </w:r>
          </w:p>
        </w:tc>
      </w:tr>
      <w:tr>
        <w:tc>
          <w:tcPr>
            <w:tcW w:type="dxa" w:w="2340"/>
          </w:tcPr>
          <w:p>
            <w:r>
              <w:rPr>
                <w:rFonts w:ascii="Arial" w:hAnsi="Arial"/>
                <w:sz w:val="20"/>
              </w:rPr>
              <w:t>4 Products</w:t>
            </w:r>
          </w:p>
        </w:tc>
        <w:tc>
          <w:tcPr>
            <w:tcW w:type="dxa" w:w="2340"/>
          </w:tcPr>
          <w:p>
            <w:r>
              <w:rPr>
                <w:rFonts w:ascii="Arial" w:hAnsi="Arial"/>
                <w:sz w:val="20"/>
              </w:rPr>
              <w:t>Extreme Risk (Near 100%)</w:t>
            </w:r>
          </w:p>
        </w:tc>
        <w:tc>
          <w:tcPr>
            <w:tcW w:type="dxa" w:w="2340"/>
          </w:tcPr>
          <w:p>
            <w:r>
              <w:rPr>
                <w:rFonts w:ascii="Arial" w:hAnsi="Arial"/>
                <w:sz w:val="20"/>
              </w:rPr>
              <w:t>Immediate Churn Danger</w:t>
            </w:r>
          </w:p>
        </w:tc>
        <w:tc>
          <w:tcPr>
            <w:tcW w:type="dxa" w:w="2340"/>
          </w:tcPr>
          <w:p>
            <w:r>
              <w:rPr>
                <w:rFonts w:ascii="Arial" w:hAnsi="Arial"/>
                <w:sz w:val="20"/>
              </w:rPr>
              <w:t>Immediate manager intervention</w:t>
            </w:r>
          </w:p>
        </w:tc>
      </w:tr>
    </w:tbl>
    <w:p>
      <w:pPr>
        <w:spacing w:before="240"/>
      </w:pPr>
    </w:p>
    <w:p>
      <w:pPr>
        <w:spacing w:before="360" w:after="120"/>
      </w:pPr>
      <w:r>
        <w:rPr>
          <w:rFonts w:ascii="Arial" w:hAnsi="Arial"/>
          <w:b/>
          <w:color w:val="003366"/>
          <w:sz w:val="28"/>
        </w:rPr>
        <w:t>SECTION 5: DEPLOYED WEB APPLICATION ARCHITECTURE</w:t>
      </w:r>
    </w:p>
    <w:p>
      <w:pPr>
        <w:spacing w:after="240" w:line="276" w:lineRule="auto"/>
      </w:pPr>
      <w:r>
        <w:rPr>
          <w:rFonts w:ascii="Arial" w:hAnsi="Arial"/>
          <w:color w:val="333333"/>
          <w:sz w:val="22"/>
        </w:rPr>
        <w:t>The analytical framework is paired with a production-ready Streamlit interactive application designed for real-time portfolio management. It features four primary operational modules: an Engagement Overview Panel for macro KPIs, a Product Curve Visualizer to map structural retention, a Premium At-Risk Radar to isolate volatile capital, and an RSI Scoring Panel to monitor baseline account stability.</w:t>
      </w:r>
    </w:p>
    <w:p>
      <w:pPr>
        <w:spacing w:before="360" w:after="120"/>
      </w:pPr>
      <w:r>
        <w:rPr>
          <w:rFonts w:ascii="Arial" w:hAnsi="Arial"/>
          <w:b/>
          <w:color w:val="003366"/>
          <w:sz w:val="28"/>
        </w:rPr>
        <w:t>SECTION 6: STRATEGIC POLICY RECOMMENDATIONS</w:t>
      </w:r>
    </w:p>
    <w:p>
      <w:pPr>
        <w:spacing w:after="240" w:line="276" w:lineRule="auto"/>
      </w:pPr>
      <w:r>
        <w:rPr>
          <w:rFonts w:ascii="Arial" w:hAnsi="Arial"/>
          <w:color w:val="333333"/>
          <w:sz w:val="22"/>
        </w:rPr>
        <w:t>1. De-Risk the Single-Product Portfolio: Design automated marketing campaigns to offer an optimal second product to single-product accounts to transition them into the high-retention 'Sweet Spot'.</w:t>
      </w:r>
    </w:p>
    <w:p>
      <w:pPr>
        <w:spacing w:after="240" w:line="276" w:lineRule="auto"/>
      </w:pPr>
      <w:r>
        <w:rPr>
          <w:rFonts w:ascii="Arial" w:hAnsi="Arial"/>
          <w:color w:val="333333"/>
          <w:sz w:val="22"/>
        </w:rPr>
        <w:t>2. Mitigate Silent Churn in High-Value Portfolios: Use the dashboard's At-Risk Radar to generate daily action lists for wealth managers to proactively contact high-balance, low-activity customers.</w:t>
      </w:r>
    </w:p>
    <w:p>
      <w:pPr>
        <w:spacing w:after="240" w:line="276" w:lineRule="auto"/>
      </w:pPr>
      <w:r>
        <w:rPr>
          <w:rFonts w:ascii="Arial" w:hAnsi="Arial"/>
          <w:color w:val="333333"/>
          <w:sz w:val="22"/>
        </w:rPr>
        <w:t>3. Restructure Multi-Product Service Bundles: Audit all current three- and four-product service packages. Streamline terms and remove hidden operational friction that damages customer trust.</w:t>
      </w:r>
    </w:p>
    <w:p>
      <w:pPr>
        <w:spacing w:before="360" w:after="120"/>
      </w:pPr>
      <w:r>
        <w:rPr>
          <w:rFonts w:ascii="Arial" w:hAnsi="Arial"/>
          <w:b/>
          <w:color w:val="003366"/>
          <w:sz w:val="28"/>
        </w:rPr>
        <w:t>SECTION 7: REGULATORY CONTEXT &amp; PROFESSIONAL DISCLAIMER</w:t>
      </w:r>
    </w:p>
    <w:p>
      <w:pPr>
        <w:spacing w:after="240" w:line="276" w:lineRule="auto"/>
      </w:pPr>
      <w:r>
        <w:rPr>
          <w:rFonts w:ascii="Arial" w:hAnsi="Arial"/>
          <w:color w:val="333333"/>
          <w:sz w:val="22"/>
        </w:rPr>
        <w:t>This framework and the accompanying live analytics application have been engineered strictly for analytical validation and institutional reporting simulation by Shivansh Agrawal. The metrics generated (ERR, RSI, HBDR) serve as behavioral heatmaps to evaluate the underlying liquidity stability of retail deposit portfolios. All data processing models align with institutional data protection standards and macro-prudential reporting guidelines recommended for sovereign central banking reviews.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