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Samvardhana Motherson International Ltd.</w:t>
        <w:br/>
        <w:t>DCF Investment Report</w:t>
      </w:r>
    </w:p>
    <w:p>
      <w:pPr>
        <w:jc w:val="center"/>
      </w:pPr>
      <w:r>
        <w:rPr>
          <w:i/>
        </w:rPr>
        <w:t>Valuation date: 10-Sep-2026</w:t>
      </w:r>
    </w:p>
    <w:p>
      <w:pPr>
        <w:pStyle w:val="Heading1"/>
      </w:pPr>
      <w:r>
        <w:t>Executive Summary</w:t>
      </w:r>
    </w:p>
    <w:p>
      <w:r>
        <w:t>The base-case DCF indicates approximately ₹62.41 per share versus a market price of ₹162.71. The market therefore trades at a 61.6% premium to the standalone base DCF. The gap represents the level of growth, margin expansion, reinvestment efficiency and risk discount that the market price implies relative to the base case.</w:t>
      </w:r>
    </w:p>
    <w:p>
      <w:pPr>
        <w:pStyle w:val="Heading1"/>
      </w:pPr>
      <w:r>
        <w:t>Valuation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price</w:t>
            </w:r>
          </w:p>
        </w:tc>
        <w:tc>
          <w:tcPr>
            <w:tcW w:type="dxa" w:w="4320"/>
          </w:tcPr>
          <w:p>
            <w:r>
              <w:t>₹162.71</w:t>
            </w:r>
          </w:p>
        </w:tc>
      </w:tr>
      <w:tr>
        <w:tc>
          <w:tcPr>
            <w:tcW w:type="dxa" w:w="4320"/>
          </w:tcPr>
          <w:p>
            <w:r>
              <w:t>Base DCF / share</w:t>
            </w:r>
          </w:p>
        </w:tc>
        <w:tc>
          <w:tcPr>
            <w:tcW w:type="dxa" w:w="4320"/>
          </w:tcPr>
          <w:p>
            <w:r>
              <w:t>₹62.41</w:t>
            </w:r>
          </w:p>
        </w:tc>
      </w:tr>
      <w:tr>
        <w:tc>
          <w:tcPr>
            <w:tcW w:type="dxa" w:w="4320"/>
          </w:tcPr>
          <w:p>
            <w:r>
              <w:t>Enterprise value</w:t>
            </w:r>
          </w:p>
        </w:tc>
        <w:tc>
          <w:tcPr>
            <w:tcW w:type="dxa" w:w="4320"/>
          </w:tcPr>
          <w:p>
            <w:r>
              <w:t>₹74,252 cr</w:t>
            </w:r>
          </w:p>
        </w:tc>
      </w:tr>
      <w:tr>
        <w:tc>
          <w:tcPr>
            <w:tcW w:type="dxa" w:w="4320"/>
          </w:tcPr>
          <w:p>
            <w:r>
              <w:t>Equity value</w:t>
            </w:r>
          </w:p>
        </w:tc>
        <w:tc>
          <w:tcPr>
            <w:tcW w:type="dxa" w:w="4320"/>
          </w:tcPr>
          <w:p>
            <w:r>
              <w:t>₹65,873 cr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~12.95%</w:t>
            </w:r>
          </w:p>
        </w:tc>
      </w:tr>
      <w:tr>
        <w:tc>
          <w:tcPr>
            <w:tcW w:type="dxa" w:w="4320"/>
          </w:tcPr>
          <w:p>
            <w:r>
              <w:t>Terminal growth</w:t>
            </w:r>
          </w:p>
        </w:tc>
        <w:tc>
          <w:tcPr>
            <w:tcW w:type="dxa" w:w="4320"/>
          </w:tcPr>
          <w:p>
            <w:r>
              <w:t>4.0%</w:t>
            </w:r>
          </w:p>
        </w:tc>
      </w:tr>
    </w:tbl>
    <w:p>
      <w:pPr>
        <w:pStyle w:val="Heading1"/>
      </w:pPr>
      <w:r>
        <w:t>Operating Outlook</w:t>
      </w:r>
    </w:p>
    <w:p>
      <w:r>
        <w:t>FY26 revenue is approximately ₹126,104 crore and reported EBITDA is approximately ₹12,033 crore. Base-case revenue growth moderates from 10.0% in FY27E to 7.0% in FY31E, while EBITDA margin rises from 10.2% to 11.0%.</w:t>
      </w:r>
    </w:p>
    <w:p>
      <w:r>
        <w:drawing>
          <wp:inline xmlns:a="http://schemas.openxmlformats.org/drawingml/2006/main" xmlns:pic="http://schemas.openxmlformats.org/drawingml/2006/picture">
            <wp:extent cx="5852160" cy="3209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historical_forec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209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itda_mar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FCFF and DCF</w:t>
      </w:r>
    </w:p>
    <w:p>
      <w:r>
        <w:t>FCFF is built from NOPAT, plus D&amp;A, less CapEx and change in operating NWC. Financing costs are excluded from FCFF and reflected through WACC.</w:t>
      </w:r>
    </w:p>
    <w:p>
      <w:r>
        <w:drawing>
          <wp:inline xmlns:a="http://schemas.openxmlformats.org/drawingml/2006/main" xmlns:pic="http://schemas.openxmlformats.org/drawingml/2006/picture">
            <wp:extent cx="5852160" cy="3209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ff_forec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2093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bri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Scenario Analysis</w:t>
      </w:r>
    </w:p>
    <w:p>
      <w:r>
        <w:t>Bear: ₹32.13/share; Base: ₹62.41/share; Bull: ₹96.31/share.</w:t>
      </w:r>
    </w:p>
    <w:p>
      <w:r>
        <w:drawing>
          <wp:inline xmlns:a="http://schemas.openxmlformats.org/drawingml/2006/main" xmlns:pic="http://schemas.openxmlformats.org/drawingml/2006/picture">
            <wp:extent cx="5852160" cy="3618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val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Sensitivity</w:t>
      </w:r>
    </w:p>
    <w:p>
      <w:r>
        <w:t>The sensitivity matrix varies WACC from 10% to 14% and terminal growth from 2.0% to 4.0%.</w:t>
      </w:r>
    </w:p>
    <w:p>
      <w:r>
        <w:drawing>
          <wp:inline xmlns:a="http://schemas.openxmlformats.org/drawingml/2006/main" xmlns:pic="http://schemas.openxmlformats.org/drawingml/2006/picture">
            <wp:extent cx="5852160" cy="45449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4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Risks and Catalysts</w:t>
      </w:r>
    </w:p>
    <w:p>
      <w:r>
        <w:t>Risks include weaker OEM volumes, margin pressure, integration/execution issues, higher capital intensity and a higher required return. Catalysts include sustained margin improvement, stronger program wins, operating leverage and better cash conversion.</w:t>
      </w:r>
    </w:p>
    <w:p>
      <w:pPr>
        <w:pStyle w:val="Heading1"/>
      </w:pPr>
      <w:r>
        <w:t>Methodology and Limitations</w:t>
      </w:r>
    </w:p>
    <w:p>
      <w:r>
        <w:t>The workbook uses a five-year FCFF DCF with Gordon Growth terminal value, peer-derived bottom-up beta, comparable-company cross-checks and dynamic scenario analysis. The balance-sheet analysis is a selected operating working-capital view rather than a full three-statement balance-sheet forecast.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