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MOTHERSON — ONE-PAGE INVESTMENT MEMO</w:t>
      </w:r>
    </w:p>
    <w:p>
      <w:r>
        <w:t>10-Sep-2026 | Market price ₹162.71 | Base DCF ₹62.41/share</w:t>
      </w:r>
    </w:p>
    <w:p>
      <w:pPr>
        <w:pStyle w:val="Heading1"/>
      </w:pPr>
      <w:r>
        <w:t>Investment View</w:t>
      </w:r>
    </w:p>
    <w:p>
      <w:r>
        <w:t>The base DCF is below the market price. The valuation therefore requires stronger long-term cash-flow execution than the base case. Scenario values span approximately ₹32.13 to ₹96.31 per share.</w:t>
      </w:r>
    </w:p>
    <w:p>
      <w:pPr>
        <w:pStyle w:val="Heading1"/>
      </w:pPr>
      <w:r>
        <w:t>What Has to Go Right</w:t>
      </w:r>
    </w:p>
    <w:p>
      <w:pPr>
        <w:pStyle w:val="ListBullet"/>
      </w:pPr>
      <w:r>
        <w:t>Revenue growth remains resilient.</w:t>
      </w:r>
    </w:p>
    <w:p>
      <w:pPr>
        <w:pStyle w:val="ListBullet"/>
      </w:pPr>
      <w:r>
        <w:t>EBITDA margins continue to improve.</w:t>
      </w:r>
    </w:p>
    <w:p>
      <w:pPr>
        <w:pStyle w:val="ListBullet"/>
      </w:pPr>
      <w:r>
        <w:t>CapEx and working-capital intensity remain controlled.</w:t>
      </w:r>
    </w:p>
    <w:p>
      <w:pPr>
        <w:pStyle w:val="ListBullet"/>
      </w:pPr>
      <w:r>
        <w:t>Risk/discount assumptions remain supportive.</w:t>
      </w:r>
    </w:p>
    <w:p>
      <w:pPr>
        <w:pStyle w:val="Heading1"/>
      </w:pPr>
      <w:r>
        <w:t>What Can Go Wrong</w:t>
      </w:r>
    </w:p>
    <w:p>
      <w:pPr>
        <w:pStyle w:val="ListBullet"/>
      </w:pPr>
      <w:r>
        <w:t>OEM volume or mix weakness.</w:t>
      </w:r>
    </w:p>
    <w:p>
      <w:pPr>
        <w:pStyle w:val="ListBullet"/>
      </w:pPr>
      <w:r>
        <w:t>Margin compression or execution/integration issues.</w:t>
      </w:r>
    </w:p>
    <w:p>
      <w:pPr>
        <w:pStyle w:val="ListBullet"/>
      </w:pPr>
      <w:r>
        <w:t>Higher reinvestment or working-capital requirements.</w:t>
      </w:r>
    </w:p>
    <w:p>
      <w:pPr>
        <w:pStyle w:val="ListBullet"/>
      </w:pPr>
      <w:r>
        <w:t>Higher WACC or lower terminal growth.</w:t>
      </w:r>
    </w:p>
    <w:p>
      <w:pPr>
        <w:pStyle w:val="Heading1"/>
      </w:pPr>
      <w:r>
        <w:t>Valuation</w:t>
      </w:r>
    </w:p>
    <w:p>
      <w:r>
        <w:t>Market price: ₹162.71 | Base DCF: ₹62.41 | WACC: ~12.95% | Terminal growth: 4.0%</w:t>
      </w:r>
    </w:p>
    <w:p>
      <w:r>
        <w:t>See the full workbook for assumptions, sources, peer multiples, sensitivity and model checks.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