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Aptos Display" w:hAnsi="Aptos Display"/>
          <w:b/>
          <w:color w:val="12304A"/>
          <w:sz w:val="62"/>
        </w:rPr>
        <w:t>CHARGESHARE</w:t>
      </w:r>
    </w:p>
    <w:p>
      <w:pPr>
        <w:jc w:val="center"/>
      </w:pPr>
      <w:r>
        <w:rPr>
          <w:b/>
          <w:color w:val="087E8B"/>
          <w:sz w:val="26"/>
        </w:rPr>
        <w:t>SMART EV CHARGING + NEARBY CHARGER SHARING</w:t>
      </w:r>
    </w:p>
    <w:p>
      <w:pPr>
        <w:jc w:val="center"/>
      </w:pPr>
      <w:r>
        <w:rPr>
          <w:b/>
          <w:sz w:val="28"/>
        </w:rPr>
        <w:t>PRODUCT REQUIREMENTS DOCUMENT</w:t>
      </w:r>
    </w:p>
    <w:p>
      <w:pPr>
        <w:jc w:val="center"/>
      </w:pPr>
      <w:r>
        <w:t>D01  |  Version 2.1  |  Final scope baseline for team handoff  |  23 October 2026</w:t>
      </w:r>
    </w:p>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088"/>
            <w:vAlign w:val="center"/>
            <w:shd w:fill="12304A"/>
          </w:tcPr>
          <w:p>
            <w:pPr>
              <w:widowControl/>
              <w:spacing w:after="0"/>
            </w:pPr>
            <w:r/>
            <w:r>
              <w:rPr>
                <w:rFonts w:ascii="Aptos" w:hAnsi="Aptos"/>
                <w:b/>
                <w:color w:val="FFFFFF"/>
                <w:sz w:val="16"/>
              </w:rPr>
              <w:t>Project detail</w:t>
            </w:r>
          </w:p>
        </w:tc>
        <w:tc>
          <w:tcPr>
            <w:tcW w:type="dxa" w:w="8280"/>
            <w:vAlign w:val="center"/>
            <w:shd w:fill="12304A"/>
          </w:tcPr>
          <w:p>
            <w:pPr>
              <w:widowControl/>
              <w:spacing w:after="0"/>
            </w:pPr>
            <w:r/>
            <w:r>
              <w:rPr>
                <w:rFonts w:ascii="Aptos" w:hAnsi="Aptos"/>
                <w:b/>
                <w:color w:val="FFFFFF"/>
                <w:sz w:val="16"/>
              </w:rPr>
              <w:t>Definition</w:t>
            </w:r>
          </w:p>
        </w:tc>
      </w:tr>
      <w:tr>
        <w:trPr>
          <w:cantSplit/>
        </w:trPr>
        <w:tc>
          <w:tcPr>
            <w:tcW w:type="dxa" w:w="2088"/>
            <w:vAlign w:val="center"/>
          </w:tcPr>
          <w:p>
            <w:pPr>
              <w:widowControl/>
              <w:spacing w:after="0"/>
            </w:pPr>
            <w:r/>
            <w:r>
              <w:rPr>
                <w:rFonts w:ascii="Aptos" w:hAnsi="Aptos"/>
                <w:b w:val="0"/>
                <w:sz w:val="16"/>
              </w:rPr>
              <w:t>Product</w:t>
            </w:r>
          </w:p>
        </w:tc>
        <w:tc>
          <w:tcPr>
            <w:tcW w:type="dxa" w:w="8280"/>
            <w:vAlign w:val="center"/>
          </w:tcPr>
          <w:p>
            <w:pPr>
              <w:widowControl/>
              <w:spacing w:after="0"/>
            </w:pPr>
            <w:r/>
            <w:r>
              <w:rPr>
                <w:rFonts w:ascii="Aptos" w:hAnsi="Aptos"/>
                <w:b w:val="0"/>
                <w:sz w:val="16"/>
              </w:rPr>
              <w:t>ChargeShare — a smart EV charging decision-support tool with a planned peer-to-peer charger-sharing extension.</w:t>
            </w:r>
          </w:p>
        </w:tc>
      </w:tr>
      <w:tr>
        <w:trPr>
          <w:cantSplit/>
        </w:trPr>
        <w:tc>
          <w:tcPr>
            <w:tcW w:type="dxa" w:w="2088"/>
            <w:vAlign w:val="center"/>
            <w:shd w:fill="F1F6F8"/>
          </w:tcPr>
          <w:p>
            <w:pPr>
              <w:widowControl/>
              <w:spacing w:after="0"/>
            </w:pPr>
            <w:r/>
            <w:r>
              <w:rPr>
                <w:rFonts w:ascii="Aptos" w:hAnsi="Aptos"/>
                <w:b w:val="0"/>
                <w:sz w:val="16"/>
              </w:rPr>
              <w:t>Core problem</w:t>
            </w:r>
          </w:p>
        </w:tc>
        <w:tc>
          <w:tcPr>
            <w:tcW w:type="dxa" w:w="8280"/>
            <w:vAlign w:val="center"/>
            <w:shd w:fill="F1F6F8"/>
          </w:tcPr>
          <w:p>
            <w:pPr>
              <w:widowControl/>
              <w:spacing w:after="0"/>
            </w:pPr>
            <w:r/>
            <w:r>
              <w:rPr>
                <w:rFonts w:ascii="Aptos" w:hAnsi="Aptos"/>
                <w:b w:val="0"/>
                <w:sz w:val="16"/>
              </w:rPr>
              <w:t>Overlapping EV charging sessions can create evening demand peaks and overload local distribution transformers.</w:t>
            </w:r>
          </w:p>
        </w:tc>
      </w:tr>
      <w:tr>
        <w:trPr>
          <w:cantSplit/>
        </w:trPr>
        <w:tc>
          <w:tcPr>
            <w:tcW w:type="dxa" w:w="2088"/>
            <w:vAlign w:val="center"/>
          </w:tcPr>
          <w:p>
            <w:pPr>
              <w:widowControl/>
              <w:spacing w:after="0"/>
            </w:pPr>
            <w:r/>
            <w:r>
              <w:rPr>
                <w:rFonts w:ascii="Aptos" w:hAnsi="Aptos"/>
                <w:b w:val="0"/>
                <w:sz w:val="16"/>
              </w:rPr>
              <w:t>Secondary problem</w:t>
            </w:r>
          </w:p>
        </w:tc>
        <w:tc>
          <w:tcPr>
            <w:tcW w:type="dxa" w:w="8280"/>
            <w:vAlign w:val="center"/>
          </w:tcPr>
          <w:p>
            <w:pPr>
              <w:widowControl/>
              <w:spacing w:after="0"/>
            </w:pPr>
            <w:r/>
            <w:r>
              <w:rPr>
                <w:rFonts w:ascii="Aptos" w:hAnsi="Aptos"/>
                <w:b w:val="0"/>
                <w:sz w:val="16"/>
              </w:rPr>
              <w:t>Drivers may have too little battery range to reach the next public charger, while privately owned chargers may sit unused for much of the day.</w:t>
            </w:r>
          </w:p>
        </w:tc>
      </w:tr>
      <w:tr>
        <w:trPr>
          <w:cantSplit/>
        </w:trPr>
        <w:tc>
          <w:tcPr>
            <w:tcW w:type="dxa" w:w="2088"/>
            <w:vAlign w:val="center"/>
            <w:shd w:fill="F1F6F8"/>
          </w:tcPr>
          <w:p>
            <w:pPr>
              <w:widowControl/>
              <w:spacing w:after="0"/>
            </w:pPr>
            <w:r/>
            <w:r>
              <w:rPr>
                <w:rFonts w:ascii="Aptos" w:hAnsi="Aptos"/>
                <w:b w:val="0"/>
                <w:sz w:val="16"/>
              </w:rPr>
              <w:t>Delivery target</w:t>
            </w:r>
          </w:p>
        </w:tc>
        <w:tc>
          <w:tcPr>
            <w:tcW w:type="dxa" w:w="8280"/>
            <w:vAlign w:val="center"/>
            <w:shd w:fill="F1F6F8"/>
          </w:tcPr>
          <w:p>
            <w:pPr>
              <w:widowControl/>
              <w:spacing w:after="0"/>
            </w:pPr>
            <w:r/>
            <w:r>
              <w:rPr>
                <w:rFonts w:ascii="Aptos" w:hAnsi="Aptos"/>
                <w:b w:val="0"/>
                <w:sz w:val="16"/>
              </w:rPr>
              <w:t>A credible, working hackathon prototype built primarily with AI-assisted development and free-tier tools.</w:t>
            </w:r>
          </w:p>
        </w:tc>
      </w:tr>
      <w:tr>
        <w:trPr>
          <w:cantSplit/>
        </w:trPr>
        <w:tc>
          <w:tcPr>
            <w:tcW w:type="dxa" w:w="2088"/>
            <w:vAlign w:val="center"/>
          </w:tcPr>
          <w:p>
            <w:pPr>
              <w:widowControl/>
              <w:spacing w:after="0"/>
            </w:pPr>
            <w:r/>
            <w:r>
              <w:rPr>
                <w:rFonts w:ascii="Aptos" w:hAnsi="Aptos"/>
                <w:b w:val="0"/>
                <w:sz w:val="16"/>
              </w:rPr>
              <w:t>Team</w:t>
            </w:r>
          </w:p>
        </w:tc>
        <w:tc>
          <w:tcPr>
            <w:tcW w:type="dxa" w:w="8280"/>
            <w:vAlign w:val="center"/>
          </w:tcPr>
          <w:p>
            <w:pPr>
              <w:widowControl/>
              <w:spacing w:after="0"/>
            </w:pPr>
            <w:r/>
            <w:r>
              <w:rPr>
                <w:rFonts w:ascii="Aptos" w:hAnsi="Aptos"/>
                <w:b w:val="0"/>
                <w:sz w:val="16"/>
              </w:rPr>
              <w:t>Three members using Antigravity, ChatGPT, GitHub and selected free-tier services.</w:t>
            </w:r>
          </w:p>
        </w:tc>
      </w:tr>
      <w:tr>
        <w:trPr>
          <w:cantSplit/>
        </w:trPr>
        <w:tc>
          <w:tcPr>
            <w:tcW w:type="dxa" w:w="2088"/>
            <w:vAlign w:val="center"/>
            <w:shd w:fill="F1F6F8"/>
          </w:tcPr>
          <w:p>
            <w:pPr>
              <w:widowControl/>
              <w:spacing w:after="0"/>
            </w:pPr>
            <w:r/>
            <w:r>
              <w:rPr>
                <w:rFonts w:ascii="Aptos" w:hAnsi="Aptos"/>
                <w:b w:val="0"/>
                <w:sz w:val="16"/>
              </w:rPr>
              <w:t>Product rule</w:t>
            </w:r>
          </w:p>
        </w:tc>
        <w:tc>
          <w:tcPr>
            <w:tcW w:type="dxa" w:w="8280"/>
            <w:vAlign w:val="center"/>
            <w:shd w:fill="F1F6F8"/>
          </w:tcPr>
          <w:p>
            <w:pPr>
              <w:widowControl/>
              <w:spacing w:after="0"/>
            </w:pPr>
            <w:r/>
            <w:r>
              <w:rPr>
                <w:rFonts w:ascii="Aptos" w:hAnsi="Aptos"/>
                <w:b w:val="0"/>
                <w:sz w:val="16"/>
              </w:rPr>
              <w:t>Core grid-aware scheduling first; charger discovery/sharing is an extension and must not prevent the core problem from working.</w:t>
            </w:r>
          </w:p>
        </w:tc>
      </w:tr>
      <w:tr>
        <w:trPr>
          <w:cantSplit/>
        </w:trPr>
        <w:tc>
          <w:tcPr>
            <w:tcW w:type="dxa" w:w="2088"/>
            <w:vAlign w:val="center"/>
          </w:tcPr>
          <w:p>
            <w:pPr>
              <w:widowControl/>
              <w:spacing w:after="0"/>
            </w:pPr>
            <w:r/>
            <w:r>
              <w:rPr>
                <w:rFonts w:ascii="Aptos" w:hAnsi="Aptos"/>
                <w:b w:val="0"/>
                <w:sz w:val="16"/>
              </w:rPr>
              <w:t>Data honesty</w:t>
            </w:r>
          </w:p>
        </w:tc>
        <w:tc>
          <w:tcPr>
            <w:tcW w:type="dxa" w:w="8280"/>
            <w:vAlign w:val="center"/>
          </w:tcPr>
          <w:p>
            <w:pPr>
              <w:widowControl/>
              <w:spacing w:after="0"/>
            </w:pPr>
            <w:r/>
            <w:r>
              <w:rPr>
                <w:rFonts w:ascii="Aptos" w:hAnsi="Aptos"/>
                <w:b w:val="0"/>
                <w:sz w:val="16"/>
              </w:rPr>
              <w:t>Clearly label public data, simulated data, estimates and unverified availability.</w:t>
            </w:r>
          </w:p>
        </w:tc>
      </w:tr>
    </w:tbl>
    <w:p>
      <w:pPr>
        <w:spacing w:after="0"/>
      </w:pPr>
    </w:p>
    <w:p>
      <w:pPr>
        <w:jc w:val="center"/>
      </w:pPr>
      <w:r>
        <w:rPr>
          <w:i/>
          <w:color w:val="087E8B"/>
        </w:rPr>
        <w:t>One product, two connected value propositions, staged delivery.</w:t>
      </w:r>
    </w:p>
    <w:p>
      <w:r>
        <w:br w:type="page"/>
      </w:r>
    </w:p>
    <w:p>
      <w:pPr>
        <w:pStyle w:val="Heading1"/>
        <w:keepNext/>
      </w:pPr>
      <w:r>
        <w:t>1. Executive summary</w:t>
      </w:r>
    </w:p>
    <w:p>
      <w:r>
        <w:t>ChargeShare is a Smart EV Charging prototype for hackathon problem #053. Its primary function is to reduce simulated local electricity-demand peaks by recommending feasible EV charging times and applying transparent demand-responsive illustrative pricing or incentives. It combines public electricity-demand context, where access is verified, with a simulation of a local transformer, background load and EV charging sessions.</w:t>
      </w:r>
    </w:p>
    <w:p>
      <w:r>
        <w:t>The product also has a planned extension: a nearby private-charger discovery and sharing network. A driver with critically low battery may need a compatible charging point before reaching the next public station. Meanwhile, owners of private EV chargers may use them for only a few hours per day. ChargeShare could help those owners offer available charging time to nearby EV drivers, subject to compatibility, availability, safe access, host consent and applicable rules.</w:t>
      </w:r>
    </w:p>
    <w:tbl>
      <w:tblPr>
        <w:tblStyle w:val="TableGrid"/>
        <w:tblW w:type="auto" w:w="0"/>
        <w:tblLook w:firstColumn="1" w:firstRow="1" w:lastColumn="0" w:lastRow="0" w:noHBand="0" w:noVBand="1" w:val="04A0"/>
      </w:tblPr>
      <w:tblGrid>
        <w:gridCol w:w="10166"/>
      </w:tblGrid>
      <w:tr>
        <w:trPr>
          <w:cantSplit/>
        </w:trPr>
        <w:tc>
          <w:tcPr>
            <w:tcW w:type="dxa" w:w="10166"/>
            <w:shd w:fill="EAF4F5"/>
          </w:tcPr>
          <w:p>
            <w:pPr>
              <w:widowControl/>
              <w:spacing w:after="40"/>
            </w:pPr>
            <w:r/>
            <w:r>
              <w:rPr>
                <w:rFonts w:ascii="Aptos" w:hAnsi="Aptos"/>
                <w:color w:val="12304A"/>
                <w:sz w:val="18"/>
              </w:rPr>
              <w:t>Scope guardrail: The grid-demand and smart-scheduling workflow is the hackathon MVP priority. Nearby charger sharing is included in the product vision and PRD, but the full real-world marketplace, payments and verified bookings should only be implemented after the core workflow is stable. A lightweight discovery prototype may be shown if time allows.</w:t>
            </w:r>
          </w:p>
        </w:tc>
      </w:tr>
    </w:tbl>
    <w:p>
      <w:pPr>
        <w:spacing w:after="0"/>
      </w:pPr>
    </w:p>
    <w:p>
      <w:pPr>
        <w:pStyle w:val="Heading1"/>
        <w:keepNext/>
      </w:pPr>
      <w:r>
        <w:t>2. Problem statement</w:t>
      </w:r>
    </w:p>
    <w:p>
      <w:pPr>
        <w:pStyle w:val="Heading2"/>
        <w:keepNext/>
      </w:pPr>
      <w:r>
        <w:t>2.1 Primary problem — grid demand peaks</w:t>
      </w:r>
    </w:p>
    <w:p>
      <w:r>
        <w:t>When many EVs charge simultaneously, especially during evening hours, their combined load can increase local demand and potentially exceed a distribution transformer's configured capacity. Drivers need feasible incentives to shift charging; an operator or evaluator needs to see whether rescheduling reduces the peak without violating driver requirements.</w:t>
      </w:r>
    </w:p>
    <w:p>
      <w:pPr>
        <w:pStyle w:val="Heading2"/>
        <w:keepNext/>
      </w:pPr>
      <w:r>
        <w:t>2.2 Extension problem — charging access and underused private chargers</w:t>
      </w:r>
    </w:p>
    <w:p>
      <w:r>
        <w:t>A driver may be travelling with very low remaining battery (for example, 4–10%) and discover that the next public charging station is beyond their safe remaining range. If no public charger is reachable, the driver needs to discover a nearby, compatible alternative. At the same time, a home, business or other private charger may remain unused for much of the day after its owner's vehicle has finished charging. With the owner's permission, that spare capacity could be made available to compatible drivers for a time-limited booking or paid charging session.</w:t>
      </w:r>
    </w:p>
    <w:p>
      <w:r>
        <w:t>The extension is conceptually similar to a peer-to-peer accommodation marketplace, but for EV charging: hosts list charger details and available time windows; drivers find compatible nearby chargers, request or book a slot, and agree to the applicable price and access conditions. It must not imply that every home charger is publicly accessible or available at all times.</w:t>
      </w:r>
    </w:p>
    <w:p>
      <w:pPr>
        <w:pStyle w:val="Heading1"/>
        <w:keepNext/>
      </w:pPr>
      <w:r>
        <w:t>3. Product goals</w:t>
      </w:r>
    </w:p>
    <w:p>
      <w:pPr>
        <w:pStyle w:val="ListBullet"/>
        <w:spacing w:after="20"/>
      </w:pPr>
      <w:r>
        <w:t>Demonstrate that demand-aware scheduling can lower the simulated local peak while meeting feasible EV energy and deadline requirements.</w:t>
      </w:r>
    </w:p>
    <w:p>
      <w:pPr>
        <w:pStyle w:val="ListBullet"/>
        <w:spacing w:after="20"/>
      </w:pPr>
      <w:r>
        <w:t>Make the demand, price/incentive rule, scheduling decision and before/after impact understandable to a hackathon judge.</w:t>
      </w:r>
    </w:p>
    <w:p>
      <w:pPr>
        <w:pStyle w:val="ListBullet"/>
        <w:spacing w:after="20"/>
      </w:pPr>
      <w:r>
        <w:t>Keep the core demo usable even when the external public grid-data API is unavailable.</w:t>
      </w:r>
    </w:p>
    <w:p>
      <w:pPr>
        <w:pStyle w:val="ListBullet"/>
        <w:spacing w:after="20"/>
      </w:pPr>
      <w:r>
        <w:t>Define a credible path to a nearby compatible private-charger discovery and sharing extension for drivers who cannot reach a public station.</w:t>
      </w:r>
    </w:p>
    <w:p>
      <w:pPr>
        <w:pStyle w:val="ListBullet"/>
        <w:spacing w:after="20"/>
      </w:pPr>
      <w:r>
        <w:t>Help private charger owners make opted-in spare charging time discoverable, with clear availability, compatibility and price information.</w:t>
      </w:r>
    </w:p>
    <w:p>
      <w:pPr>
        <w:pStyle w:val="Heading1"/>
        <w:keepNext/>
      </w:pPr>
      <w:r>
        <w:t>4. Target users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664"/>
            <w:vAlign w:val="center"/>
            <w:shd w:fill="12304A"/>
          </w:tcPr>
          <w:p>
            <w:pPr>
              <w:widowControl/>
              <w:spacing w:after="0"/>
            </w:pPr>
            <w:r/>
            <w:r>
              <w:rPr>
                <w:rFonts w:ascii="Aptos" w:hAnsi="Aptos"/>
                <w:b/>
                <w:color w:val="FFFFFF"/>
                <w:sz w:val="16"/>
              </w:rPr>
              <w:t>User</w:t>
            </w:r>
          </w:p>
        </w:tc>
        <w:tc>
          <w:tcPr>
            <w:tcW w:type="dxa" w:w="7704"/>
            <w:vAlign w:val="center"/>
            <w:shd w:fill="12304A"/>
          </w:tcPr>
          <w:p>
            <w:pPr>
              <w:widowControl/>
              <w:spacing w:after="0"/>
            </w:pPr>
            <w:r/>
            <w:r>
              <w:rPr>
                <w:rFonts w:ascii="Aptos" w:hAnsi="Aptos"/>
                <w:b/>
                <w:color w:val="FFFFFF"/>
                <w:sz w:val="16"/>
              </w:rPr>
              <w:t>Need</w:t>
            </w:r>
          </w:p>
        </w:tc>
      </w:tr>
      <w:tr>
        <w:trPr>
          <w:cantSplit/>
        </w:trPr>
        <w:tc>
          <w:tcPr>
            <w:tcW w:type="dxa" w:w="2664"/>
            <w:vAlign w:val="center"/>
          </w:tcPr>
          <w:p>
            <w:pPr>
              <w:widowControl/>
              <w:spacing w:after="0"/>
            </w:pPr>
            <w:r/>
            <w:r>
              <w:rPr>
                <w:rFonts w:ascii="Aptos" w:hAnsi="Aptos"/>
                <w:b w:val="0"/>
                <w:sz w:val="16"/>
              </w:rPr>
              <w:t>EV driver planning a charge</w:t>
            </w:r>
          </w:p>
        </w:tc>
        <w:tc>
          <w:tcPr>
            <w:tcW w:type="dxa" w:w="7704"/>
            <w:vAlign w:val="center"/>
          </w:tcPr>
          <w:p>
            <w:pPr>
              <w:widowControl/>
              <w:spacing w:after="0"/>
            </w:pPr>
            <w:r/>
            <w:r>
              <w:rPr>
                <w:rFonts w:ascii="Aptos" w:hAnsi="Aptos"/>
                <w:b w:val="0"/>
                <w:sz w:val="16"/>
              </w:rPr>
              <w:t>Find a feasible lower-load charging time and understand the illustrative cost/incentive.</w:t>
            </w:r>
          </w:p>
        </w:tc>
      </w:tr>
      <w:tr>
        <w:trPr>
          <w:cantSplit/>
        </w:trPr>
        <w:tc>
          <w:tcPr>
            <w:tcW w:type="dxa" w:w="2664"/>
            <w:vAlign w:val="center"/>
            <w:shd w:fill="F1F6F8"/>
          </w:tcPr>
          <w:p>
            <w:pPr>
              <w:widowControl/>
              <w:spacing w:after="0"/>
            </w:pPr>
            <w:r/>
            <w:r>
              <w:rPr>
                <w:rFonts w:ascii="Aptos" w:hAnsi="Aptos"/>
                <w:b w:val="0"/>
                <w:sz w:val="16"/>
              </w:rPr>
              <w:t>Driver with low remaining range</w:t>
            </w:r>
          </w:p>
        </w:tc>
        <w:tc>
          <w:tcPr>
            <w:tcW w:type="dxa" w:w="7704"/>
            <w:vAlign w:val="center"/>
            <w:shd w:fill="F1F6F8"/>
          </w:tcPr>
          <w:p>
            <w:pPr>
              <w:widowControl/>
              <w:spacing w:after="0"/>
            </w:pPr>
            <w:r/>
            <w:r>
              <w:rPr>
                <w:rFonts w:ascii="Aptos" w:hAnsi="Aptos"/>
                <w:b w:val="0"/>
                <w:sz w:val="16"/>
              </w:rPr>
              <w:t>Find a nearby compatible charger before the next public station, with distance and availability clearly shown.</w:t>
            </w:r>
          </w:p>
        </w:tc>
      </w:tr>
      <w:tr>
        <w:trPr>
          <w:cantSplit/>
        </w:trPr>
        <w:tc>
          <w:tcPr>
            <w:tcW w:type="dxa" w:w="2664"/>
            <w:vAlign w:val="center"/>
          </w:tcPr>
          <w:p>
            <w:pPr>
              <w:widowControl/>
              <w:spacing w:after="0"/>
            </w:pPr>
            <w:r/>
            <w:r>
              <w:rPr>
                <w:rFonts w:ascii="Aptos" w:hAnsi="Aptos"/>
                <w:b w:val="0"/>
                <w:sz w:val="16"/>
              </w:rPr>
              <w:t>Private charger host</w:t>
            </w:r>
          </w:p>
        </w:tc>
        <w:tc>
          <w:tcPr>
            <w:tcW w:type="dxa" w:w="7704"/>
            <w:vAlign w:val="center"/>
          </w:tcPr>
          <w:p>
            <w:pPr>
              <w:widowControl/>
              <w:spacing w:after="0"/>
            </w:pPr>
            <w:r/>
            <w:r>
              <w:rPr>
                <w:rFonts w:ascii="Aptos" w:hAnsi="Aptos"/>
                <w:b w:val="0"/>
                <w:sz w:val="16"/>
              </w:rPr>
              <w:t>List charger capabilities, set availability and pricing, approve access and manage requests.</w:t>
            </w:r>
          </w:p>
        </w:tc>
      </w:tr>
      <w:tr>
        <w:trPr>
          <w:cantSplit/>
        </w:trPr>
        <w:tc>
          <w:tcPr>
            <w:tcW w:type="dxa" w:w="2664"/>
            <w:vAlign w:val="center"/>
            <w:shd w:fill="F1F6F8"/>
          </w:tcPr>
          <w:p>
            <w:pPr>
              <w:widowControl/>
              <w:spacing w:after="0"/>
            </w:pPr>
            <w:r/>
            <w:r>
              <w:rPr>
                <w:rFonts w:ascii="Aptos" w:hAnsi="Aptos"/>
                <w:b w:val="0"/>
                <w:sz w:val="16"/>
              </w:rPr>
              <w:t>Grid operator / hackathon evaluator</w:t>
            </w:r>
          </w:p>
        </w:tc>
        <w:tc>
          <w:tcPr>
            <w:tcW w:type="dxa" w:w="7704"/>
            <w:vAlign w:val="center"/>
            <w:shd w:fill="F1F6F8"/>
          </w:tcPr>
          <w:p>
            <w:pPr>
              <w:widowControl/>
              <w:spacing w:after="0"/>
            </w:pPr>
            <w:r/>
            <w:r>
              <w:rPr>
                <w:rFonts w:ascii="Aptos" w:hAnsi="Aptos"/>
                <w:b w:val="0"/>
                <w:sz w:val="16"/>
              </w:rPr>
              <w:t>Inspect local simulated loading, identify overload periods and compare calculated baseline and optimised results.</w:t>
            </w:r>
          </w:p>
        </w:tc>
      </w:tr>
      <w:tr>
        <w:trPr>
          <w:cantSplit/>
        </w:trPr>
        <w:tc>
          <w:tcPr>
            <w:tcW w:type="dxa" w:w="2664"/>
            <w:vAlign w:val="center"/>
          </w:tcPr>
          <w:p>
            <w:pPr>
              <w:widowControl/>
              <w:spacing w:after="0"/>
            </w:pPr>
            <w:r/>
            <w:r>
              <w:rPr>
                <w:rFonts w:ascii="Aptos" w:hAnsi="Aptos"/>
                <w:b w:val="0"/>
                <w:sz w:val="16"/>
              </w:rPr>
              <w:t>Hackathon judge</w:t>
            </w:r>
          </w:p>
        </w:tc>
        <w:tc>
          <w:tcPr>
            <w:tcW w:type="dxa" w:w="7704"/>
            <w:vAlign w:val="center"/>
          </w:tcPr>
          <w:p>
            <w:pPr>
              <w:widowControl/>
              <w:spacing w:after="0"/>
            </w:pPr>
            <w:r/>
            <w:r>
              <w:rPr>
                <w:rFonts w:ascii="Aptos" w:hAnsi="Aptos"/>
                <w:b w:val="0"/>
                <w:sz w:val="16"/>
              </w:rPr>
              <w:t>Verify the real-versus-simulated data distinction, core calculations, and the proposed value of the sharing extension.</w:t>
            </w:r>
          </w:p>
        </w:tc>
      </w:tr>
    </w:tbl>
    <w:p>
      <w:pPr>
        <w:spacing w:after="0"/>
      </w:pPr>
    </w:p>
    <w:p>
      <w:pPr>
        <w:pStyle w:val="Heading1"/>
        <w:keepNext/>
      </w:pPr>
      <w:r>
        <w:t>5. Delivery scope and priorities</w:t>
      </w:r>
    </w:p>
    <w:p>
      <w:pPr>
        <w:pStyle w:val="Heading2"/>
        <w:keepNext/>
      </w:pPr>
      <w:r>
        <w:t>P0 — Required hackathon MVP</w:t>
      </w:r>
    </w:p>
    <w:p>
      <w:pPr>
        <w:pStyle w:val="ListBullet"/>
        <w:spacing w:after="20"/>
      </w:pPr>
      <w:r>
        <w:t>Dashboard with public grid-demand context when a provider is verified; display the source and timestamp.</w:t>
      </w:r>
    </w:p>
    <w:p>
      <w:pPr>
        <w:pStyle w:val="ListBullet"/>
        <w:spacing w:after="20"/>
      </w:pPr>
      <w:r>
        <w:t>Simulated local transformer with configurable capacity, background load, EV sessions and time slots.</w:t>
      </w:r>
    </w:p>
    <w:p>
      <w:pPr>
        <w:pStyle w:val="ListBullet"/>
        <w:spacing w:after="20"/>
      </w:pPr>
      <w:r>
        <w:t>Demand classification with documented thresholds.</w:t>
      </w:r>
    </w:p>
    <w:p>
      <w:pPr>
        <w:pStyle w:val="ListBullet"/>
        <w:spacing w:after="20"/>
      </w:pPr>
      <w:r>
        <w:t>Transparent illustrative demand-responsive price or incentive calculation.</w:t>
      </w:r>
    </w:p>
    <w:p>
      <w:pPr>
        <w:pStyle w:val="ListBullet"/>
        <w:spacing w:after="20"/>
      </w:pPr>
      <w:r>
        <w:t>Charging request input: required energy, charger power, earliest available time and deadline.</w:t>
      </w:r>
    </w:p>
    <w:p>
      <w:pPr>
        <w:pStyle w:val="ListBullet"/>
        <w:spacing w:after="20"/>
      </w:pPr>
      <w:r>
        <w:t>Feasible charging recommendations that respect energy needs, charging power and deadline.</w:t>
      </w:r>
    </w:p>
    <w:p>
      <w:pPr>
        <w:pStyle w:val="ListBullet"/>
        <w:spacing w:after="20"/>
      </w:pPr>
      <w:r>
        <w:t>Calculated before/after peak-load and transformer-utilisation comparison.</w:t>
      </w:r>
    </w:p>
    <w:p>
      <w:pPr>
        <w:pStyle w:val="ListBullet"/>
        <w:spacing w:after="20"/>
      </w:pPr>
      <w:r>
        <w:t>Clearly labelled fallback dataset and repeatable scenarios.</w:t>
      </w:r>
    </w:p>
    <w:p>
      <w:pPr>
        <w:pStyle w:val="Heading2"/>
        <w:keepNext/>
      </w:pPr>
      <w:r>
        <w:t>P1 — Charger-sharing extension prototype (only after P0 works)</w:t>
      </w:r>
    </w:p>
    <w:p>
      <w:pPr>
        <w:pStyle w:val="ListBullet"/>
        <w:spacing w:after="20"/>
      </w:pPr>
      <w:r>
        <w:t>A map or searchable list of nearby listed chargers using sample/demo listings or verified listing data.</w:t>
      </w:r>
    </w:p>
    <w:p>
      <w:pPr>
        <w:pStyle w:val="ListBullet"/>
        <w:spacing w:after="20"/>
      </w:pPr>
      <w:r>
        <w:t>Search by location/radius and show distance, connector/vehicle compatibility, charging power, availability window and host-set price where known.</w:t>
      </w:r>
    </w:p>
    <w:p>
      <w:pPr>
        <w:pStyle w:val="ListBullet"/>
        <w:spacing w:after="20"/>
      </w:pPr>
      <w:r>
        <w:t>A low-battery assistance flow where the driver enters or confirms location, remaining range/battery context and vehicle/connector compatibility; show candidate chargers within a chosen radius.</w:t>
      </w:r>
    </w:p>
    <w:p>
      <w:pPr>
        <w:pStyle w:val="ListBullet"/>
        <w:spacing w:after="20"/>
      </w:pPr>
      <w:r>
        <w:t>A host listing flow for charger type, connector, power, supported vehicle/connector standards, available times, price and access instructions.</w:t>
      </w:r>
    </w:p>
    <w:p>
      <w:pPr>
        <w:pStyle w:val="ListBullet"/>
        <w:spacing w:after="20"/>
      </w:pPr>
      <w:r>
        <w:t>A simulated request/booking state such as Available → Requested → Accepted/Declined → Completed/Cancelled.</w:t>
      </w:r>
    </w:p>
    <w:p>
      <w:pPr>
        <w:pStyle w:val="ListBullet"/>
        <w:spacing w:after="20"/>
      </w:pPr>
      <w:r>
        <w:t>Clear labels for demo listings and unverified availability; no claim that a listing is live unless it is actually connected and verified.</w:t>
      </w:r>
    </w:p>
    <w:p>
      <w:pPr>
        <w:pStyle w:val="Heading2"/>
        <w:keepNext/>
      </w:pPr>
      <w:r>
        <w:t>P2 — Future product, not required for the hackathon MVP</w:t>
      </w:r>
    </w:p>
    <w:p>
      <w:pPr>
        <w:pStyle w:val="ListBullet"/>
        <w:spacing w:after="20"/>
      </w:pPr>
      <w:r>
        <w:t>Real payments, refunds, subscriptions and payouts.</w:t>
      </w:r>
    </w:p>
    <w:p>
      <w:pPr>
        <w:pStyle w:val="ListBullet"/>
        <w:spacing w:after="20"/>
      </w:pPr>
      <w:r>
        <w:t>Verified identity, host/driver trust and reputation workflows.</w:t>
      </w:r>
    </w:p>
    <w:p>
      <w:pPr>
        <w:pStyle w:val="ListBullet"/>
        <w:spacing w:after="20"/>
      </w:pPr>
      <w:r>
        <w:t>Live charger telemetry, remote charger control and automated session start/stop.</w:t>
      </w:r>
    </w:p>
    <w:p>
      <w:pPr>
        <w:pStyle w:val="ListBullet"/>
        <w:spacing w:after="20"/>
      </w:pPr>
      <w:r>
        <w:t>Production-grade navigation, roadside assistance dispatch or guaranteed rescue.</w:t>
      </w:r>
    </w:p>
    <w:p>
      <w:pPr>
        <w:pStyle w:val="ListBullet"/>
        <w:spacing w:after="20"/>
      </w:pPr>
      <w:r>
        <w:t>Production marketplace operations, dispute handling, insurance and regulatory workflows.</w:t>
      </w:r>
    </w:p>
    <w:p>
      <w:pPr>
        <w:pStyle w:val="ListBullet"/>
        <w:spacing w:after="20"/>
      </w:pPr>
      <w:r>
        <w:t>Dynamic marketplace pricing linked to live grid conditions, beyond a clearly labelled prototype.</w:t>
      </w:r>
    </w:p>
    <w:p>
      <w:pPr>
        <w:pStyle w:val="Heading1"/>
        <w:keepNext/>
      </w:pPr>
      <w:r>
        <w:t>6. Core user journeys</w:t>
      </w:r>
    </w:p>
    <w:p>
      <w:pPr>
        <w:pStyle w:val="Heading2"/>
        <w:keepNext/>
      </w:pPr>
      <w:r>
        <w:t>6.1 Smart charging journey</w:t>
      </w:r>
    </w:p>
    <w:p>
      <w:pPr>
        <w:pStyle w:val="ListNumber"/>
        <w:spacing w:after="20"/>
        <w:numPr>
          <w:ilvl w:val="0"/>
          <w:numId w:val="10"/>
        </w:numPr>
      </w:pPr>
      <w:r>
        <w:t>Open the dashboard and inspect the public demand reading if available, with its source and timestamp.</w:t>
      </w:r>
    </w:p>
    <w:p>
      <w:pPr>
        <w:pStyle w:val="ListNumber"/>
        <w:spacing w:after="20"/>
        <w:numPr>
          <w:ilvl w:val="0"/>
          <w:numId w:val="10"/>
        </w:numPr>
      </w:pPr>
      <w:r>
        <w:t>Choose a labelled local transformer scenario and inspect its capacity, background load and EV sessions.</w:t>
      </w:r>
    </w:p>
    <w:p>
      <w:pPr>
        <w:pStyle w:val="ListNumber"/>
        <w:spacing w:after="20"/>
        <w:numPr>
          <w:ilvl w:val="0"/>
          <w:numId w:val="10"/>
        </w:numPr>
      </w:pPr>
      <w:r>
        <w:t>Review the demand category and the illustrative rate/incentive produced by the documented rule.</w:t>
      </w:r>
    </w:p>
    <w:p>
      <w:pPr>
        <w:pStyle w:val="ListNumber"/>
        <w:spacing w:after="20"/>
        <w:numPr>
          <w:ilvl w:val="0"/>
          <w:numId w:val="10"/>
        </w:numPr>
      </w:pPr>
      <w:r>
        <w:t>Enter required energy, charger power, earliest start and completion deadline.</w:t>
      </w:r>
    </w:p>
    <w:p>
      <w:pPr>
        <w:pStyle w:val="ListNumber"/>
        <w:spacing w:after="20"/>
        <w:numPr>
          <w:ilvl w:val="0"/>
          <w:numId w:val="10"/>
        </w:numPr>
      </w:pPr>
      <w:r>
        <w:t>Run the scheduler and review the proposed slots, energy delivered, estimated cost and any constraint warnings.</w:t>
      </w:r>
    </w:p>
    <w:p>
      <w:pPr>
        <w:pStyle w:val="ListNumber"/>
        <w:spacing w:after="20"/>
        <w:numPr>
          <w:ilvl w:val="0"/>
          <w:numId w:val="10"/>
        </w:numPr>
      </w:pPr>
      <w:r>
        <w:t>Compare baseline and optimised load profiles, peak load, utilisation and any remaining overload.</w:t>
      </w:r>
    </w:p>
    <w:p>
      <w:pPr>
        <w:pStyle w:val="Heading2"/>
        <w:keepNext/>
      </w:pPr>
      <w:r>
        <w:t>6.2 Low-battery nearby charger journey (extension)</w:t>
      </w:r>
    </w:p>
    <w:p>
      <w:pPr>
        <w:pStyle w:val="ListNumber"/>
        <w:spacing w:after="20"/>
        <w:numPr>
          <w:ilvl w:val="0"/>
          <w:numId w:val="11"/>
        </w:numPr>
      </w:pPr>
      <w:r>
        <w:t>The driver opens Find a Nearby Charger and enters or confirms a location, vehicle/connector type and relevant charging need.</w:t>
      </w:r>
    </w:p>
    <w:p>
      <w:pPr>
        <w:pStyle w:val="ListNumber"/>
        <w:spacing w:after="20"/>
        <w:numPr>
          <w:ilvl w:val="0"/>
          <w:numId w:val="11"/>
        </w:numPr>
      </w:pPr>
      <w:r>
        <w:t>The tool displays nearby public stations and opted-in private-host listings that fall within the selected search radius.</w:t>
      </w:r>
    </w:p>
    <w:p>
      <w:pPr>
        <w:pStyle w:val="ListNumber"/>
        <w:spacing w:after="20"/>
        <w:numPr>
          <w:ilvl w:val="0"/>
          <w:numId w:val="11"/>
        </w:numPr>
      </w:pPr>
      <w:r>
        <w:t>Results show distance, connector compatibility, charging power, price and availability status where known; unknown fields are marked unknown, not guessed.</w:t>
      </w:r>
    </w:p>
    <w:p>
      <w:pPr>
        <w:pStyle w:val="ListNumber"/>
        <w:spacing w:after="20"/>
        <w:numPr>
          <w:ilvl w:val="0"/>
          <w:numId w:val="11"/>
        </w:numPr>
      </w:pPr>
      <w:r>
        <w:t>The driver selects a candidate and reviews host access conditions and the proposed time/price.</w:t>
      </w:r>
    </w:p>
    <w:p>
      <w:pPr>
        <w:pStyle w:val="ListNumber"/>
        <w:spacing w:after="20"/>
        <w:numPr>
          <w:ilvl w:val="0"/>
          <w:numId w:val="11"/>
        </w:numPr>
      </w:pPr>
      <w:r>
        <w:t>In the prototype, the driver may submit a simulated request; a real booking is not confirmed unless a real booking workflow exists.</w:t>
      </w:r>
    </w:p>
    <w:p>
      <w:pPr>
        <w:pStyle w:val="Heading2"/>
        <w:keepNext/>
      </w:pPr>
      <w:r>
        <w:t>6.3 Private charger host journey (extension)</w:t>
      </w:r>
    </w:p>
    <w:p>
      <w:pPr>
        <w:pStyle w:val="ListNumber"/>
        <w:spacing w:after="20"/>
        <w:numPr>
          <w:ilvl w:val="0"/>
          <w:numId w:val="12"/>
        </w:numPr>
      </w:pPr>
      <w:r>
        <w:t>The host adds a charger listing and specifies connector, power, compatible vehicles, location precision, available time windows and price.</w:t>
      </w:r>
    </w:p>
    <w:p>
      <w:pPr>
        <w:pStyle w:val="ListNumber"/>
        <w:spacing w:after="20"/>
        <w:numPr>
          <w:ilvl w:val="0"/>
          <w:numId w:val="12"/>
        </w:numPr>
      </w:pPr>
      <w:r>
        <w:t>The host chooses whether a listing is visible to nearby drivers and can change or withdraw availability.</w:t>
      </w:r>
    </w:p>
    <w:p>
      <w:pPr>
        <w:pStyle w:val="ListNumber"/>
        <w:spacing w:after="20"/>
        <w:numPr>
          <w:ilvl w:val="0"/>
          <w:numId w:val="12"/>
        </w:numPr>
      </w:pPr>
      <w:r>
        <w:t>A driver request is shown to the host for acceptance or rejection in the prototype.</w:t>
      </w:r>
    </w:p>
    <w:p>
      <w:pPr>
        <w:pStyle w:val="ListNumber"/>
        <w:spacing w:after="20"/>
        <w:numPr>
          <w:ilvl w:val="0"/>
          <w:numId w:val="12"/>
        </w:numPr>
      </w:pPr>
      <w:r>
        <w:t>The system records a simulated booking/session status and makes clear that payment and identity verification are not live unless implemented.</w:t>
      </w:r>
    </w:p>
    <w:p>
      <w:pPr>
        <w:pStyle w:val="Heading1"/>
        <w:keepNext/>
      </w:pPr>
      <w:r>
        <w:t>7. Functional requirements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008"/>
            <w:vAlign w:val="center"/>
            <w:shd w:fill="12304A"/>
          </w:tcPr>
          <w:p>
            <w:pPr>
              <w:widowControl/>
              <w:spacing w:after="0"/>
            </w:pPr>
            <w:r/>
            <w:r>
              <w:rPr>
                <w:rFonts w:ascii="Aptos" w:hAnsi="Aptos"/>
                <w:b/>
                <w:color w:val="FFFFFF"/>
                <w:sz w:val="16"/>
              </w:rPr>
              <w:t>ID</w:t>
            </w:r>
          </w:p>
        </w:tc>
        <w:tc>
          <w:tcPr>
            <w:tcW w:type="dxa" w:w="2304"/>
            <w:vAlign w:val="center"/>
            <w:shd w:fill="12304A"/>
          </w:tcPr>
          <w:p>
            <w:pPr>
              <w:widowControl/>
              <w:spacing w:after="0"/>
            </w:pPr>
            <w:r/>
            <w:r>
              <w:rPr>
                <w:rFonts w:ascii="Aptos" w:hAnsi="Aptos"/>
                <w:b/>
                <w:color w:val="FFFFFF"/>
                <w:sz w:val="16"/>
              </w:rPr>
              <w:t>Requirement</w:t>
            </w:r>
          </w:p>
        </w:tc>
        <w:tc>
          <w:tcPr>
            <w:tcW w:type="dxa" w:w="7056"/>
            <w:vAlign w:val="center"/>
            <w:shd w:fill="12304A"/>
          </w:tcPr>
          <w:p>
            <w:pPr>
              <w:widowControl/>
              <w:spacing w:after="0"/>
            </w:pPr>
            <w:r/>
            <w:r>
              <w:rPr>
                <w:rFonts w:ascii="Aptos" w:hAnsi="Aptos"/>
                <w:b/>
                <w:color w:val="FFFFFF"/>
                <w:sz w:val="16"/>
              </w:rPr>
              <w:t>Acceptance condition</w:t>
            </w:r>
          </w:p>
        </w:tc>
      </w:tr>
      <w:tr>
        <w:trPr>
          <w:cantSplit/>
        </w:trPr>
        <w:tc>
          <w:tcPr>
            <w:tcW w:type="dxa" w:w="1008"/>
            <w:vAlign w:val="center"/>
          </w:tcPr>
          <w:p>
            <w:pPr>
              <w:widowControl/>
              <w:spacing w:after="0"/>
            </w:pPr>
            <w:r/>
            <w:r>
              <w:rPr>
                <w:rFonts w:ascii="Aptos" w:hAnsi="Aptos"/>
                <w:b w:val="0"/>
                <w:sz w:val="16"/>
              </w:rPr>
              <w:t>FR-01</w:t>
            </w:r>
          </w:p>
        </w:tc>
        <w:tc>
          <w:tcPr>
            <w:tcW w:type="dxa" w:w="2304"/>
            <w:vAlign w:val="center"/>
          </w:tcPr>
          <w:p>
            <w:pPr>
              <w:widowControl/>
              <w:spacing w:after="0"/>
            </w:pPr>
            <w:r/>
            <w:r>
              <w:rPr>
                <w:rFonts w:ascii="Aptos" w:hAnsi="Aptos"/>
                <w:b w:val="0"/>
                <w:sz w:val="16"/>
              </w:rPr>
              <w:t>Data provenance</w:t>
            </w:r>
          </w:p>
        </w:tc>
        <w:tc>
          <w:tcPr>
            <w:tcW w:type="dxa" w:w="7056"/>
            <w:vAlign w:val="center"/>
          </w:tcPr>
          <w:p>
            <w:pPr>
              <w:widowControl/>
              <w:spacing w:after="0"/>
            </w:pPr>
            <w:r/>
            <w:r>
              <w:rPr>
                <w:rFonts w:ascii="Aptos" w:hAnsi="Aptos"/>
                <w:b w:val="0"/>
                <w:sz w:val="16"/>
              </w:rPr>
              <w:t>Public grid readings show source and timestamp; fallback and simulated data are explicitly labelled.</w:t>
            </w:r>
          </w:p>
        </w:tc>
      </w:tr>
      <w:tr>
        <w:trPr>
          <w:cantSplit/>
        </w:trPr>
        <w:tc>
          <w:tcPr>
            <w:tcW w:type="dxa" w:w="1008"/>
            <w:vAlign w:val="center"/>
            <w:shd w:fill="F1F6F8"/>
          </w:tcPr>
          <w:p>
            <w:pPr>
              <w:widowControl/>
              <w:spacing w:after="0"/>
            </w:pPr>
            <w:r/>
            <w:r>
              <w:rPr>
                <w:rFonts w:ascii="Aptos" w:hAnsi="Aptos"/>
                <w:b w:val="0"/>
                <w:sz w:val="16"/>
              </w:rPr>
              <w:t>FR-02</w:t>
            </w:r>
          </w:p>
        </w:tc>
        <w:tc>
          <w:tcPr>
            <w:tcW w:type="dxa" w:w="2304"/>
            <w:vAlign w:val="center"/>
            <w:shd w:fill="F1F6F8"/>
          </w:tcPr>
          <w:p>
            <w:pPr>
              <w:widowControl/>
              <w:spacing w:after="0"/>
            </w:pPr>
            <w:r/>
            <w:r>
              <w:rPr>
                <w:rFonts w:ascii="Aptos" w:hAnsi="Aptos"/>
                <w:b w:val="0"/>
                <w:sz w:val="16"/>
              </w:rPr>
              <w:t>Transformer simulation</w:t>
            </w:r>
          </w:p>
        </w:tc>
        <w:tc>
          <w:tcPr>
            <w:tcW w:type="dxa" w:w="7056"/>
            <w:vAlign w:val="center"/>
            <w:shd w:fill="F1F6F8"/>
          </w:tcPr>
          <w:p>
            <w:pPr>
              <w:widowControl/>
              <w:spacing w:after="0"/>
            </w:pPr>
            <w:r/>
            <w:r>
              <w:rPr>
                <w:rFonts w:ascii="Aptos" w:hAnsi="Aptos"/>
                <w:b w:val="0"/>
                <w:sz w:val="16"/>
              </w:rPr>
              <w:t>Total load per time slot is calculated from background load plus assigned EV charging.</w:t>
            </w:r>
          </w:p>
        </w:tc>
      </w:tr>
      <w:tr>
        <w:trPr>
          <w:cantSplit/>
        </w:trPr>
        <w:tc>
          <w:tcPr>
            <w:tcW w:type="dxa" w:w="1008"/>
            <w:vAlign w:val="center"/>
          </w:tcPr>
          <w:p>
            <w:pPr>
              <w:widowControl/>
              <w:spacing w:after="0"/>
            </w:pPr>
            <w:r/>
            <w:r>
              <w:rPr>
                <w:rFonts w:ascii="Aptos" w:hAnsi="Aptos"/>
                <w:b w:val="0"/>
                <w:sz w:val="16"/>
              </w:rPr>
              <w:t>FR-03</w:t>
            </w:r>
          </w:p>
        </w:tc>
        <w:tc>
          <w:tcPr>
            <w:tcW w:type="dxa" w:w="2304"/>
            <w:vAlign w:val="center"/>
          </w:tcPr>
          <w:p>
            <w:pPr>
              <w:widowControl/>
              <w:spacing w:after="0"/>
            </w:pPr>
            <w:r/>
            <w:r>
              <w:rPr>
                <w:rFonts w:ascii="Aptos" w:hAnsi="Aptos"/>
                <w:b w:val="0"/>
                <w:sz w:val="16"/>
              </w:rPr>
              <w:t>Demand classification</w:t>
            </w:r>
          </w:p>
        </w:tc>
        <w:tc>
          <w:tcPr>
            <w:tcW w:type="dxa" w:w="7056"/>
            <w:vAlign w:val="center"/>
          </w:tcPr>
          <w:p>
            <w:pPr>
              <w:widowControl/>
              <w:spacing w:after="0"/>
            </w:pPr>
            <w:r/>
            <w:r>
              <w:rPr>
                <w:rFonts w:ascii="Aptos" w:hAnsi="Aptos"/>
                <w:b w:val="0"/>
                <w:sz w:val="16"/>
              </w:rPr>
              <w:t>Configured thresholds produce consistent Low/Medium/High/Critical categories.</w:t>
            </w:r>
          </w:p>
        </w:tc>
      </w:tr>
      <w:tr>
        <w:trPr>
          <w:cantSplit/>
        </w:trPr>
        <w:tc>
          <w:tcPr>
            <w:tcW w:type="dxa" w:w="1008"/>
            <w:vAlign w:val="center"/>
            <w:shd w:fill="F1F6F8"/>
          </w:tcPr>
          <w:p>
            <w:pPr>
              <w:widowControl/>
              <w:spacing w:after="0"/>
            </w:pPr>
            <w:r/>
            <w:r>
              <w:rPr>
                <w:rFonts w:ascii="Aptos" w:hAnsi="Aptos"/>
                <w:b w:val="0"/>
                <w:sz w:val="16"/>
              </w:rPr>
              <w:t>FR-04</w:t>
            </w:r>
          </w:p>
        </w:tc>
        <w:tc>
          <w:tcPr>
            <w:tcW w:type="dxa" w:w="2304"/>
            <w:vAlign w:val="center"/>
            <w:shd w:fill="F1F6F8"/>
          </w:tcPr>
          <w:p>
            <w:pPr>
              <w:widowControl/>
              <w:spacing w:after="0"/>
            </w:pPr>
            <w:r/>
            <w:r>
              <w:rPr>
                <w:rFonts w:ascii="Aptos" w:hAnsi="Aptos"/>
                <w:b w:val="0"/>
                <w:sz w:val="16"/>
              </w:rPr>
              <w:t>Illustrative pricing</w:t>
            </w:r>
          </w:p>
        </w:tc>
        <w:tc>
          <w:tcPr>
            <w:tcW w:type="dxa" w:w="7056"/>
            <w:vAlign w:val="center"/>
            <w:shd w:fill="F1F6F8"/>
          </w:tcPr>
          <w:p>
            <w:pPr>
              <w:widowControl/>
              <w:spacing w:after="0"/>
            </w:pPr>
            <w:r/>
            <w:r>
              <w:rPr>
                <w:rFonts w:ascii="Aptos" w:hAnsi="Aptos"/>
                <w:b w:val="0"/>
                <w:sz w:val="16"/>
              </w:rPr>
              <w:t>A documented rule calculates the shown rate/incentive; it is not described as an official tariff.</w:t>
            </w:r>
          </w:p>
        </w:tc>
      </w:tr>
      <w:tr>
        <w:trPr>
          <w:cantSplit/>
        </w:trPr>
        <w:tc>
          <w:tcPr>
            <w:tcW w:type="dxa" w:w="1008"/>
            <w:vAlign w:val="center"/>
          </w:tcPr>
          <w:p>
            <w:pPr>
              <w:widowControl/>
              <w:spacing w:after="0"/>
            </w:pPr>
            <w:r/>
            <w:r>
              <w:rPr>
                <w:rFonts w:ascii="Aptos" w:hAnsi="Aptos"/>
                <w:b w:val="0"/>
                <w:sz w:val="16"/>
              </w:rPr>
              <w:t>FR-05</w:t>
            </w:r>
          </w:p>
        </w:tc>
        <w:tc>
          <w:tcPr>
            <w:tcW w:type="dxa" w:w="2304"/>
            <w:vAlign w:val="center"/>
          </w:tcPr>
          <w:p>
            <w:pPr>
              <w:widowControl/>
              <w:spacing w:after="0"/>
            </w:pPr>
            <w:r/>
            <w:r>
              <w:rPr>
                <w:rFonts w:ascii="Aptos" w:hAnsi="Aptos"/>
                <w:b w:val="0"/>
                <w:sz w:val="16"/>
              </w:rPr>
              <w:t>Charging request validation</w:t>
            </w:r>
          </w:p>
        </w:tc>
        <w:tc>
          <w:tcPr>
            <w:tcW w:type="dxa" w:w="7056"/>
            <w:vAlign w:val="center"/>
          </w:tcPr>
          <w:p>
            <w:pPr>
              <w:widowControl/>
              <w:spacing w:after="0"/>
            </w:pPr>
            <w:r/>
            <w:r>
              <w:rPr>
                <w:rFonts w:ascii="Aptos" w:hAnsi="Aptos"/>
                <w:b w:val="0"/>
                <w:sz w:val="16"/>
              </w:rPr>
              <w:t>Energy/power are positive; time window and deadline are valid.</w:t>
            </w:r>
          </w:p>
        </w:tc>
      </w:tr>
      <w:tr>
        <w:trPr>
          <w:cantSplit/>
        </w:trPr>
        <w:tc>
          <w:tcPr>
            <w:tcW w:type="dxa" w:w="1008"/>
            <w:vAlign w:val="center"/>
            <w:shd w:fill="F1F6F8"/>
          </w:tcPr>
          <w:p>
            <w:pPr>
              <w:widowControl/>
              <w:spacing w:after="0"/>
            </w:pPr>
            <w:r/>
            <w:r>
              <w:rPr>
                <w:rFonts w:ascii="Aptos" w:hAnsi="Aptos"/>
                <w:b w:val="0"/>
                <w:sz w:val="16"/>
              </w:rPr>
              <w:t>FR-06</w:t>
            </w:r>
          </w:p>
        </w:tc>
        <w:tc>
          <w:tcPr>
            <w:tcW w:type="dxa" w:w="2304"/>
            <w:vAlign w:val="center"/>
            <w:shd w:fill="F1F6F8"/>
          </w:tcPr>
          <w:p>
            <w:pPr>
              <w:widowControl/>
              <w:spacing w:after="0"/>
            </w:pPr>
            <w:r/>
            <w:r>
              <w:rPr>
                <w:rFonts w:ascii="Aptos" w:hAnsi="Aptos"/>
                <w:b w:val="0"/>
                <w:sz w:val="16"/>
              </w:rPr>
              <w:t>Feasible scheduling</w:t>
            </w:r>
          </w:p>
        </w:tc>
        <w:tc>
          <w:tcPr>
            <w:tcW w:type="dxa" w:w="7056"/>
            <w:vAlign w:val="center"/>
            <w:shd w:fill="F1F6F8"/>
          </w:tcPr>
          <w:p>
            <w:pPr>
              <w:widowControl/>
              <w:spacing w:after="0"/>
            </w:pPr>
            <w:r/>
            <w:r>
              <w:rPr>
                <w:rFonts w:ascii="Aptos" w:hAnsi="Aptos"/>
                <w:b w:val="0"/>
                <w:sz w:val="16"/>
              </w:rPr>
              <w:t>A recommendation respects charger power, available time, required energy and deadline, or reports infeasibility.</w:t>
            </w:r>
          </w:p>
        </w:tc>
      </w:tr>
      <w:tr>
        <w:trPr>
          <w:cantSplit/>
        </w:trPr>
        <w:tc>
          <w:tcPr>
            <w:tcW w:type="dxa" w:w="1008"/>
            <w:vAlign w:val="center"/>
          </w:tcPr>
          <w:p>
            <w:pPr>
              <w:widowControl/>
              <w:spacing w:after="0"/>
            </w:pPr>
            <w:r/>
            <w:r>
              <w:rPr>
                <w:rFonts w:ascii="Aptos" w:hAnsi="Aptos"/>
                <w:b w:val="0"/>
                <w:sz w:val="16"/>
              </w:rPr>
              <w:t>FR-07</w:t>
            </w:r>
          </w:p>
        </w:tc>
        <w:tc>
          <w:tcPr>
            <w:tcW w:type="dxa" w:w="2304"/>
            <w:vAlign w:val="center"/>
          </w:tcPr>
          <w:p>
            <w:pPr>
              <w:widowControl/>
              <w:spacing w:after="0"/>
            </w:pPr>
            <w:r/>
            <w:r>
              <w:rPr>
                <w:rFonts w:ascii="Aptos" w:hAnsi="Aptos"/>
                <w:b w:val="0"/>
                <w:sz w:val="16"/>
              </w:rPr>
              <w:t>Peak impact</w:t>
            </w:r>
          </w:p>
        </w:tc>
        <w:tc>
          <w:tcPr>
            <w:tcW w:type="dxa" w:w="7056"/>
            <w:vAlign w:val="center"/>
          </w:tcPr>
          <w:p>
            <w:pPr>
              <w:widowControl/>
              <w:spacing w:after="0"/>
            </w:pPr>
            <w:r/>
            <w:r>
              <w:rPr>
                <w:rFonts w:ascii="Aptos" w:hAnsi="Aptos"/>
                <w:b w:val="0"/>
                <w:sz w:val="16"/>
              </w:rPr>
              <w:t>Baseline and optimised peak load/utilisation are calculated from schedules, not hard-coded.</w:t>
            </w:r>
          </w:p>
        </w:tc>
      </w:tr>
      <w:tr>
        <w:trPr>
          <w:cantSplit/>
        </w:trPr>
        <w:tc>
          <w:tcPr>
            <w:tcW w:type="dxa" w:w="1008"/>
            <w:vAlign w:val="center"/>
            <w:shd w:fill="F1F6F8"/>
          </w:tcPr>
          <w:p>
            <w:pPr>
              <w:widowControl/>
              <w:spacing w:after="0"/>
            </w:pPr>
            <w:r/>
            <w:r>
              <w:rPr>
                <w:rFonts w:ascii="Aptos" w:hAnsi="Aptos"/>
                <w:b w:val="0"/>
                <w:sz w:val="16"/>
              </w:rPr>
              <w:t>FR-08</w:t>
            </w:r>
          </w:p>
        </w:tc>
        <w:tc>
          <w:tcPr>
            <w:tcW w:type="dxa" w:w="2304"/>
            <w:vAlign w:val="center"/>
            <w:shd w:fill="F1F6F8"/>
          </w:tcPr>
          <w:p>
            <w:pPr>
              <w:widowControl/>
              <w:spacing w:after="0"/>
            </w:pPr>
            <w:r/>
            <w:r>
              <w:rPr>
                <w:rFonts w:ascii="Aptos" w:hAnsi="Aptos"/>
                <w:b w:val="0"/>
                <w:sz w:val="16"/>
              </w:rPr>
              <w:t>API fallback</w:t>
            </w:r>
          </w:p>
        </w:tc>
        <w:tc>
          <w:tcPr>
            <w:tcW w:type="dxa" w:w="7056"/>
            <w:vAlign w:val="center"/>
            <w:shd w:fill="F1F6F8"/>
          </w:tcPr>
          <w:p>
            <w:pPr>
              <w:widowControl/>
              <w:spacing w:after="0"/>
            </w:pPr>
            <w:r/>
            <w:r>
              <w:rPr>
                <w:rFonts w:ascii="Aptos" w:hAnsi="Aptos"/>
                <w:b w:val="0"/>
                <w:sz w:val="16"/>
              </w:rPr>
              <w:t>Core simulation, scheduling and impact dashboard work without the public API.</w:t>
            </w:r>
          </w:p>
        </w:tc>
      </w:tr>
      <w:tr>
        <w:trPr>
          <w:cantSplit/>
        </w:trPr>
        <w:tc>
          <w:tcPr>
            <w:tcW w:type="dxa" w:w="1008"/>
            <w:vAlign w:val="center"/>
          </w:tcPr>
          <w:p>
            <w:pPr>
              <w:widowControl/>
              <w:spacing w:after="0"/>
            </w:pPr>
            <w:r/>
            <w:r>
              <w:rPr>
                <w:rFonts w:ascii="Aptos" w:hAnsi="Aptos"/>
                <w:b w:val="0"/>
                <w:sz w:val="16"/>
              </w:rPr>
              <w:t>FR-09</w:t>
            </w:r>
          </w:p>
        </w:tc>
        <w:tc>
          <w:tcPr>
            <w:tcW w:type="dxa" w:w="2304"/>
            <w:vAlign w:val="center"/>
          </w:tcPr>
          <w:p>
            <w:pPr>
              <w:widowControl/>
              <w:spacing w:after="0"/>
            </w:pPr>
            <w:r/>
            <w:r>
              <w:rPr>
                <w:rFonts w:ascii="Aptos" w:hAnsi="Aptos"/>
                <w:b w:val="0"/>
                <w:sz w:val="16"/>
              </w:rPr>
              <w:t>Nearby search (P1)</w:t>
            </w:r>
          </w:p>
        </w:tc>
        <w:tc>
          <w:tcPr>
            <w:tcW w:type="dxa" w:w="7056"/>
            <w:vAlign w:val="center"/>
          </w:tcPr>
          <w:p>
            <w:pPr>
              <w:widowControl/>
              <w:spacing w:after="0"/>
            </w:pPr>
            <w:r/>
            <w:r>
              <w:rPr>
                <w:rFonts w:ascii="Aptos" w:hAnsi="Aptos"/>
                <w:b w:val="0"/>
                <w:sz w:val="16"/>
              </w:rPr>
              <w:t>Search results filter by selected radius and known compatibility; distance is calculated from listing coordinates.</w:t>
            </w:r>
          </w:p>
        </w:tc>
      </w:tr>
      <w:tr>
        <w:trPr>
          <w:cantSplit/>
        </w:trPr>
        <w:tc>
          <w:tcPr>
            <w:tcW w:type="dxa" w:w="1008"/>
            <w:vAlign w:val="center"/>
            <w:shd w:fill="F1F6F8"/>
          </w:tcPr>
          <w:p>
            <w:pPr>
              <w:widowControl/>
              <w:spacing w:after="0"/>
            </w:pPr>
            <w:r/>
            <w:r>
              <w:rPr>
                <w:rFonts w:ascii="Aptos" w:hAnsi="Aptos"/>
                <w:b w:val="0"/>
                <w:sz w:val="16"/>
              </w:rPr>
              <w:t>FR-10</w:t>
            </w:r>
          </w:p>
        </w:tc>
        <w:tc>
          <w:tcPr>
            <w:tcW w:type="dxa" w:w="2304"/>
            <w:vAlign w:val="center"/>
            <w:shd w:fill="F1F6F8"/>
          </w:tcPr>
          <w:p>
            <w:pPr>
              <w:widowControl/>
              <w:spacing w:after="0"/>
            </w:pPr>
            <w:r/>
            <w:r>
              <w:rPr>
                <w:rFonts w:ascii="Aptos" w:hAnsi="Aptos"/>
                <w:b w:val="0"/>
                <w:sz w:val="16"/>
              </w:rPr>
              <w:t>Charger listing (P1)</w:t>
            </w:r>
          </w:p>
        </w:tc>
        <w:tc>
          <w:tcPr>
            <w:tcW w:type="dxa" w:w="7056"/>
            <w:vAlign w:val="center"/>
            <w:shd w:fill="F1F6F8"/>
          </w:tcPr>
          <w:p>
            <w:pPr>
              <w:widowControl/>
              <w:spacing w:after="0"/>
            </w:pPr>
            <w:r/>
            <w:r>
              <w:rPr>
                <w:rFonts w:ascii="Aptos" w:hAnsi="Aptos"/>
                <w:b w:val="0"/>
                <w:sz w:val="16"/>
              </w:rPr>
              <w:t>Host can enter connector, power, compatibility, availability and price for a demo listing.</w:t>
            </w:r>
          </w:p>
        </w:tc>
      </w:tr>
      <w:tr>
        <w:trPr>
          <w:cantSplit/>
        </w:trPr>
        <w:tc>
          <w:tcPr>
            <w:tcW w:type="dxa" w:w="1008"/>
            <w:vAlign w:val="center"/>
          </w:tcPr>
          <w:p>
            <w:pPr>
              <w:widowControl/>
              <w:spacing w:after="0"/>
            </w:pPr>
            <w:r/>
            <w:r>
              <w:rPr>
                <w:rFonts w:ascii="Aptos" w:hAnsi="Aptos"/>
                <w:b w:val="0"/>
                <w:sz w:val="16"/>
              </w:rPr>
              <w:t>FR-11</w:t>
            </w:r>
          </w:p>
        </w:tc>
        <w:tc>
          <w:tcPr>
            <w:tcW w:type="dxa" w:w="2304"/>
            <w:vAlign w:val="center"/>
          </w:tcPr>
          <w:p>
            <w:pPr>
              <w:widowControl/>
              <w:spacing w:after="0"/>
            </w:pPr>
            <w:r/>
            <w:r>
              <w:rPr>
                <w:rFonts w:ascii="Aptos" w:hAnsi="Aptos"/>
                <w:b w:val="0"/>
                <w:sz w:val="16"/>
              </w:rPr>
              <w:t>Availability integrity (P1)</w:t>
            </w:r>
          </w:p>
        </w:tc>
        <w:tc>
          <w:tcPr>
            <w:tcW w:type="dxa" w:w="7056"/>
            <w:vAlign w:val="center"/>
          </w:tcPr>
          <w:p>
            <w:pPr>
              <w:widowControl/>
              <w:spacing w:after="0"/>
            </w:pPr>
            <w:r/>
            <w:r>
              <w:rPr>
                <w:rFonts w:ascii="Aptos" w:hAnsi="Aptos"/>
                <w:b w:val="0"/>
                <w:sz w:val="16"/>
              </w:rPr>
              <w:t>Listing availability is marked live/verified only if actually verified; sample data is labelled demo.</w:t>
            </w:r>
          </w:p>
        </w:tc>
      </w:tr>
      <w:tr>
        <w:trPr>
          <w:cantSplit/>
        </w:trPr>
        <w:tc>
          <w:tcPr>
            <w:tcW w:type="dxa" w:w="1008"/>
            <w:vAlign w:val="center"/>
            <w:shd w:fill="F1F6F8"/>
          </w:tcPr>
          <w:p>
            <w:pPr>
              <w:widowControl/>
              <w:spacing w:after="0"/>
            </w:pPr>
            <w:r/>
            <w:r>
              <w:rPr>
                <w:rFonts w:ascii="Aptos" w:hAnsi="Aptos"/>
                <w:b w:val="0"/>
                <w:sz w:val="16"/>
              </w:rPr>
              <w:t>FR-12</w:t>
            </w:r>
          </w:p>
        </w:tc>
        <w:tc>
          <w:tcPr>
            <w:tcW w:type="dxa" w:w="2304"/>
            <w:vAlign w:val="center"/>
            <w:shd w:fill="F1F6F8"/>
          </w:tcPr>
          <w:p>
            <w:pPr>
              <w:widowControl/>
              <w:spacing w:after="0"/>
            </w:pPr>
            <w:r/>
            <w:r>
              <w:rPr>
                <w:rFonts w:ascii="Aptos" w:hAnsi="Aptos"/>
                <w:b w:val="0"/>
                <w:sz w:val="16"/>
              </w:rPr>
              <w:t>Booking simulation (P1)</w:t>
            </w:r>
          </w:p>
        </w:tc>
        <w:tc>
          <w:tcPr>
            <w:tcW w:type="dxa" w:w="7056"/>
            <w:vAlign w:val="center"/>
            <w:shd w:fill="F1F6F8"/>
          </w:tcPr>
          <w:p>
            <w:pPr>
              <w:widowControl/>
              <w:spacing w:after="0"/>
            </w:pPr>
            <w:r/>
            <w:r>
              <w:rPr>
                <w:rFonts w:ascii="Aptos" w:hAnsi="Aptos"/>
                <w:b w:val="0"/>
                <w:sz w:val="16"/>
              </w:rPr>
              <w:t>A request can change through documented simulated states; the UI does not falsely claim payment or confirmed real access.</w:t>
            </w:r>
          </w:p>
        </w:tc>
      </w:tr>
      <w:tr>
        <w:trPr>
          <w:cantSplit/>
        </w:trPr>
        <w:tc>
          <w:tcPr>
            <w:tcW w:type="dxa" w:w="1008"/>
            <w:vAlign w:val="center"/>
          </w:tcPr>
          <w:p>
            <w:pPr>
              <w:widowControl/>
              <w:spacing w:after="0"/>
            </w:pPr>
            <w:r/>
            <w:r>
              <w:rPr>
                <w:rFonts w:ascii="Aptos" w:hAnsi="Aptos"/>
                <w:b w:val="0"/>
                <w:sz w:val="16"/>
              </w:rPr>
              <w:t>FR-13</w:t>
            </w:r>
          </w:p>
        </w:tc>
        <w:tc>
          <w:tcPr>
            <w:tcW w:type="dxa" w:w="2304"/>
            <w:vAlign w:val="center"/>
          </w:tcPr>
          <w:p>
            <w:pPr>
              <w:widowControl/>
              <w:spacing w:after="0"/>
            </w:pPr>
            <w:r/>
            <w:r>
              <w:rPr>
                <w:rFonts w:ascii="Aptos" w:hAnsi="Aptos"/>
                <w:b w:val="0"/>
                <w:sz w:val="16"/>
              </w:rPr>
              <w:t>Safety-oriented low-battery flow</w:t>
            </w:r>
          </w:p>
        </w:tc>
        <w:tc>
          <w:tcPr>
            <w:tcW w:type="dxa" w:w="7056"/>
            <w:vAlign w:val="center"/>
          </w:tcPr>
          <w:p>
            <w:pPr>
              <w:widowControl/>
              <w:spacing w:after="0"/>
            </w:pPr>
            <w:r/>
            <w:r>
              <w:rPr>
                <w:rFonts w:ascii="Aptos" w:hAnsi="Aptos"/>
                <w:b w:val="0"/>
                <w:sz w:val="16"/>
              </w:rPr>
              <w:t>The tool does not promise that a charger is reachable or available; it shows distance and uncertainty and encourages the driver to verify access before travelling.</w:t>
            </w:r>
          </w:p>
        </w:tc>
      </w:tr>
      <w:tr>
        <w:trPr>
          <w:cantSplit/>
        </w:trPr>
        <w:tc>
          <w:tcPr>
            <w:tcW w:type="dxa" w:w="1008"/>
            <w:vAlign w:val="center"/>
            <w:shd w:fill="F1F6F8"/>
          </w:tcPr>
          <w:p>
            <w:pPr>
              <w:widowControl/>
              <w:spacing w:after="0"/>
            </w:pPr>
            <w:r/>
            <w:r>
              <w:rPr>
                <w:rFonts w:ascii="Aptos" w:hAnsi="Aptos"/>
                <w:b w:val="0"/>
                <w:sz w:val="16"/>
              </w:rPr>
              <w:t>FR-14</w:t>
            </w:r>
          </w:p>
        </w:tc>
        <w:tc>
          <w:tcPr>
            <w:tcW w:type="dxa" w:w="2304"/>
            <w:vAlign w:val="center"/>
            <w:shd w:fill="F1F6F8"/>
          </w:tcPr>
          <w:p>
            <w:pPr>
              <w:widowControl/>
              <w:spacing w:after="0"/>
            </w:pPr>
            <w:r/>
            <w:r>
              <w:rPr>
                <w:rFonts w:ascii="Aptos" w:hAnsi="Aptos"/>
                <w:b w:val="0"/>
                <w:sz w:val="16"/>
              </w:rPr>
              <w:t>Honest results</w:t>
            </w:r>
          </w:p>
        </w:tc>
        <w:tc>
          <w:tcPr>
            <w:tcW w:type="dxa" w:w="7056"/>
            <w:vAlign w:val="center"/>
            <w:shd w:fill="F1F6F8"/>
          </w:tcPr>
          <w:p>
            <w:pPr>
              <w:widowControl/>
              <w:spacing w:after="0"/>
            </w:pPr>
            <w:r/>
            <w:r>
              <w:rPr>
                <w:rFonts w:ascii="Aptos" w:hAnsi="Aptos"/>
                <w:b w:val="0"/>
                <w:sz w:val="16"/>
              </w:rPr>
              <w:t>Simulated data, estimates, unknown values and unmet constraints are clearly disclosed.</w:t>
            </w:r>
          </w:p>
        </w:tc>
      </w:tr>
    </w:tbl>
    <w:p>
      <w:pPr>
        <w:spacing w:after="0"/>
      </w:pPr>
    </w:p>
    <w:p>
      <w:pPr>
        <w:pStyle w:val="Heading1"/>
        <w:keepNext/>
      </w:pPr>
      <w:r>
        <w:t>8. Core calculation and business rules</w:t>
      </w:r>
    </w:p>
    <w:p>
      <w:pPr>
        <w:pStyle w:val="ListBullet"/>
        <w:spacing w:after="20"/>
      </w:pPr>
      <w:r>
        <w:t>Use kW for power, kWh for energy and hours for duration. Keep units visible where relevant.</w:t>
      </w:r>
    </w:p>
    <w:p>
      <w:pPr>
        <w:pStyle w:val="ListBullet"/>
        <w:spacing w:after="20"/>
      </w:pPr>
      <w:r>
        <w:t>Ideal charging duration is energy required (kWh) divided by charging power (kW), adjusted for slot granularity and any explicitly stated efficiency assumption.</w:t>
      </w:r>
    </w:p>
    <w:p>
      <w:pPr>
        <w:pStyle w:val="ListBullet"/>
        <w:spacing w:after="20"/>
      </w:pPr>
      <w:r>
        <w:t>A request is feasible only if its time window contains enough compatible charging time to deliver the required energy.</w:t>
      </w:r>
    </w:p>
    <w:p>
      <w:pPr>
        <w:pStyle w:val="ListBullet"/>
        <w:spacing w:after="20"/>
      </w:pPr>
      <w:r>
        <w:t>Simulated slot load = background load + sum of EV charging power assigned to that slot.</w:t>
      </w:r>
    </w:p>
    <w:p>
      <w:pPr>
        <w:pStyle w:val="ListBullet"/>
        <w:spacing w:after="20"/>
      </w:pPr>
      <w:r>
        <w:t>Transformer utilisation = simulated total load ÷ configured capacity. Overload occurs when load exceeds capacity.</w:t>
      </w:r>
    </w:p>
    <w:p>
      <w:pPr>
        <w:pStyle w:val="ListBullet"/>
        <w:spacing w:after="20"/>
      </w:pPr>
      <w:r>
        <w:t>Baseline and optimised impact use the same background-load profile, transformer capacity and time horizon.</w:t>
      </w:r>
    </w:p>
    <w:p>
      <w:pPr>
        <w:pStyle w:val="ListBullet"/>
      </w:pPr>
      <w:r>
        <w:t>Peak reduction is calculated from the maximum slot load in the two schedules: (baseline peak - optimised peak) / baseline peak × 100, when baseline peak is greater than zero. Label the result as simulated local impact.</w:t>
      </w:r>
    </w:p>
    <w:p>
      <w:pPr>
        <w:pStyle w:val="ListBullet"/>
        <w:spacing w:after="20"/>
      </w:pPr>
      <w:r>
        <w:t>Scheduling prioritises lower-load slots while respecting each driver's energy and deadline constraints. If constraints conflict, report the conflict.</w:t>
      </w:r>
    </w:p>
    <w:p>
      <w:pPr>
        <w:pStyle w:val="ListBullet"/>
        <w:spacing w:after="20"/>
      </w:pPr>
      <w:r>
        <w:t>The price/incentive rule is illustrative. Do not imply it is a legally valid tariff, a guaranteed saving or an actual payment amount.</w:t>
      </w:r>
    </w:p>
    <w:p>
      <w:pPr>
        <w:pStyle w:val="ListBullet"/>
        <w:spacing w:after="20"/>
      </w:pPr>
      <w:r>
        <w:t>Nearby search distance is a straight-line estimate unless a routing service is implemented; it must not be described as road distance or travel time without route data.</w:t>
      </w:r>
    </w:p>
    <w:p>
      <w:pPr>
        <w:pStyle w:val="ListBullet"/>
        <w:spacing w:after="20"/>
      </w:pPr>
      <w:r>
        <w:t>Battery percentage alone does not reliably determine remaining kilometres. Range depends on vehicle, battery condition, terrain, speed, weather and driving style; use user-entered estimated range or vehicle-specific data if verified.</w:t>
      </w:r>
    </w:p>
    <w:p>
      <w:pPr>
        <w:pStyle w:val="ListBullet"/>
        <w:spacing w:after="20"/>
      </w:pPr>
      <w:r>
        <w:t>A nearby private charger is only a candidate until connector compatibility, host availability, access, and any required booking are confirmed.</w:t>
      </w:r>
    </w:p>
    <w:p>
      <w:pPr>
        <w:pStyle w:val="ListBullet"/>
        <w:spacing w:after="20"/>
      </w:pPr>
      <w:r>
        <w:t>Never expose a host's exact private residential address publicly by default. The real product would need host consent and a safe location-sharing policy.</w:t>
      </w:r>
    </w:p>
    <w:p>
      <w:pPr>
        <w:pStyle w:val="Heading1"/>
        <w:keepNext/>
      </w:pPr>
      <w:r>
        <w:t>9. Non-functional requirements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944"/>
            <w:vAlign w:val="center"/>
            <w:shd w:fill="12304A"/>
          </w:tcPr>
          <w:p>
            <w:pPr>
              <w:widowControl/>
              <w:spacing w:after="0"/>
            </w:pPr>
            <w:r/>
            <w:r>
              <w:rPr>
                <w:rFonts w:ascii="Aptos" w:hAnsi="Aptos"/>
                <w:b/>
                <w:color w:val="FFFFFF"/>
                <w:sz w:val="16"/>
              </w:rPr>
              <w:t>Area</w:t>
            </w:r>
          </w:p>
        </w:tc>
        <w:tc>
          <w:tcPr>
            <w:tcW w:type="dxa" w:w="8424"/>
            <w:vAlign w:val="center"/>
            <w:shd w:fill="12304A"/>
          </w:tcPr>
          <w:p>
            <w:pPr>
              <w:widowControl/>
              <w:spacing w:after="0"/>
            </w:pPr>
            <w:r/>
            <w:r>
              <w:rPr>
                <w:rFonts w:ascii="Aptos" w:hAnsi="Aptos"/>
                <w:b/>
                <w:color w:val="FFFFFF"/>
                <w:sz w:val="16"/>
              </w:rPr>
              <w:t>Requirement</w:t>
            </w:r>
          </w:p>
        </w:tc>
      </w:tr>
      <w:tr>
        <w:trPr>
          <w:cantSplit/>
        </w:trPr>
        <w:tc>
          <w:tcPr>
            <w:tcW w:type="dxa" w:w="1944"/>
            <w:vAlign w:val="center"/>
          </w:tcPr>
          <w:p>
            <w:pPr>
              <w:widowControl/>
              <w:spacing w:after="0"/>
            </w:pPr>
            <w:r/>
            <w:r>
              <w:rPr>
                <w:rFonts w:ascii="Aptos" w:hAnsi="Aptos"/>
                <w:b w:val="0"/>
                <w:sz w:val="16"/>
              </w:rPr>
              <w:t>Reliability</w:t>
            </w:r>
          </w:p>
        </w:tc>
        <w:tc>
          <w:tcPr>
            <w:tcW w:type="dxa" w:w="8424"/>
            <w:vAlign w:val="center"/>
          </w:tcPr>
          <w:p>
            <w:pPr>
              <w:widowControl/>
              <w:spacing w:after="0"/>
            </w:pPr>
            <w:r/>
            <w:r>
              <w:rPr>
                <w:rFonts w:ascii="Aptos" w:hAnsi="Aptos"/>
                <w:b w:val="0"/>
                <w:sz w:val="16"/>
              </w:rPr>
              <w:t>Core workflow works with fallback data if external data access fails.</w:t>
            </w:r>
          </w:p>
        </w:tc>
      </w:tr>
      <w:tr>
        <w:trPr>
          <w:cantSplit/>
        </w:trPr>
        <w:tc>
          <w:tcPr>
            <w:tcW w:type="dxa" w:w="1944"/>
            <w:vAlign w:val="center"/>
            <w:shd w:fill="F1F6F8"/>
          </w:tcPr>
          <w:p>
            <w:pPr>
              <w:widowControl/>
              <w:spacing w:after="0"/>
            </w:pPr>
            <w:r/>
            <w:r>
              <w:rPr>
                <w:rFonts w:ascii="Aptos" w:hAnsi="Aptos"/>
                <w:b w:val="0"/>
                <w:sz w:val="16"/>
              </w:rPr>
              <w:t>Usability</w:t>
            </w:r>
          </w:p>
        </w:tc>
        <w:tc>
          <w:tcPr>
            <w:tcW w:type="dxa" w:w="8424"/>
            <w:vAlign w:val="center"/>
            <w:shd w:fill="F1F6F8"/>
          </w:tcPr>
          <w:p>
            <w:pPr>
              <w:widowControl/>
              <w:spacing w:after="0"/>
            </w:pPr>
            <w:r/>
            <w:r>
              <w:rPr>
                <w:rFonts w:ascii="Aptos" w:hAnsi="Aptos"/>
                <w:b w:val="0"/>
                <w:sz w:val="16"/>
              </w:rPr>
              <w:t>A judge can complete the primary demo without developer instructions.</w:t>
            </w:r>
          </w:p>
        </w:tc>
      </w:tr>
      <w:tr>
        <w:trPr>
          <w:cantSplit/>
        </w:trPr>
        <w:tc>
          <w:tcPr>
            <w:tcW w:type="dxa" w:w="1944"/>
            <w:vAlign w:val="center"/>
          </w:tcPr>
          <w:p>
            <w:pPr>
              <w:widowControl/>
              <w:spacing w:after="0"/>
            </w:pPr>
            <w:r/>
            <w:r>
              <w:rPr>
                <w:rFonts w:ascii="Aptos" w:hAnsi="Aptos"/>
                <w:b w:val="0"/>
                <w:sz w:val="16"/>
              </w:rPr>
              <w:t>Performance</w:t>
            </w:r>
          </w:p>
        </w:tc>
        <w:tc>
          <w:tcPr>
            <w:tcW w:type="dxa" w:w="8424"/>
            <w:vAlign w:val="center"/>
          </w:tcPr>
          <w:p>
            <w:pPr>
              <w:widowControl/>
              <w:spacing w:after="0"/>
            </w:pPr>
            <w:r/>
            <w:r>
              <w:rPr>
                <w:rFonts w:ascii="Aptos" w:hAnsi="Aptos"/>
                <w:b w:val="0"/>
                <w:sz w:val="16"/>
              </w:rPr>
              <w:t>Small prototype scenarios calculate promptly on a typical laptop.</w:t>
            </w:r>
          </w:p>
        </w:tc>
      </w:tr>
      <w:tr>
        <w:trPr>
          <w:cantSplit/>
        </w:trPr>
        <w:tc>
          <w:tcPr>
            <w:tcW w:type="dxa" w:w="1944"/>
            <w:vAlign w:val="center"/>
            <w:shd w:fill="F1F6F8"/>
          </w:tcPr>
          <w:p>
            <w:pPr>
              <w:widowControl/>
              <w:spacing w:after="0"/>
            </w:pPr>
            <w:r/>
            <w:r>
              <w:rPr>
                <w:rFonts w:ascii="Aptos" w:hAnsi="Aptos"/>
                <w:b w:val="0"/>
                <w:sz w:val="16"/>
              </w:rPr>
              <w:t>Maintainability</w:t>
            </w:r>
          </w:p>
        </w:tc>
        <w:tc>
          <w:tcPr>
            <w:tcW w:type="dxa" w:w="8424"/>
            <w:vAlign w:val="center"/>
            <w:shd w:fill="F1F6F8"/>
          </w:tcPr>
          <w:p>
            <w:pPr>
              <w:widowControl/>
              <w:spacing w:after="0"/>
            </w:pPr>
            <w:r/>
            <w:r>
              <w:rPr>
                <w:rFonts w:ascii="Aptos" w:hAnsi="Aptos"/>
                <w:b w:val="0"/>
                <w:sz w:val="16"/>
              </w:rPr>
              <w:t>Separate data retrieval, simulation, algorithms, UI and extension listing/booking logic sufficiently for testing.</w:t>
            </w:r>
          </w:p>
        </w:tc>
      </w:tr>
      <w:tr>
        <w:trPr>
          <w:cantSplit/>
        </w:trPr>
        <w:tc>
          <w:tcPr>
            <w:tcW w:type="dxa" w:w="1944"/>
            <w:vAlign w:val="center"/>
          </w:tcPr>
          <w:p>
            <w:pPr>
              <w:widowControl/>
              <w:spacing w:after="0"/>
            </w:pPr>
            <w:r/>
            <w:r>
              <w:rPr>
                <w:rFonts w:ascii="Aptos" w:hAnsi="Aptos"/>
                <w:b w:val="0"/>
                <w:sz w:val="16"/>
              </w:rPr>
              <w:t>Security</w:t>
            </w:r>
          </w:p>
        </w:tc>
        <w:tc>
          <w:tcPr>
            <w:tcW w:type="dxa" w:w="8424"/>
            <w:vAlign w:val="center"/>
          </w:tcPr>
          <w:p>
            <w:pPr>
              <w:widowControl/>
              <w:spacing w:after="0"/>
            </w:pPr>
            <w:r/>
            <w:r>
              <w:rPr>
                <w:rFonts w:ascii="Aptos" w:hAnsi="Aptos"/>
                <w:b w:val="0"/>
                <w:sz w:val="16"/>
              </w:rPr>
              <w:t>Keep API keys out of Git; use environment variables and server-side access where needed.</w:t>
            </w:r>
          </w:p>
        </w:tc>
      </w:tr>
      <w:tr>
        <w:trPr>
          <w:cantSplit/>
        </w:trPr>
        <w:tc>
          <w:tcPr>
            <w:tcW w:type="dxa" w:w="1944"/>
            <w:vAlign w:val="center"/>
            <w:shd w:fill="F1F6F8"/>
          </w:tcPr>
          <w:p>
            <w:pPr>
              <w:widowControl/>
              <w:spacing w:after="0"/>
            </w:pPr>
            <w:r/>
            <w:r>
              <w:rPr>
                <w:rFonts w:ascii="Aptos" w:hAnsi="Aptos"/>
                <w:b w:val="0"/>
                <w:sz w:val="16"/>
              </w:rPr>
              <w:t>Privacy</w:t>
            </w:r>
          </w:p>
        </w:tc>
        <w:tc>
          <w:tcPr>
            <w:tcW w:type="dxa" w:w="8424"/>
            <w:vAlign w:val="center"/>
            <w:shd w:fill="F1F6F8"/>
          </w:tcPr>
          <w:p>
            <w:pPr>
              <w:widowControl/>
              <w:spacing w:after="0"/>
            </w:pPr>
            <w:r/>
            <w:r>
              <w:rPr>
                <w:rFonts w:ascii="Aptos" w:hAnsi="Aptos"/>
                <w:b w:val="0"/>
                <w:sz w:val="16"/>
              </w:rPr>
              <w:t>Do not expose exact private host addresses or personal contact information without explicit consent.</w:t>
            </w:r>
          </w:p>
        </w:tc>
      </w:tr>
      <w:tr>
        <w:trPr>
          <w:cantSplit/>
        </w:trPr>
        <w:tc>
          <w:tcPr>
            <w:tcW w:type="dxa" w:w="1944"/>
            <w:vAlign w:val="center"/>
          </w:tcPr>
          <w:p>
            <w:pPr>
              <w:widowControl/>
              <w:spacing w:after="0"/>
            </w:pPr>
            <w:r/>
            <w:r>
              <w:rPr>
                <w:rFonts w:ascii="Aptos" w:hAnsi="Aptos"/>
                <w:b w:val="0"/>
                <w:sz w:val="16"/>
              </w:rPr>
              <w:t>Cost</w:t>
            </w:r>
          </w:p>
        </w:tc>
        <w:tc>
          <w:tcPr>
            <w:tcW w:type="dxa" w:w="8424"/>
            <w:vAlign w:val="center"/>
          </w:tcPr>
          <w:p>
            <w:pPr>
              <w:widowControl/>
              <w:spacing w:after="0"/>
            </w:pPr>
            <w:r/>
            <w:r>
              <w:rPr>
                <w:rFonts w:ascii="Aptos" w:hAnsi="Aptos"/>
                <w:b w:val="0"/>
                <w:sz w:val="16"/>
              </w:rPr>
              <w:t>Prefer free-tier tools and avoid paid AI or infrastructure dependencies.</w:t>
            </w:r>
          </w:p>
        </w:tc>
      </w:tr>
      <w:tr>
        <w:trPr>
          <w:cantSplit/>
        </w:trPr>
        <w:tc>
          <w:tcPr>
            <w:tcW w:type="dxa" w:w="1944"/>
            <w:vAlign w:val="center"/>
            <w:shd w:fill="F1F6F8"/>
          </w:tcPr>
          <w:p>
            <w:pPr>
              <w:widowControl/>
              <w:spacing w:after="0"/>
            </w:pPr>
            <w:r/>
            <w:r>
              <w:rPr>
                <w:rFonts w:ascii="Aptos" w:hAnsi="Aptos"/>
                <w:b w:val="0"/>
                <w:sz w:val="16"/>
              </w:rPr>
              <w:t>Transparency</w:t>
            </w:r>
          </w:p>
        </w:tc>
        <w:tc>
          <w:tcPr>
            <w:tcW w:type="dxa" w:w="8424"/>
            <w:vAlign w:val="center"/>
            <w:shd w:fill="F1F6F8"/>
          </w:tcPr>
          <w:p>
            <w:pPr>
              <w:widowControl/>
              <w:spacing w:after="0"/>
            </w:pPr>
            <w:r/>
            <w:r>
              <w:rPr>
                <w:rFonts w:ascii="Aptos" w:hAnsi="Aptos"/>
                <w:b w:val="0"/>
                <w:sz w:val="16"/>
              </w:rPr>
              <w:t>Label simulated, estimated, unknown and verified data distinctly.</w:t>
            </w:r>
          </w:p>
        </w:tc>
      </w:tr>
      <w:tr>
        <w:trPr>
          <w:cantSplit/>
        </w:trPr>
        <w:tc>
          <w:tcPr>
            <w:tcW w:type="dxa" w:w="1944"/>
            <w:vAlign w:val="center"/>
          </w:tcPr>
          <w:p>
            <w:pPr>
              <w:widowControl/>
              <w:spacing w:after="0"/>
            </w:pPr>
            <w:r/>
            <w:r>
              <w:rPr>
                <w:rFonts w:ascii="Aptos" w:hAnsi="Aptos"/>
                <w:b w:val="0"/>
                <w:sz w:val="16"/>
              </w:rPr>
              <w:t>Compatibility</w:t>
            </w:r>
          </w:p>
        </w:tc>
        <w:tc>
          <w:tcPr>
            <w:tcW w:type="dxa" w:w="8424"/>
            <w:vAlign w:val="center"/>
          </w:tcPr>
          <w:p>
            <w:pPr>
              <w:widowControl/>
              <w:spacing w:after="0"/>
            </w:pPr>
            <w:r/>
            <w:r>
              <w:rPr>
                <w:rFonts w:ascii="Aptos" w:hAnsi="Aptos"/>
                <w:b w:val="0"/>
                <w:sz w:val="16"/>
              </w:rPr>
              <w:t>Use explicit connector/vehicle compatibility fields; do not assume all EVs can use all chargers.</w:t>
            </w:r>
          </w:p>
        </w:tc>
      </w:tr>
      <w:tr>
        <w:trPr>
          <w:cantSplit/>
        </w:trPr>
        <w:tc>
          <w:tcPr>
            <w:tcW w:type="dxa" w:w="1944"/>
            <w:vAlign w:val="center"/>
            <w:shd w:fill="F1F6F8"/>
          </w:tcPr>
          <w:p>
            <w:pPr>
              <w:widowControl/>
              <w:spacing w:after="0"/>
            </w:pPr>
            <w:r/>
            <w:r>
              <w:rPr>
                <w:rFonts w:ascii="Aptos" w:hAnsi="Aptos"/>
                <w:b w:val="0"/>
                <w:sz w:val="16"/>
              </w:rPr>
              <w:t>Accessibility</w:t>
            </w:r>
          </w:p>
        </w:tc>
        <w:tc>
          <w:tcPr>
            <w:tcW w:type="dxa" w:w="8424"/>
            <w:vAlign w:val="center"/>
            <w:shd w:fill="F1F6F8"/>
          </w:tcPr>
          <w:p>
            <w:pPr>
              <w:widowControl/>
              <w:spacing w:after="0"/>
            </w:pPr>
            <w:r/>
            <w:r>
              <w:rPr>
                <w:rFonts w:ascii="Aptos" w:hAnsi="Aptos"/>
                <w:b w:val="0"/>
                <w:sz w:val="16"/>
              </w:rPr>
              <w:t>Readable labels, clear status text and usable layouts on common laptop/mobile widths.</w:t>
            </w:r>
          </w:p>
        </w:tc>
      </w:tr>
    </w:tbl>
    <w:p>
      <w:pPr>
        <w:spacing w:after="0"/>
      </w:pPr>
    </w:p>
    <w:p>
      <w:pPr>
        <w:pStyle w:val="Heading1"/>
        <w:keepNext/>
      </w:pPr>
      <w:r>
        <w:t>10. Success criteria / definition of done</w:t>
      </w:r>
    </w:p>
    <w:p>
      <w:pPr>
        <w:pStyle w:val="Heading2"/>
        <w:keepNext/>
      </w:pPr>
      <w:r>
        <w:t>P0 core MVP</w:t>
      </w:r>
    </w:p>
    <w:p>
      <w:pPr>
        <w:pStyle w:val="ListBullet"/>
        <w:spacing w:after="20"/>
      </w:pPr>
      <w:r>
        <w:t>Application starts and builds from the repository instructions.</w:t>
      </w:r>
    </w:p>
    <w:p>
      <w:pPr>
        <w:pStyle w:val="ListBullet"/>
        <w:spacing w:after="20"/>
      </w:pPr>
      <w:r>
        <w:t>Real public demand context, if API access is verified, is distinguished from simulated local transformer data.</w:t>
      </w:r>
    </w:p>
    <w:p>
      <w:pPr>
        <w:pStyle w:val="ListBullet"/>
        <w:spacing w:after="20"/>
      </w:pPr>
      <w:r>
        <w:t>At least one reproducible scenario shows an overloaded baseline and a calculated optimised schedule.</w:t>
      </w:r>
      <w:r/>
    </w:p>
    <w:p>
      <w:pPr>
        <w:pStyle w:val="ListBullet"/>
      </w:pPr>
      <w:r>
        <w:t>In a seeded feasible scenario, the optimised schedule lowers the calculated peak load without violating required energy or deadlines; otherwise, the app explains the limiting constraint and makes no peak-reduction claim.</w:t>
      </w:r>
    </w:p>
    <w:p>
      <w:pPr>
        <w:pStyle w:val="ListBullet"/>
        <w:spacing w:after="20"/>
      </w:pPr>
      <w:r>
        <w:t>Feasible charging requests respect required energy, power and deadline; impossible requests are flagged.</w:t>
      </w:r>
    </w:p>
    <w:p>
      <w:pPr>
        <w:pStyle w:val="ListBullet"/>
        <w:spacing w:after="20"/>
      </w:pPr>
      <w:r>
        <w:t>Before/after metrics update from the schedules and are not fixed demo numbers.</w:t>
      </w:r>
    </w:p>
    <w:p>
      <w:pPr>
        <w:pStyle w:val="ListBullet"/>
        <w:spacing w:after="20"/>
      </w:pPr>
      <w:r>
        <w:t>Fallback mode works without the external API.</w:t>
      </w:r>
    </w:p>
    <w:p>
      <w:pPr>
        <w:pStyle w:val="ListBullet"/>
        <w:spacing w:after="20"/>
      </w:pPr>
      <w:r>
        <w:t>The main demo path has no critical errors or misleading data claims.</w:t>
      </w:r>
    </w:p>
    <w:p>
      <w:pPr>
        <w:pStyle w:val="Heading2"/>
        <w:keepNext/>
      </w:pPr>
      <w:r>
        <w:t>P1 extension prototype (only if P0 is stable)</w:t>
      </w:r>
    </w:p>
    <w:p>
      <w:pPr>
        <w:pStyle w:val="ListBullet"/>
        <w:spacing w:after="20"/>
      </w:pPr>
      <w:r>
        <w:t>A driver can find sample/demo chargers within a selected radius.</w:t>
      </w:r>
    </w:p>
    <w:p>
      <w:pPr>
        <w:pStyle w:val="ListBullet"/>
        <w:spacing w:after="20"/>
      </w:pPr>
      <w:r>
        <w:t>Results expose known connector compatibility, power, price and availability fields; unknowns are clearly marked.</w:t>
      </w:r>
    </w:p>
    <w:p>
      <w:pPr>
        <w:pStyle w:val="ListBullet"/>
        <w:spacing w:after="20"/>
      </w:pPr>
      <w:r>
        <w:t>A host can create or edit a demo listing and its availability.</w:t>
      </w:r>
    </w:p>
    <w:p>
      <w:pPr>
        <w:pStyle w:val="ListBullet"/>
        <w:spacing w:after="20"/>
      </w:pPr>
      <w:r>
        <w:t>A simulated booking request can be submitted and its status displayed honestly.</w:t>
      </w:r>
    </w:p>
    <w:p>
      <w:pPr>
        <w:pStyle w:val="ListBullet"/>
        <w:spacing w:after="20"/>
      </w:pPr>
      <w:r>
        <w:t>The interface distinguishes demo listings from real, verified chargers and does not claim live payments or guaranteed access.</w:t>
      </w:r>
    </w:p>
    <w:p>
      <w:pPr>
        <w:pStyle w:val="Heading1"/>
        <w:keepNext/>
      </w:pPr>
      <w:r>
        <w:t>11. Data assumptions and limitations</w:t>
      </w:r>
    </w:p>
    <w:p>
      <w:pPr>
        <w:pStyle w:val="ListBullet"/>
        <w:spacing w:after="20"/>
      </w:pPr>
      <w:r>
        <w:t>Public national/state demand data, if successfully accessed, provides wider grid context; it does not reveal the live load of a particular neighbourhood transformer.</w:t>
      </w:r>
    </w:p>
    <w:p>
      <w:pPr>
        <w:pStyle w:val="ListBullet"/>
        <w:spacing w:after="20"/>
      </w:pPr>
      <w:r>
        <w:t>Local transformer capacity, background demand and EV sessions are simulated unless independently verified otherwise.</w:t>
      </w:r>
    </w:p>
    <w:p>
      <w:pPr>
        <w:pStyle w:val="ListBullet"/>
        <w:spacing w:after="20"/>
      </w:pPr>
      <w:r>
        <w:t>Do not fabricate a live forecast if the selected source does not provide one.</w:t>
      </w:r>
    </w:p>
    <w:p>
      <w:pPr>
        <w:pStyle w:val="ListBullet"/>
        <w:spacing w:after="20"/>
      </w:pPr>
      <w:r>
        <w:t>Private charger listings and availability are demo data unless hosts have actually submitted them and their current availability has been verified.</w:t>
      </w:r>
    </w:p>
    <w:p>
      <w:pPr>
        <w:pStyle w:val="ListBullet"/>
        <w:spacing w:after="20"/>
      </w:pPr>
      <w:r>
        <w:t>The prototype does not dispatch commands to chargers, guarantee emergency charging access, or replace roadside assistance.</w:t>
      </w:r>
    </w:p>
    <w:p>
      <w:pPr>
        <w:pStyle w:val="ListBullet"/>
        <w:spacing w:after="20"/>
      </w:pPr>
      <w:r>
        <w:t>A low battery percentage is not a dependable standalone estimate of range; the driver should use a vehicle-specific range estimate and confirm the route/access conditions.</w:t>
      </w:r>
    </w:p>
    <w:p>
      <w:pPr>
        <w:pStyle w:val="ListBullet"/>
        <w:spacing w:after="20"/>
      </w:pPr>
      <w:r>
        <w:t>Real-world peer-to-peer charging would require further review of applicable local rules, safety, host permissions, insurance/liability, pricing/tax treatment, privacy and payment handling before launch.</w:t>
      </w:r>
    </w:p>
    <w:p>
      <w:pPr>
        <w:pStyle w:val="Heading1"/>
        <w:keepNext/>
      </w:pPr>
      <w:r>
        <w:t>12. Explicit exclusions for this build</w:t>
      </w:r>
    </w:p>
    <w:p>
      <w:pPr>
        <w:pStyle w:val="ListBullet"/>
        <w:spacing w:after="20"/>
      </w:pPr>
      <w:r>
        <w:t>Real transformer/charger hardware control or smart-meter integrations.</w:t>
      </w:r>
    </w:p>
    <w:p>
      <w:pPr>
        <w:pStyle w:val="ListBullet"/>
        <w:spacing w:after="20"/>
      </w:pPr>
      <w:r>
        <w:t>Production-grade private charger marketplace with guaranteed availability.</w:t>
      </w:r>
    </w:p>
    <w:p>
      <w:pPr>
        <w:pStyle w:val="ListBullet"/>
        <w:spacing w:after="20"/>
      </w:pPr>
      <w:r>
        <w:t>Real payments, subscriptions, payouts, refunds or billing.</w:t>
      </w:r>
    </w:p>
    <w:p>
      <w:pPr>
        <w:pStyle w:val="ListBullet"/>
        <w:spacing w:after="20"/>
      </w:pPr>
      <w:r>
        <w:t>Identity verification, dispute management, insurance coverage or emergency dispatch.</w:t>
      </w:r>
    </w:p>
    <w:p>
      <w:pPr>
        <w:pStyle w:val="ListBullet"/>
        <w:spacing w:after="20"/>
      </w:pPr>
      <w:r>
        <w:t>A complex machine-learning model, chatbot or paid AI API.</w:t>
      </w:r>
    </w:p>
    <w:p>
      <w:pPr>
        <w:pStyle w:val="ListBullet"/>
        <w:spacing w:after="20"/>
      </w:pPr>
      <w:r>
        <w:t>Claims of official tariffs, verified road travel times or guaranteed battery reachability without supporting data.</w:t>
      </w:r>
    </w:p>
    <w:p>
      <w:pPr>
        <w:pStyle w:val="Heading1"/>
        <w:keepNext/>
      </w:pPr>
      <w:r>
        <w:t>13. Team responsibilities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664"/>
            <w:vAlign w:val="center"/>
            <w:shd w:fill="12304A"/>
          </w:tcPr>
          <w:p>
            <w:pPr>
              <w:widowControl/>
              <w:spacing w:after="0"/>
            </w:pPr>
            <w:r/>
            <w:r>
              <w:rPr>
                <w:rFonts w:ascii="Aptos" w:hAnsi="Aptos"/>
                <w:b/>
                <w:color w:val="FFFFFF"/>
                <w:sz w:val="16"/>
              </w:rPr>
              <w:t>Member</w:t>
            </w:r>
          </w:p>
        </w:tc>
        <w:tc>
          <w:tcPr>
            <w:tcW w:type="dxa" w:w="7704"/>
            <w:vAlign w:val="center"/>
            <w:shd w:fill="12304A"/>
          </w:tcPr>
          <w:p>
            <w:pPr>
              <w:widowControl/>
            </w:pPr>
            <w:r>
              <w:t>Owns / delivers</w:t>
            </w:r>
          </w:p>
        </w:tc>
      </w:tr>
      <w:tr>
        <w:trPr>
          <w:cantSplit/>
        </w:trPr>
        <w:tc>
          <w:tcPr>
            <w:tcW w:type="dxa" w:w="2664"/>
            <w:vAlign w:val="center"/>
          </w:tcPr>
          <w:p>
            <w:pPr>
              <w:widowControl/>
              <w:spacing w:after="0"/>
            </w:pPr>
            <w:r/>
            <w:r>
              <w:rPr>
                <w:rFonts w:ascii="Aptos" w:hAnsi="Aptos"/>
                <w:b w:val="0"/>
                <w:sz w:val="16"/>
              </w:rPr>
              <w:t>Member 1 — Technical lead</w:t>
            </w:r>
          </w:p>
        </w:tc>
        <w:tc>
          <w:tcPr>
            <w:tcW w:type="dxa" w:w="7704"/>
            <w:vAlign w:val="center"/>
          </w:tcPr>
          <w:p>
            <w:pPr>
              <w:widowControl/>
            </w:pPr>
            <w:r>
              <w:t>App skeleton and integration; shared data/API contracts; GitHub branch/PR workflow; configuration, run instructions and deployment. Integrates modules but does not invent the domain algorithm.</w:t>
            </w:r>
          </w:p>
        </w:tc>
      </w:tr>
      <w:tr>
        <w:trPr>
          <w:cantSplit/>
        </w:trPr>
        <w:tc>
          <w:tcPr>
            <w:tcW w:type="dxa" w:w="2664"/>
            <w:vAlign w:val="center"/>
            <w:shd w:fill="F1F6F8"/>
          </w:tcPr>
          <w:p>
            <w:pPr>
              <w:widowControl/>
              <w:spacing w:after="0"/>
            </w:pPr>
            <w:r/>
            <w:r>
              <w:rPr>
                <w:rFonts w:ascii="Aptos" w:hAnsi="Aptos"/>
                <w:b w:val="0"/>
                <w:sz w:val="16"/>
              </w:rPr>
              <w:t>Member 2 — Data &amp; algorithms</w:t>
            </w:r>
          </w:p>
        </w:tc>
        <w:tc>
          <w:tcPr>
            <w:tcW w:type="dxa" w:w="7704"/>
            <w:vAlign w:val="center"/>
            <w:shd w:fill="F1F6F8"/>
          </w:tcPr>
          <w:p>
            <w:pPr>
              <w:widowControl/>
            </w:pPr>
            <w:r>
              <w:t>Public-data source verification; labelled fallback data; transformer/EV simulation; demand classes, illustrative pricing and scheduling logic; hand-calculated unit tests. Exposes agreed inputs/outputs for integration.</w:t>
            </w:r>
          </w:p>
        </w:tc>
      </w:tr>
      <w:tr>
        <w:trPr>
          <w:cantSplit/>
        </w:trPr>
        <w:tc>
          <w:tcPr>
            <w:tcW w:type="dxa" w:w="2664"/>
            <w:vAlign w:val="center"/>
          </w:tcPr>
          <w:p>
            <w:pPr>
              <w:widowControl/>
              <w:spacing w:after="0"/>
            </w:pPr>
            <w:r/>
            <w:r>
              <w:rPr>
                <w:rFonts w:ascii="Aptos" w:hAnsi="Aptos"/>
                <w:b w:val="0"/>
                <w:sz w:val="16"/>
              </w:rPr>
              <w:t>Member 3 — UI &amp; QA</w:t>
            </w:r>
          </w:p>
        </w:tc>
        <w:tc>
          <w:tcPr>
            <w:tcW w:type="dxa" w:w="7704"/>
            <w:vAlign w:val="center"/>
          </w:tcPr>
          <w:p>
            <w:pPr>
              <w:widowControl/>
            </w:pPr>
            <w:r>
              <w:t>Dashboard forms, charts and result/error states; UI wiring to the agreed inputs/outputs; end-to-end test checklist, bug tracking and demo flow. Builds host/driver extension screens only after P0 passes.</w:t>
            </w:r>
          </w:p>
        </w:tc>
      </w:tr>
    </w:tbl>
    <w:p>
      <w:pPr>
        <w:spacing w:after="0"/>
      </w:pPr>
    </w:p>
    <w:p>
      <w:r>
        <w:t>Shared rule: agree the data structures and function/API inputs and outputs before parallel coding. Member 2 owns the calculations/data logic; Member 3 consumes the agreed outputs in the UI; Member 1 integrates the modules. Use feature branches and pull requests, assign file ownership, and keep main runnable. Do not build three separate apps or overwrite one another’s work.</w:t>
      </w:r>
    </w:p>
    <w:p>
      <w:pPr>
        <w:pStyle w:val="Heading1"/>
        <w:keepNext/>
      </w:pPr>
      <w:r>
        <w:t>14. Main risks and mitigations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3096"/>
            <w:vAlign w:val="center"/>
            <w:shd w:fill="12304A"/>
          </w:tcPr>
          <w:p>
            <w:pPr>
              <w:widowControl/>
              <w:spacing w:after="0"/>
            </w:pPr>
            <w:r/>
            <w:r>
              <w:rPr>
                <w:rFonts w:ascii="Aptos" w:hAnsi="Aptos"/>
                <w:b/>
                <w:color w:val="FFFFFF"/>
                <w:sz w:val="16"/>
              </w:rPr>
              <w:t>Risk</w:t>
            </w:r>
          </w:p>
        </w:tc>
        <w:tc>
          <w:tcPr>
            <w:tcW w:type="dxa" w:w="7272"/>
            <w:vAlign w:val="center"/>
            <w:shd w:fill="12304A"/>
          </w:tcPr>
          <w:p>
            <w:pPr>
              <w:widowControl/>
              <w:spacing w:after="0"/>
            </w:pPr>
            <w:r/>
            <w:r>
              <w:rPr>
                <w:rFonts w:ascii="Aptos" w:hAnsi="Aptos"/>
                <w:b/>
                <w:color w:val="FFFFFF"/>
                <w:sz w:val="16"/>
              </w:rPr>
              <w:t>Mitigation</w:t>
            </w:r>
          </w:p>
        </w:tc>
      </w:tr>
      <w:tr>
        <w:trPr>
          <w:cantSplit/>
        </w:trPr>
        <w:tc>
          <w:tcPr>
            <w:tcW w:type="dxa" w:w="3096"/>
            <w:vAlign w:val="center"/>
          </w:tcPr>
          <w:p>
            <w:pPr>
              <w:widowControl/>
              <w:spacing w:after="0"/>
            </w:pPr>
            <w:r/>
            <w:r>
              <w:rPr>
                <w:rFonts w:ascii="Aptos" w:hAnsi="Aptos"/>
                <w:b w:val="0"/>
                <w:sz w:val="16"/>
              </w:rPr>
              <w:t>Public API is unavailable or quota-limited.</w:t>
            </w:r>
          </w:p>
        </w:tc>
        <w:tc>
          <w:tcPr>
            <w:tcW w:type="dxa" w:w="7272"/>
            <w:vAlign w:val="center"/>
          </w:tcPr>
          <w:p>
            <w:pPr>
              <w:widowControl/>
              <w:spacing w:after="0"/>
            </w:pPr>
            <w:r/>
            <w:r>
              <w:rPr>
                <w:rFonts w:ascii="Aptos" w:hAnsi="Aptos"/>
                <w:b w:val="0"/>
                <w:sz w:val="16"/>
              </w:rPr>
              <w:t>Verify early; keep core workflow independent and use labelled fallback data.</w:t>
            </w:r>
          </w:p>
        </w:tc>
      </w:tr>
      <w:tr>
        <w:trPr>
          <w:cantSplit/>
        </w:trPr>
        <w:tc>
          <w:tcPr>
            <w:tcW w:type="dxa" w:w="3096"/>
            <w:vAlign w:val="center"/>
            <w:shd w:fill="F1F6F8"/>
          </w:tcPr>
          <w:p>
            <w:pPr>
              <w:widowControl/>
              <w:spacing w:after="0"/>
            </w:pPr>
            <w:r/>
            <w:r>
              <w:rPr>
                <w:rFonts w:ascii="Aptos" w:hAnsi="Aptos"/>
                <w:b w:val="0"/>
                <w:sz w:val="16"/>
              </w:rPr>
              <w:t>Extension distracts from original problem #053.</w:t>
            </w:r>
          </w:p>
        </w:tc>
        <w:tc>
          <w:tcPr>
            <w:tcW w:type="dxa" w:w="7272"/>
            <w:vAlign w:val="center"/>
            <w:shd w:fill="F1F6F8"/>
          </w:tcPr>
          <w:p>
            <w:pPr>
              <w:widowControl/>
              <w:spacing w:after="0"/>
            </w:pPr>
            <w:r/>
            <w:r>
              <w:rPr>
                <w:rFonts w:ascii="Aptos" w:hAnsi="Aptos"/>
                <w:b w:val="0"/>
                <w:sz w:val="16"/>
              </w:rPr>
              <w:t>Treat P0 grid-aware scheduling as mandatory; only build P1 after P0 passes acceptance tests.</w:t>
            </w:r>
          </w:p>
        </w:tc>
      </w:tr>
      <w:tr>
        <w:trPr>
          <w:cantSplit/>
        </w:trPr>
        <w:tc>
          <w:tcPr>
            <w:tcW w:type="dxa" w:w="3096"/>
            <w:vAlign w:val="center"/>
          </w:tcPr>
          <w:p>
            <w:pPr>
              <w:widowControl/>
              <w:spacing w:after="0"/>
            </w:pPr>
            <w:r/>
            <w:r>
              <w:rPr>
                <w:rFonts w:ascii="Aptos" w:hAnsi="Aptos"/>
                <w:b w:val="0"/>
                <w:sz w:val="16"/>
              </w:rPr>
              <w:t>Scheduler outputs invalid results.</w:t>
            </w:r>
          </w:p>
        </w:tc>
        <w:tc>
          <w:tcPr>
            <w:tcW w:type="dxa" w:w="7272"/>
            <w:vAlign w:val="center"/>
          </w:tcPr>
          <w:p>
            <w:pPr>
              <w:widowControl/>
              <w:spacing w:after="0"/>
            </w:pPr>
            <w:r/>
            <w:r>
              <w:rPr>
                <w:rFonts w:ascii="Aptos" w:hAnsi="Aptos"/>
                <w:b w:val="0"/>
                <w:sz w:val="16"/>
              </w:rPr>
              <w:t>Define constraints, test hand-calculated examples and report infeasible cases.</w:t>
            </w:r>
          </w:p>
        </w:tc>
      </w:tr>
      <w:tr>
        <w:trPr>
          <w:cantSplit/>
        </w:trPr>
        <w:tc>
          <w:tcPr>
            <w:tcW w:type="dxa" w:w="3096"/>
            <w:vAlign w:val="center"/>
            <w:shd w:fill="F1F6F8"/>
          </w:tcPr>
          <w:p>
            <w:pPr>
              <w:widowControl/>
              <w:spacing w:after="0"/>
            </w:pPr>
            <w:r/>
            <w:r>
              <w:rPr>
                <w:rFonts w:ascii="Aptos" w:hAnsi="Aptos"/>
                <w:b w:val="0"/>
                <w:sz w:val="16"/>
              </w:rPr>
              <w:t>Listings appear available when they are not.</w:t>
            </w:r>
          </w:p>
        </w:tc>
        <w:tc>
          <w:tcPr>
            <w:tcW w:type="dxa" w:w="7272"/>
            <w:vAlign w:val="center"/>
            <w:shd w:fill="F1F6F8"/>
          </w:tcPr>
          <w:p>
            <w:pPr>
              <w:widowControl/>
              <w:spacing w:after="0"/>
            </w:pPr>
            <w:r/>
            <w:r>
              <w:rPr>
                <w:rFonts w:ascii="Aptos" w:hAnsi="Aptos"/>
                <w:b w:val="0"/>
                <w:sz w:val="16"/>
              </w:rPr>
              <w:t>Label demo data; never claim live availability without verification and confirmation.</w:t>
            </w:r>
          </w:p>
        </w:tc>
      </w:tr>
      <w:tr>
        <w:trPr>
          <w:cantSplit/>
        </w:trPr>
        <w:tc>
          <w:tcPr>
            <w:tcW w:type="dxa" w:w="3096"/>
            <w:vAlign w:val="center"/>
          </w:tcPr>
          <w:p>
            <w:pPr>
              <w:widowControl/>
              <w:spacing w:after="0"/>
            </w:pPr>
            <w:r/>
            <w:r>
              <w:rPr>
                <w:rFonts w:ascii="Aptos" w:hAnsi="Aptos"/>
                <w:b w:val="0"/>
                <w:sz w:val="16"/>
              </w:rPr>
              <w:t>A driver relies on a misleading range estimate.</w:t>
            </w:r>
          </w:p>
        </w:tc>
        <w:tc>
          <w:tcPr>
            <w:tcW w:type="dxa" w:w="7272"/>
            <w:vAlign w:val="center"/>
          </w:tcPr>
          <w:p>
            <w:pPr>
              <w:widowControl/>
              <w:spacing w:after="0"/>
            </w:pPr>
            <w:r/>
            <w:r>
              <w:rPr>
                <w:rFonts w:ascii="Aptos" w:hAnsi="Aptos"/>
                <w:b w:val="0"/>
                <w:sz w:val="16"/>
              </w:rPr>
              <w:t>Show distance and uncertainty; do not promise reachability based on battery percentage alone.</w:t>
            </w:r>
          </w:p>
        </w:tc>
      </w:tr>
      <w:tr>
        <w:trPr>
          <w:cantSplit/>
        </w:trPr>
        <w:tc>
          <w:tcPr>
            <w:tcW w:type="dxa" w:w="3096"/>
            <w:vAlign w:val="center"/>
            <w:shd w:fill="F1F6F8"/>
          </w:tcPr>
          <w:p>
            <w:pPr>
              <w:widowControl/>
              <w:spacing w:after="0"/>
            </w:pPr>
            <w:r/>
            <w:r>
              <w:rPr>
                <w:rFonts w:ascii="Aptos" w:hAnsi="Aptos"/>
                <w:b w:val="0"/>
                <w:sz w:val="16"/>
              </w:rPr>
              <w:t>Host privacy or access creates risk.</w:t>
            </w:r>
          </w:p>
        </w:tc>
        <w:tc>
          <w:tcPr>
            <w:tcW w:type="dxa" w:w="7272"/>
            <w:vAlign w:val="center"/>
            <w:shd w:fill="F1F6F8"/>
          </w:tcPr>
          <w:p>
            <w:pPr>
              <w:widowControl/>
              <w:spacing w:after="0"/>
            </w:pPr>
            <w:r/>
            <w:r>
              <w:rPr>
                <w:rFonts w:ascii="Aptos" w:hAnsi="Aptos"/>
                <w:b w:val="0"/>
                <w:sz w:val="16"/>
              </w:rPr>
              <w:t>Use opt-in listings, avoid public exact home addresses by default, and show access conditions before requests.</w:t>
            </w:r>
          </w:p>
        </w:tc>
      </w:tr>
      <w:tr>
        <w:trPr>
          <w:cantSplit/>
        </w:trPr>
        <w:tc>
          <w:tcPr>
            <w:tcW w:type="dxa" w:w="3096"/>
            <w:vAlign w:val="center"/>
          </w:tcPr>
          <w:p>
            <w:pPr>
              <w:widowControl/>
              <w:spacing w:after="0"/>
            </w:pPr>
            <w:r/>
            <w:r>
              <w:rPr>
                <w:rFonts w:ascii="Aptos" w:hAnsi="Aptos"/>
                <w:b w:val="0"/>
                <w:sz w:val="16"/>
              </w:rPr>
              <w:t>Parallel work causes merge conflicts.</w:t>
            </w:r>
          </w:p>
        </w:tc>
        <w:tc>
          <w:tcPr>
            <w:tcW w:type="dxa" w:w="7272"/>
            <w:vAlign w:val="center"/>
          </w:tcPr>
          <w:p>
            <w:pPr>
              <w:widowControl/>
              <w:spacing w:after="0"/>
            </w:pPr>
            <w:r/>
            <w:r>
              <w:rPr>
                <w:rFonts w:ascii="Aptos" w:hAnsi="Aptos"/>
                <w:b w:val="0"/>
                <w:sz w:val="16"/>
              </w:rPr>
              <w:t>Assign file ownership, keep branches small and review pull requests.</w:t>
            </w:r>
          </w:p>
        </w:tc>
      </w:tr>
      <w:tr>
        <w:trPr>
          <w:cantSplit/>
        </w:trPr>
        <w:tc>
          <w:tcPr>
            <w:tcW w:type="dxa" w:w="3096"/>
            <w:vAlign w:val="center"/>
            <w:shd w:fill="F1F6F8"/>
          </w:tcPr>
          <w:p>
            <w:pPr>
              <w:widowControl/>
              <w:spacing w:after="0"/>
            </w:pPr>
            <w:r/>
            <w:r>
              <w:rPr>
                <w:rFonts w:ascii="Aptos" w:hAnsi="Aptos"/>
                <w:b w:val="0"/>
                <w:sz w:val="16"/>
              </w:rPr>
              <w:t>Scope/time overrun.</w:t>
            </w:r>
          </w:p>
        </w:tc>
        <w:tc>
          <w:tcPr>
            <w:tcW w:type="dxa" w:w="7272"/>
            <w:vAlign w:val="center"/>
            <w:shd w:fill="F1F6F8"/>
          </w:tcPr>
          <w:p>
            <w:pPr>
              <w:widowControl/>
              <w:spacing w:after="0"/>
            </w:pPr>
            <w:r/>
            <w:r>
              <w:rPr>
                <w:rFonts w:ascii="Aptos" w:hAnsi="Aptos"/>
                <w:b w:val="0"/>
                <w:sz w:val="16"/>
              </w:rPr>
              <w:t>No live payments, authentication, hardware control or production marketplace in the hackathon MVP.</w:t>
            </w:r>
          </w:p>
        </w:tc>
      </w:tr>
    </w:tbl>
    <w:p>
      <w:pPr>
        <w:spacing w:after="0"/>
      </w:pPr>
    </w:p>
    <w:p>
      <w:pPr>
        <w:pStyle w:val="Heading1"/>
        <w:keepNext/>
      </w:pPr>
      <w:r>
        <w:t>15. Next steps</w:t>
      </w:r>
    </w:p>
    <w:p>
      <w:pPr>
        <w:pStyle w:val="ListNumber"/>
        <w:spacing w:after="20"/>
        <w:numPr>
          <w:ilvl w:val="0"/>
          <w:numId w:val="13"/>
        </w:numPr>
      </w:pPr>
      <w:r>
        <w:t>Treat this PRD as the scope baseline. Have all three members confirm the P0/P1 boundary and ownership in Section 13; this sign-off is team alignment, not proof that an API or feature is already live.</w:t>
      </w:r>
    </w:p>
    <w:p>
      <w:pPr>
        <w:pStyle w:val="ListNumber"/>
        <w:spacing w:after="20"/>
        <w:numPr>
          <w:ilvl w:val="0"/>
          <w:numId w:val="13"/>
        </w:numPr>
      </w:pPr>
      <w:r>
        <w:t>Create D02 — Data, API &amp; Algorithm Specification just far enough to lock the provider/fallback plan, shared input/output schema, demand thresholds, illustrative pricing formula, scheduler constraints and test scenarios.</w:t>
      </w:r>
    </w:p>
    <w:p>
      <w:pPr>
        <w:pStyle w:val="ListNumber"/>
        <w:spacing w:after="20"/>
        <w:numPr>
          <w:ilvl w:val="0"/>
          <w:numId w:val="13"/>
        </w:numPr>
      </w:pPr>
      <w:r>
        <w:t>Create a concise D03 — Technical Architecture &amp; UI Specification with the app structure, screen flow and module boundaries. Do not delay the prototype for a polished document.</w:t>
      </w:r>
    </w:p>
    <w:p>
      <w:pPr>
        <w:pStyle w:val="ListNumber"/>
        <w:spacing w:after="20"/>
        <w:numPr>
          <w:ilvl w:val="0"/>
          <w:numId w:val="13"/>
        </w:numPr>
      </w:pPr>
      <w:r>
        <w:t>Use a concise D04 — Team, GitHub &amp; Antigravity Workflow to record branch names, file ownership, pull-request checks and how prompts/context are shared in Antigravity.</w:t>
      </w:r>
    </w:p>
    <w:p>
      <w:pPr>
        <w:pStyle w:val="ListNumber"/>
        <w:spacing w:after="20"/>
        <w:numPr>
          <w:ilvl w:val="0"/>
          <w:numId w:val="13"/>
        </w:numPr>
      </w:pPr>
      <w:r>
        <w:t>Build and test P0 end-to-end: Member 1 scaffolds/integrates, Member 2 builds data and algorithms, and Member 3 builds the dashboard/test checklist against the agreed contract.</w:t>
      </w:r>
    </w:p>
    <w:p>
      <w:pPr>
        <w:pStyle w:val="ListNumber"/>
        <w:spacing w:after="20"/>
        <w:numPr>
          <w:ilvl w:val="0"/>
          <w:numId w:val="13"/>
        </w:numPr>
      </w:pPr>
      <w:r>
        <w:t>Only after P0 passes the success criteria, build the P1 discovery/listing/booking simulation if time remains; do not add real payments or claim verified live charger availability.</w:t>
      </w:r>
    </w:p>
    <w:p>
      <w:pPr>
        <w:pStyle w:val="ListNumber"/>
        <w:spacing w:after="20"/>
        <w:numPr>
          <w:ilvl w:val="0"/>
          <w:numId w:val="13"/>
        </w:numPr>
      </w:pPr>
      <w:r>
        <w:t>Prepare D05 — Testing, Deployment &amp; Demo Guide from the actual implementation and tested demo path, not from planned-but-unbuilt features.</w:t>
      </w:r>
    </w:p>
    <w:p>
      <w:pPr>
        <w:pStyle w:val="Heading1"/>
        <w:keepNext/>
      </w:pPr>
      <w:r>
        <w:t>16. Approval</w:t>
      </w:r>
    </w:p>
    <w:p>
      <w:r>
        <w:t>Approval confirms that the team agrees on the core MVP, staged extension, exclusions, data honesty rules and success criteria. It does not confirm that the external API has been verified or that any feature has already been implemented.</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448"/>
            <w:vAlign w:val="center"/>
            <w:shd w:fill="12304A"/>
          </w:tcPr>
          <w:p>
            <w:pPr>
              <w:widowControl/>
              <w:spacing w:after="0"/>
            </w:pPr>
            <w:r/>
            <w:r>
              <w:rPr>
                <w:rFonts w:ascii="Aptos" w:hAnsi="Aptos"/>
                <w:b/>
                <w:color w:val="FFFFFF"/>
                <w:sz w:val="16"/>
              </w:rPr>
              <w:t>Approver</w:t>
            </w:r>
          </w:p>
        </w:tc>
        <w:tc>
          <w:tcPr>
            <w:tcW w:type="dxa" w:w="1728"/>
            <w:vAlign w:val="center"/>
            <w:shd w:fill="12304A"/>
          </w:tcPr>
          <w:p>
            <w:pPr>
              <w:widowControl/>
              <w:spacing w:after="0"/>
            </w:pPr>
            <w:r/>
            <w:r>
              <w:rPr>
                <w:rFonts w:ascii="Aptos" w:hAnsi="Aptos"/>
                <w:b/>
                <w:color w:val="FFFFFF"/>
                <w:sz w:val="16"/>
              </w:rPr>
              <w:t>Status</w:t>
            </w:r>
          </w:p>
        </w:tc>
        <w:tc>
          <w:tcPr>
            <w:tcW w:type="dxa" w:w="6624"/>
            <w:vAlign w:val="center"/>
            <w:shd w:fill="12304A"/>
          </w:tcPr>
          <w:p>
            <w:pPr>
              <w:widowControl/>
              <w:spacing w:after="0"/>
            </w:pPr>
            <w:r/>
            <w:r>
              <w:rPr>
                <w:rFonts w:ascii="Aptos" w:hAnsi="Aptos"/>
                <w:b/>
                <w:color w:val="FFFFFF"/>
                <w:sz w:val="16"/>
              </w:rPr>
              <w:t>Notes</w:t>
            </w:r>
          </w:p>
        </w:tc>
      </w:tr>
      <w:tr>
        <w:trPr>
          <w:cantSplit/>
        </w:trPr>
        <w:tc>
          <w:tcPr>
            <w:tcW w:type="dxa" w:w="2448"/>
            <w:vAlign w:val="center"/>
          </w:tcPr>
          <w:p>
            <w:pPr>
              <w:widowControl/>
              <w:spacing w:after="0"/>
            </w:pPr>
            <w:r/>
            <w:r>
              <w:rPr>
                <w:rFonts w:ascii="Aptos" w:hAnsi="Aptos"/>
                <w:b w:val="0"/>
                <w:sz w:val="16"/>
              </w:rPr>
              <w:t>Member 1</w:t>
            </w:r>
          </w:p>
        </w:tc>
        <w:tc>
          <w:tcPr>
            <w:tcW w:type="dxa" w:w="1728"/>
            <w:vAlign w:val="center"/>
          </w:tcPr>
          <w:p>
            <w:pPr>
              <w:widowControl/>
              <w:spacing w:after="0"/>
            </w:pPr>
            <w:r/>
            <w:r>
              <w:rPr>
                <w:rFonts w:ascii="Aptos" w:hAnsi="Aptos"/>
                <w:b w:val="0"/>
                <w:sz w:val="16"/>
              </w:rPr>
              <w:t>Pending</w:t>
            </w:r>
          </w:p>
        </w:tc>
        <w:tc>
          <w:tcPr>
            <w:tcW w:type="dxa" w:w="6624"/>
            <w:vAlign w:val="center"/>
          </w:tcPr>
          <w:p>
            <w:pPr>
              <w:widowControl/>
              <w:spacing w:after="0"/>
            </w:pPr>
            <w:r/>
            <w:r>
              <w:rPr>
                <w:rFonts w:ascii="Aptos" w:hAnsi="Aptos"/>
                <w:b w:val="0"/>
                <w:sz w:val="16"/>
              </w:rPr>
            </w:r>
          </w:p>
        </w:tc>
      </w:tr>
      <w:tr>
        <w:trPr>
          <w:cantSplit/>
        </w:trPr>
        <w:tc>
          <w:tcPr>
            <w:tcW w:type="dxa" w:w="2448"/>
            <w:vAlign w:val="center"/>
            <w:shd w:fill="F1F6F8"/>
          </w:tcPr>
          <w:p>
            <w:pPr>
              <w:widowControl/>
              <w:spacing w:after="0"/>
            </w:pPr>
            <w:r/>
            <w:r>
              <w:rPr>
                <w:rFonts w:ascii="Aptos" w:hAnsi="Aptos"/>
                <w:b w:val="0"/>
                <w:sz w:val="16"/>
              </w:rPr>
              <w:t>Member 2</w:t>
            </w:r>
          </w:p>
        </w:tc>
        <w:tc>
          <w:tcPr>
            <w:tcW w:type="dxa" w:w="1728"/>
            <w:vAlign w:val="center"/>
            <w:shd w:fill="F1F6F8"/>
          </w:tcPr>
          <w:p>
            <w:pPr>
              <w:widowControl/>
              <w:spacing w:after="0"/>
            </w:pPr>
            <w:r/>
            <w:r>
              <w:rPr>
                <w:rFonts w:ascii="Aptos" w:hAnsi="Aptos"/>
                <w:b w:val="0"/>
                <w:sz w:val="16"/>
              </w:rPr>
              <w:t>Pending</w:t>
            </w:r>
          </w:p>
        </w:tc>
        <w:tc>
          <w:tcPr>
            <w:tcW w:type="dxa" w:w="6624"/>
            <w:vAlign w:val="center"/>
            <w:shd w:fill="F1F6F8"/>
          </w:tcPr>
          <w:p>
            <w:pPr>
              <w:widowControl/>
              <w:spacing w:after="0"/>
            </w:pPr>
            <w:r/>
            <w:r>
              <w:rPr>
                <w:rFonts w:ascii="Aptos" w:hAnsi="Aptos"/>
                <w:b w:val="0"/>
                <w:sz w:val="16"/>
              </w:rPr>
            </w:r>
          </w:p>
        </w:tc>
      </w:tr>
      <w:tr>
        <w:trPr>
          <w:cantSplit/>
        </w:trPr>
        <w:tc>
          <w:tcPr>
            <w:tcW w:type="dxa" w:w="2448"/>
            <w:vAlign w:val="center"/>
          </w:tcPr>
          <w:p>
            <w:pPr>
              <w:widowControl/>
              <w:spacing w:after="0"/>
            </w:pPr>
            <w:r/>
            <w:r>
              <w:rPr>
                <w:rFonts w:ascii="Aptos" w:hAnsi="Aptos"/>
                <w:b w:val="0"/>
                <w:sz w:val="16"/>
              </w:rPr>
              <w:t>Member 3</w:t>
            </w:r>
          </w:p>
        </w:tc>
        <w:tc>
          <w:tcPr>
            <w:tcW w:type="dxa" w:w="1728"/>
            <w:vAlign w:val="center"/>
          </w:tcPr>
          <w:p>
            <w:pPr>
              <w:widowControl/>
              <w:spacing w:after="0"/>
            </w:pPr>
            <w:r/>
            <w:r>
              <w:rPr>
                <w:rFonts w:ascii="Aptos" w:hAnsi="Aptos"/>
                <w:b w:val="0"/>
                <w:sz w:val="16"/>
              </w:rPr>
              <w:t>Pending</w:t>
            </w:r>
          </w:p>
        </w:tc>
        <w:tc>
          <w:tcPr>
            <w:tcW w:type="dxa" w:w="6624"/>
            <w:vAlign w:val="center"/>
          </w:tcPr>
          <w:p>
            <w:pPr>
              <w:widowControl/>
              <w:spacing w:after="0"/>
            </w:pPr>
            <w:r/>
            <w:r>
              <w:rPr>
                <w:rFonts w:ascii="Aptos" w:hAnsi="Aptos"/>
                <w:b w:val="0"/>
                <w:sz w:val="16"/>
              </w:rPr>
            </w:r>
          </w:p>
        </w:tc>
      </w:tr>
    </w:tbl>
    <w:p>
      <w:pPr>
        <w:spacing w:after="0"/>
      </w:pP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D01 · Version 2.1 · Final scope baseline for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CHARGESHARE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0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ChargeShare — Product Requirements Document</dc:title>
  <dc:subject>Final scope baseline for the Smart EV Charging hackathon prototype and staged charger-sharing extension</dc:subject>
  <dc:creator>python-docx</dc:creator>
  <cp:keywords/>
  <dc:description>Version 2.1; product scope baseline ready for team handoff.</dc:description>
  <cp:lastModifiedBy/>
  <cp:revision>1</cp:revision>
  <dcterms:created xsi:type="dcterms:W3CDTF">2013-12-23T23:15:00Z</dcterms:created>
  <dcterms:modified xsi:type="dcterms:W3CDTF">2013-12-23T23:15:00Z</dcterms:modified>
  <cp:category/>
</cp:coreProperties>
</file>