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NovaTech Supply Chain Control Tower</w:t>
      </w:r>
    </w:p>
    <w:p>
      <w:pPr>
        <w:spacing w:after="160"/>
      </w:pPr>
      <w:r>
        <w:rPr>
          <w:b/>
          <w:bCs/>
          <w:color w:val="B0243C"/>
          <w:sz w:val="26"/>
          <w:szCs w:val="26"/>
        </w:rPr>
        <w:t xml:space="preserve">Power BI Dashboard | Final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val="false"/>
        </w:trPr>
        <w:tc>
          <w:tcPr>
            <w:tcW w:type="dxa" w:w="22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Submitted by</w:t>
            </w:r>
          </w:p>
        </w:tc>
        <w:tc>
          <w:tcPr>
            <w:tcW w:type="dxa" w:w="68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Goutam Singh Mandloi</w:t>
            </w:r>
          </w:p>
        </w:tc>
      </w:tr>
      <w:tr>
        <w:trPr>
          <w:tblHeader w:val="false"/>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Batch</w:t>
            </w:r>
          </w:p>
        </w:tc>
        <w:tc>
          <w:tcPr>
            <w:tcW w:type="dxa" w:w="68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147</w:t>
            </w:r>
          </w:p>
        </w:tc>
      </w:tr>
      <w:tr>
        <w:trPr>
          <w:tblHeader w:val="false"/>
        </w:trPr>
        <w:tc>
          <w:tcPr>
            <w:tcW w:type="dxa" w:w="22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Course</w:t>
            </w:r>
          </w:p>
        </w:tc>
        <w:tc>
          <w:tcPr>
            <w:tcW w:type="dxa" w:w="68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Data analysis with GEN AI</w:t>
            </w:r>
          </w:p>
        </w:tc>
      </w:tr>
      <w:tr>
        <w:trPr>
          <w:tblHeader w:val="false"/>
        </w:trPr>
        <w:tc>
          <w:tcPr>
            <w:tcW w:type="dxa" w:w="2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Tool</w:t>
            </w:r>
          </w:p>
        </w:tc>
        <w:tc>
          <w:tcPr>
            <w:tcW w:type="dxa" w:w="68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Power BI Desktop (Power Query, data model, DAX)</w:t>
            </w:r>
          </w:p>
        </w:tc>
      </w:tr>
      <w:tr>
        <w:trPr>
          <w:tblHeader w:val="false"/>
        </w:trPr>
        <w:tc>
          <w:tcPr>
            <w:tcW w:type="dxa" w:w="22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Dataset</w:t>
            </w:r>
          </w:p>
        </w:tc>
        <w:tc>
          <w:tcPr>
            <w:tcW w:type="dxa" w:w="68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NovaTech Supply Chain Analytics Dataset (1,800 orders, 24 columns, Jan to Aug 2026)</w:t>
            </w:r>
          </w:p>
        </w:tc>
      </w:tr>
    </w:tbl>
    <w:p>
      <w:pPr>
        <w:pStyle w:val="Heading1"/>
        <w:pBdr>
          <w:bottom w:val="single" w:color="B0243C" w:sz="6" w:space="2"/>
        </w:pBdr>
        <w:spacing w:after="120" w:before="280"/>
      </w:pPr>
      <w:r>
        <w:rPr>
          <w:b/>
          <w:bCs/>
          <w:color w:val="1F3A5F"/>
          <w:sz w:val="30"/>
          <w:szCs w:val="30"/>
        </w:rPr>
        <w:t xml:space="preserve">1. The Problem</w:t>
      </w:r>
    </w:p>
    <w:p>
      <w:pPr>
        <w:spacing w:after="120" w:line="300"/>
      </w:pPr>
      <w:r>
        <w:t xml:space="preserve">NovaTech buys parts from 8 suppliers and delivers to customers across 5 regions. The COO does not want 50 metrics. The request was: build a one-page dashboard that shows whether customers are being served well while inventory is kept under control, and then say where the problem is and what management should investigate.</w:t>
      </w:r>
    </w:p>
    <w:p>
      <w:pPr>
        <w:spacing w:after="120" w:line="300"/>
      </w:pPr>
      <w:r>
        <w:t xml:space="preserve">The service side is measured by OTIF, Fill Rate and Stockout %. The inventory side is measured by Inventory Turns and Days Inventory.</w:t>
      </w:r>
    </w:p>
    <w:p>
      <w:pPr>
        <w:pStyle w:val="Heading1"/>
        <w:pBdr>
          <w:bottom w:val="single" w:color="B0243C" w:sz="6" w:space="2"/>
        </w:pBdr>
        <w:spacing w:after="120" w:before="280"/>
      </w:pPr>
      <w:r>
        <w:rPr>
          <w:b/>
          <w:bCs/>
          <w:color w:val="1F3A5F"/>
          <w:sz w:val="30"/>
          <w:szCs w:val="30"/>
        </w:rPr>
        <w:t xml:space="preserve">2. What I Built</w:t>
      </w:r>
    </w:p>
    <w:p>
      <w:pPr>
        <w:pStyle w:val="ListParagraph"/>
        <w:numPr>
          <w:ilvl w:val="0"/>
          <w:numId w:val="2"/>
        </w:numPr>
        <w:spacing w:after="60" w:line="290"/>
      </w:pPr>
      <w:r>
        <w:t xml:space="preserve">Loaded the CSV into Power Query, checked the data types, and confirmed there were no nulls or duplicates.</w:t>
      </w:r>
    </w:p>
    <w:p>
      <w:pPr>
        <w:pStyle w:val="ListParagraph"/>
        <w:numPr>
          <w:ilvl w:val="0"/>
          <w:numId w:val="2"/>
        </w:numPr>
        <w:spacing w:after="60" w:line="290"/>
      </w:pPr>
      <w:r>
        <w:t xml:space="preserve">Loaded the clean table into the data model and created a separate "KPI Measures" table to hold all DAX measures.</w:t>
      </w:r>
    </w:p>
    <w:p>
      <w:pPr>
        <w:pStyle w:val="ListParagraph"/>
        <w:numPr>
          <w:ilvl w:val="0"/>
          <w:numId w:val="2"/>
        </w:numPr>
        <w:spacing w:after="60" w:line="290"/>
      </w:pPr>
      <w:r>
        <w:t xml:space="preserve">Wrote DAX measures for the 5 KPIs and supporting measures (total orders, COGS, average inventory, lead time).</w:t>
      </w:r>
    </w:p>
    <w:p>
      <w:pPr>
        <w:pStyle w:val="ListParagraph"/>
        <w:numPr>
          <w:ilvl w:val="0"/>
          <w:numId w:val="2"/>
        </w:numPr>
        <w:spacing w:after="60" w:line="290"/>
      </w:pPr>
      <w:r>
        <w:t xml:space="preserve">Built one dashboard page: 3 slicers (Region, Category, Supplier), 5 KPI cards, 4 bar charts, an inventory value card, a treemap, a drill-down matrix (Region, then Category, then Supplier), and an OTIF check strip comparing the data column with OTIF rebuilt from dates and quantities.</w:t>
      </w:r>
    </w:p>
    <w:p>
      <w:pPr>
        <w:pStyle w:val="Heading2"/>
        <w:spacing w:after="80" w:before="200"/>
      </w:pPr>
      <w:r>
        <w:rPr>
          <w:b/>
          <w:bCs/>
          <w:color w:val="1F3A5F"/>
          <w:sz w:val="24"/>
          <w:szCs w:val="24"/>
        </w:rPr>
        <w:t xml:space="preserve">The five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KPI</w:t>
            </w:r>
          </w:p>
        </w:tc>
        <w:tc>
          <w:tcPr>
            <w:tcW w:type="dxa" w:w="1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Value</w:t>
            </w:r>
          </w:p>
        </w:tc>
        <w:tc>
          <w:tcPr>
            <w:tcW w:type="dxa" w:w="5526"/>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What it tells us</w:t>
            </w:r>
          </w:p>
        </w:tc>
      </w:tr>
      <w:tr>
        <w:trPr>
          <w:tblHeader w:val="false"/>
        </w:trPr>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OTIF %</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67.6%</w:t>
            </w:r>
          </w:p>
        </w:tc>
        <w:tc>
          <w:tcPr>
            <w:tcW w:type="dxa" w:w="55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Share of orders delivered on time AND in full. About 1 in 3 orders fails one or both.</w:t>
            </w:r>
          </w:p>
        </w:tc>
      </w:tr>
      <w:tr>
        <w:trPr>
          <w:tblHeader w:val="false"/>
        </w:trPr>
        <w:tc>
          <w:tcPr>
            <w:tcW w:type="dxa" w:w="20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Fill Rate %</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98.9%</w:t>
            </w:r>
          </w:p>
        </w:tc>
        <w:tc>
          <w:tcPr>
            <w:tcW w:type="dxa" w:w="55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Share of ordered units actually delivered. Looks healthy, but hides the order-level failures.</w:t>
            </w:r>
          </w:p>
        </w:tc>
      </w:tr>
      <w:tr>
        <w:trPr>
          <w:tblHeader w:val="false"/>
        </w:trPr>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Stockout %</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19.8%</w:t>
            </w:r>
          </w:p>
        </w:tc>
        <w:tc>
          <w:tcPr>
            <w:tcW w:type="dxa" w:w="55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About 1 in 5 orders hit a stockout.</w:t>
            </w:r>
          </w:p>
        </w:tc>
      </w:tr>
      <w:tr>
        <w:trPr>
          <w:tblHeader w:val="false"/>
        </w:trPr>
        <w:tc>
          <w:tcPr>
            <w:tcW w:type="dxa" w:w="20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Inventory Turns</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0.87</w:t>
            </w:r>
          </w:p>
        </w:tc>
        <w:tc>
          <w:tcPr>
            <w:tcW w:type="dxa" w:w="55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Stock is sold through less than once in the period.</w:t>
            </w:r>
          </w:p>
        </w:tc>
      </w:tr>
      <w:tr>
        <w:trPr>
          <w:tblHeader w:val="false"/>
        </w:trPr>
        <w:tc>
          <w:tcPr>
            <w:tcW w:type="dxa" w:w="2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Days Inventory</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418 days</w:t>
            </w:r>
          </w:p>
        </w:tc>
        <w:tc>
          <w:tcPr>
            <w:tcW w:type="dxa" w:w="55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Annualised days of stock held (365 / turns). See note in section 7.</w:t>
            </w:r>
          </w:p>
        </w:tc>
      </w:tr>
    </w:tbl>
    <w:p>
      <w:pPr>
        <w:spacing w:after="80"/>
      </w:pPr>
    </w:p>
    <w:p>
      <w:pPr>
        <w:pStyle w:val="Heading2"/>
        <w:spacing w:after="80" w:before="200"/>
      </w:pPr>
      <w:r>
        <w:rPr>
          <w:b/>
          <w:bCs/>
          <w:color w:val="1F3A5F"/>
          <w:sz w:val="24"/>
          <w:szCs w:val="24"/>
        </w:rPr>
        <w:t xml:space="preserve">Key DAX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Measure</w:t>
            </w:r>
          </w:p>
        </w:tc>
        <w:tc>
          <w:tcPr>
            <w:tcW w:type="dxa" w:w="6326"/>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Logic</w:t>
            </w:r>
          </w:p>
        </w:tc>
      </w:tr>
      <w:tr>
        <w:trPr>
          <w:tblHeader w:val="false"/>
        </w:trPr>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OTIF %</w:t>
            </w:r>
          </w:p>
        </w:tc>
        <w:tc>
          <w:tcPr>
            <w:tcW w:type="dxa" w:w="63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Orders where OTIF = "Yes" divided by total orders (DIVIDE with 0 as the safe result)</w:t>
            </w:r>
          </w:p>
        </w:tc>
      </w:tr>
      <w:tr>
        <w:trPr>
          <w:tblHeader w:val="false"/>
        </w:trPr>
        <w:tc>
          <w:tcPr>
            <w:tcW w:type="dxa" w:w="27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Fill Rate %</w:t>
            </w:r>
          </w:p>
        </w:tc>
        <w:tc>
          <w:tcPr>
            <w:tcW w:type="dxa" w:w="63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Total delivered quantity divided by total ordered quantity</w:t>
            </w:r>
          </w:p>
        </w:tc>
      </w:tr>
      <w:tr>
        <w:trPr>
          <w:tblHeader w:val="false"/>
        </w:trPr>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Stockout %</w:t>
            </w:r>
          </w:p>
        </w:tc>
        <w:tc>
          <w:tcPr>
            <w:tcW w:type="dxa" w:w="63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Orders where Stockout = "Yes" divided by total orders</w:t>
            </w:r>
          </w:p>
        </w:tc>
      </w:tr>
      <w:tr>
        <w:trPr>
          <w:tblHeader w:val="false"/>
        </w:trPr>
        <w:tc>
          <w:tcPr>
            <w:tcW w:type="dxa" w:w="27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Inventory Turns</w:t>
            </w:r>
          </w:p>
        </w:tc>
        <w:tc>
          <w:tcPr>
            <w:tcW w:type="dxa" w:w="63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COGS divided by average inventory value</w:t>
            </w:r>
          </w:p>
        </w:tc>
      </w:tr>
      <w:tr>
        <w:trPr>
          <w:tblHeader w:val="false"/>
        </w:trPr>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Days Inventory</w:t>
            </w:r>
          </w:p>
        </w:tc>
        <w:tc>
          <w:tcPr>
            <w:tcW w:type="dxa" w:w="63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365 divided by inventory turns</w:t>
            </w:r>
          </w:p>
        </w:tc>
      </w:tr>
      <w:tr>
        <w:trPr>
          <w:tblHeader w:val="false"/>
        </w:trPr>
        <w:tc>
          <w:tcPr>
            <w:tcW w:type="dxa" w:w="27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COGS</w:t>
            </w:r>
          </w:p>
        </w:tc>
        <w:tc>
          <w:tcPr>
            <w:tcW w:type="dxa" w:w="63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Row by row: delivered quantity x unit cost, then summed (SUMX)</w:t>
            </w:r>
          </w:p>
        </w:tc>
      </w:tr>
      <w:tr>
        <w:trPr>
          <w:tblHeader w:val="false"/>
        </w:trPr>
        <w:tc>
          <w:tcPr>
            <w:tcW w:type="dxa" w:w="27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Average Inventory Value</w:t>
            </w:r>
          </w:p>
        </w:tc>
        <w:tc>
          <w:tcPr>
            <w:tcW w:type="dxa" w:w="63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Row by row: average of opening and closing stock x unit cost, then summed (SUMX)</w:t>
            </w:r>
          </w:p>
        </w:tc>
      </w:tr>
      <w:tr>
        <w:trPr>
          <w:tblHeader w:val="false"/>
        </w:trPr>
        <w:tc>
          <w:tcPr>
            <w:tcW w:type="dxa" w:w="27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Average Lead Time</w:t>
            </w:r>
          </w:p>
        </w:tc>
        <w:tc>
          <w:tcPr>
            <w:tcW w:type="dxa" w:w="63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Average of Lead Time (Days)</w:t>
            </w:r>
          </w:p>
        </w:tc>
      </w:tr>
    </w:tbl>
    <w:p>
      <w:pPr>
        <w:spacing w:after="80"/>
      </w:pPr>
    </w:p>
    <w:p>
      <w:pPr>
        <w:spacing w:after="120" w:line="300"/>
      </w:pPr>
      <w:r>
        <w:rPr>
          <w:b/>
          <w:bCs/>
          <w:color w:val="1F3A5F"/>
        </w:rPr>
        <w:t xml:space="preserve">Dashboard screenshot: </w:t>
      </w:r>
      <w:r>
        <w:rPr>
          <w:i/>
          <w:iCs/>
        </w:rPr>
        <w:t xml:space="preserve">see dashboard.png in the repository (full control tower page with the matrix).</w:t>
      </w:r>
    </w:p>
    <w:p>
      <w:pPr>
        <w:pStyle w:val="Heading1"/>
        <w:pBdr>
          <w:bottom w:val="single" w:color="B0243C" w:sz="6" w:space="2"/>
        </w:pBdr>
        <w:spacing w:after="120" w:before="280"/>
      </w:pPr>
      <w:r>
        <w:rPr>
          <w:b/>
          <w:bCs/>
          <w:color w:val="1F3A5F"/>
          <w:sz w:val="30"/>
          <w:szCs w:val="30"/>
        </w:rPr>
        <w:t xml:space="preserve">3. The 5-Minute Investigation (COO Questions)</w:t>
      </w:r>
    </w:p>
    <w:p>
      <w:pPr>
        <w:pStyle w:val="Heading2"/>
        <w:spacing w:after="80" w:before="200"/>
      </w:pPr>
      <w:r>
        <w:rPr>
          <w:b/>
          <w:bCs/>
          <w:color w:val="1F3A5F"/>
          <w:sz w:val="24"/>
          <w:szCs w:val="24"/>
        </w:rPr>
        <w:t xml:space="preserve">1. What is our OTIF?</w:t>
      </w:r>
    </w:p>
    <w:p>
      <w:pPr>
        <w:spacing w:after="120" w:line="300"/>
      </w:pPr>
      <w:r>
        <w:t xml:space="preserve">67.6% across 1,800 orders. Fill Rate is 98.9%, so almost every unit ships, but only two thirds of orders arrive both on time and complete.</w:t>
      </w:r>
    </w:p>
    <w:p>
      <w:pPr>
        <w:pStyle w:val="Heading2"/>
        <w:spacing w:after="80" w:before="200"/>
      </w:pPr>
      <w:r>
        <w:rPr>
          <w:b/>
          <w:bCs/>
          <w:color w:val="1F3A5F"/>
          <w:sz w:val="24"/>
          <w:szCs w:val="24"/>
        </w:rPr>
        <w:t xml:space="preserve">2. Which region has the biggest service problem?</w:t>
      </w:r>
    </w:p>
    <w:p>
      <w:pPr>
        <w:spacing w:after="120" w:line="300"/>
      </w:pPr>
      <w:r>
        <w:t xml:space="preserve">North, at 54.8% OTIF. The other regions range from 67.7% (South) to 76.4% (Central). North also has the longest average lead time (22.4 days against a company average of 20.2).</w:t>
      </w:r>
    </w:p>
    <w:p>
      <w:pPr>
        <w:pStyle w:val="Heading2"/>
        <w:spacing w:after="80" w:before="200"/>
      </w:pPr>
      <w:r>
        <w:rPr>
          <w:b/>
          <w:bCs/>
          <w:color w:val="1F3A5F"/>
          <w:sz w:val="24"/>
          <w:szCs w:val="24"/>
        </w:rPr>
        <w:t xml:space="preserve">3. Which product category needs attention?</w:t>
      </w:r>
    </w:p>
    <w:p>
      <w:pPr>
        <w:spacing w:after="120" w:line="300"/>
      </w:pPr>
      <w:r>
        <w:t xml:space="preserve">Critical Components. Its OTIF is 45.4% and its stockout rate is 67.0%. The other categories have stockout rates of 10.4% (Premium Equipment), 2.9% (Standard Components) and 0% (Consumables).</w:t>
      </w:r>
    </w:p>
    <w:p>
      <w:pPr>
        <w:pStyle w:val="Heading2"/>
        <w:spacing w:after="80" w:before="200"/>
      </w:pPr>
      <w:r>
        <w:rPr>
          <w:b/>
          <w:bCs/>
          <w:color w:val="1F3A5F"/>
          <w:sz w:val="24"/>
          <w:szCs w:val="24"/>
        </w:rPr>
        <w:t xml:space="preserve">4. Which supplier should management investigate?</w:t>
      </w:r>
    </w:p>
    <w:p>
      <w:pPr>
        <w:spacing w:after="120" w:line="300"/>
      </w:pPr>
      <w:r>
        <w:t xml:space="preserve">Crest Global. Its OTIF is 32.3%, while every other supplier is between 71.4% and 80.3%. Only 58% of its orders arrive on time and only 59% arrive in full, and its lead time is 27.3 days (others: 16 to 21). It is also the largest supplier of Critical Components, handling 159 of 443 orders in that category, where its OTIF is only 25.8% and its stockout rate 69%.</w:t>
      </w:r>
    </w:p>
    <w:p>
      <w:pPr>
        <w:pStyle w:val="Heading2"/>
        <w:spacing w:after="80" w:before="200"/>
      </w:pPr>
      <w:r>
        <w:rPr>
          <w:b/>
          <w:bCs/>
          <w:color w:val="1F3A5F"/>
          <w:sz w:val="24"/>
          <w:szCs w:val="24"/>
        </w:rPr>
        <w:t xml:space="preserve">5. Where is inventory and working capital concentrated?</w:t>
      </w:r>
    </w:p>
    <w:p>
      <w:pPr>
        <w:spacing w:after="120" w:line="300"/>
      </w:pPr>
      <w:r>
        <w:t xml:space="preserve">Total inventory value is about Rs 673 Cr. Premium Equipment holds Rs 377 Cr (56%), Critical Components Rs 147 Cr (22%), Standard Components Rs 79 Cr and Consumables Rs 70 Cr. The largest single products are Robotic Arm Module 1 (Rs 62 Cr), Smart Drive 1 (Rs 53 Cr) and CNC Control Unit 1 (Rs 51 Cr).</w:t>
      </w:r>
    </w:p>
    <w:p>
      <w:pPr>
        <w:pStyle w:val="Heading2"/>
        <w:spacing w:after="80" w:before="200"/>
      </w:pPr>
      <w:r>
        <w:rPr>
          <w:b/>
          <w:bCs/>
          <w:color w:val="1F3A5F"/>
          <w:sz w:val="24"/>
          <w:szCs w:val="24"/>
        </w:rPr>
        <w:t xml:space="preserve">How the matrix narrows the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500"/>
        <w:gridCol w:w="1426"/>
      </w:tblGrid>
      <w:tr>
        <w:trPr>
          <w:tblHeader/>
        </w:trPr>
        <w:tc>
          <w:tcPr>
            <w:tcW w:type="dxa" w:w="31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Slice</w:t>
            </w:r>
          </w:p>
        </w:tc>
        <w:tc>
          <w:tcPr>
            <w:tcW w:type="dxa" w:w="1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Orders</w:t>
            </w:r>
          </w:p>
        </w:tc>
        <w:tc>
          <w:tcPr>
            <w:tcW w:type="dxa" w:w="1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OTIF %</w:t>
            </w:r>
          </w:p>
        </w:tc>
        <w:tc>
          <w:tcPr>
            <w:tcW w:type="dxa" w:w="15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Stockout %</w:t>
            </w:r>
          </w:p>
        </w:tc>
        <w:tc>
          <w:tcPr>
            <w:tcW w:type="dxa" w:w="1426"/>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Note</w:t>
            </w:r>
          </w:p>
        </w:tc>
      </w:tr>
      <w:tr>
        <w:trPr>
          <w:tblHeader w:val="false"/>
        </w:trPr>
        <w:tc>
          <w:tcPr>
            <w:tcW w:type="dxa" w:w="3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Company</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1,800</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67.6%</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19.8%</w:t>
            </w:r>
          </w:p>
        </w:tc>
        <w:tc>
          <w:tcPr>
            <w:tcW w:type="dxa" w:w="14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Baseline</w:t>
            </w:r>
          </w:p>
        </w:tc>
      </w:tr>
      <w:tr>
        <w:trPr>
          <w:tblHeader w:val="false"/>
        </w:trPr>
        <w:tc>
          <w:tcPr>
            <w:tcW w:type="dxa" w:w="31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North</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429</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54.8%</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18.2%</w:t>
            </w:r>
          </w:p>
        </w:tc>
        <w:tc>
          <w:tcPr>
            <w:tcW w:type="dxa" w:w="14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Weakest region</w:t>
            </w:r>
          </w:p>
        </w:tc>
      </w:tr>
      <w:tr>
        <w:trPr>
          <w:tblHeader w:val="false"/>
        </w:trPr>
        <w:tc>
          <w:tcPr>
            <w:tcW w:type="dxa" w:w="3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North + Critical Components</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93</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33.3%</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68.8%</w:t>
            </w:r>
          </w:p>
        </w:tc>
        <w:tc>
          <w:tcPr>
            <w:tcW w:type="dxa" w:w="14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Service problem</w:t>
            </w:r>
          </w:p>
        </w:tc>
      </w:tr>
      <w:tr>
        <w:trPr>
          <w:tblHeader w:val="false"/>
        </w:trPr>
        <w:tc>
          <w:tcPr>
            <w:tcW w:type="dxa" w:w="31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North + Crest Global</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81</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24.7%</w:t>
            </w:r>
          </w:p>
        </w:tc>
        <w:tc>
          <w:tcPr>
            <w:tcW w:type="dxa" w:w="15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33.3%</w:t>
            </w:r>
          </w:p>
        </w:tc>
        <w:tc>
          <w:tcPr>
            <w:tcW w:type="dxa" w:w="14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Worst supplier in worst region</w:t>
            </w:r>
          </w:p>
        </w:tc>
      </w:tr>
      <w:tr>
        <w:trPr>
          <w:tblHeader w:val="false"/>
        </w:trPr>
        <w:tc>
          <w:tcPr>
            <w:tcW w:type="dxa" w:w="31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Crest Global, Critical Components</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159</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25.8%</w:t>
            </w:r>
          </w:p>
        </w:tc>
        <w:tc>
          <w:tcPr>
            <w:tcW w:type="dxa" w:w="15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69.2%</w:t>
            </w:r>
          </w:p>
        </w:tc>
        <w:tc>
          <w:tcPr>
            <w:tcW w:type="dxa" w:w="14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Core supplier issue</w:t>
            </w:r>
          </w:p>
        </w:tc>
      </w:tr>
    </w:tbl>
    <w:p>
      <w:pPr>
        <w:spacing w:after="80"/>
      </w:pPr>
    </w:p>
    <w:p>
      <w:pPr>
        <w:spacing w:after="120" w:line="300"/>
      </w:pPr>
      <w:r>
        <w:t xml:space="preserve">Reading the drill-down: company OTIF is poor, so check the region (North), then the category (Critical Components), then the supplier (Crest Global). Crest Global is the strongest single explanation, but North is also weak without it: North OTIF excluding Crest Global is 61.8%, while the other regions are between 75.5% and 84.9% on the same basis. So North has its own problem as well.</w:t>
      </w:r>
    </w:p>
    <w:p>
      <w:pPr>
        <w:pStyle w:val="Heading1"/>
        <w:pBdr>
          <w:bottom w:val="single" w:color="B0243C" w:sz="6" w:space="2"/>
        </w:pBdr>
        <w:spacing w:after="120" w:before="280"/>
      </w:pPr>
      <w:r>
        <w:rPr>
          <w:b/>
          <w:bCs/>
          <w:color w:val="1F3A5F"/>
          <w:sz w:val="30"/>
          <w:szCs w:val="30"/>
        </w:rPr>
        <w:t xml:space="preserve">4. The OTIF Trap</w:t>
      </w:r>
    </w:p>
    <w:p>
      <w:pPr>
        <w:spacing w:after="120" w:line="300"/>
      </w:pPr>
      <w:r>
        <w:t xml:space="preserve">On-time and in-full are two separate conditions, and OTIF requires both on the same order. I rebuilt OTIF from scratch to show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Measure</w:t>
            </w:r>
          </w:p>
        </w:tc>
        <w:tc>
          <w:tcPr>
            <w:tcW w:type="dxa" w:w="24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Orders</w:t>
            </w:r>
          </w:p>
        </w:tc>
        <w:tc>
          <w:tcPr>
            <w:tcW w:type="dxa" w:w="2426"/>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Share of 1,800</w:t>
            </w:r>
          </w:p>
        </w:tc>
      </w:tr>
      <w:tr>
        <w:trPr>
          <w:tblHeader w:val="false"/>
        </w:trPr>
        <w:tc>
          <w:tcPr>
            <w:tcW w:type="dxa" w:w="4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On-time (delivery date &lt;= requested date)</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1,466</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81.4%</w:t>
            </w:r>
          </w:p>
        </w:tc>
      </w:tr>
      <w:tr>
        <w:trPr>
          <w:tblHeader w:val="false"/>
        </w:trPr>
        <w:tc>
          <w:tcPr>
            <w:tcW w:type="dxa" w:w="42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In-full (delivered qty &gt;= order qty)</w:t>
            </w:r>
          </w:p>
        </w:tc>
        <w:tc>
          <w:tcPr>
            <w:tcW w:type="dxa" w:w="24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1,467</w:t>
            </w:r>
          </w:p>
        </w:tc>
        <w:tc>
          <w:tcPr>
            <w:tcW w:type="dxa" w:w="24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81.5%</w:t>
            </w:r>
          </w:p>
        </w:tc>
      </w:tr>
      <w:tr>
        <w:trPr>
          <w:tblHeader w:val="false"/>
        </w:trPr>
        <w:tc>
          <w:tcPr>
            <w:tcW w:type="dxa" w:w="42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Both on time AND in full (calculated OTIF)</w:t>
            </w:r>
          </w:p>
        </w:tc>
        <w:tc>
          <w:tcPr>
            <w:tcW w:type="dxa" w:w="24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1,217</w:t>
            </w:r>
          </w:p>
        </w:tc>
        <w:tc>
          <w:tcPr>
            <w:tcW w:type="dxa" w:w="24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67.6%</w:t>
            </w:r>
          </w:p>
        </w:tc>
      </w:tr>
      <w:tr>
        <w:trPr>
          <w:tblHeader w:val="false"/>
        </w:trPr>
        <w:tc>
          <w:tcPr>
            <w:tcW w:type="dxa" w:w="42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OTIF column supplied in the data</w:t>
            </w:r>
          </w:p>
        </w:tc>
        <w:tc>
          <w:tcPr>
            <w:tcW w:type="dxa" w:w="24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1,217</w:t>
            </w:r>
          </w:p>
        </w:tc>
        <w:tc>
          <w:tcPr>
            <w:tcW w:type="dxa" w:w="24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67.6%</w:t>
            </w:r>
          </w:p>
        </w:tc>
      </w:tr>
    </w:tbl>
    <w:p>
      <w:pPr>
        <w:spacing w:after="80"/>
      </w:pPr>
    </w:p>
    <w:p>
      <w:pPr>
        <w:spacing w:after="120" w:line="300"/>
      </w:pPr>
      <w:r>
        <w:t xml:space="preserve">Each condition alone looks like 81 to 82%, but only 67.6% of orders satisfy both. The calculated OTIF matches the supplied OTIF column exactly (0 mismatches), which confirms the column was built correctly. Reporting on-time or in-full alone would overstate service by about 14 percentage points.</w:t>
      </w:r>
    </w:p>
    <w:p>
      <w:pPr>
        <w:pStyle w:val="Heading1"/>
        <w:pBdr>
          <w:bottom w:val="single" w:color="B0243C" w:sz="6" w:space="2"/>
        </w:pBdr>
        <w:spacing w:after="120" w:before="280"/>
      </w:pPr>
      <w:r>
        <w:rPr>
          <w:b/>
          <w:bCs/>
          <w:color w:val="1F3A5F"/>
          <w:sz w:val="30"/>
          <w:szCs w:val="30"/>
        </w:rPr>
        <w:t xml:space="preserve">5. Recommendation: One Management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0243C" w:sz="24"/>
              <w:bottom w:val="none" w:color="FFFFFF" w:sz="0"/>
              <w:right w:val="none" w:color="FFFFFF" w:sz="0"/>
            </w:tcBorders>
            <w:shd w:fill="FBEFF1" w:color="auto" w:val="clear"/>
            <w:tcMar>
              <w:top w:type="dxa" w:w="120"/>
              <w:left w:type="dxa" w:w="200"/>
              <w:bottom w:type="dxa" w:w="120"/>
              <w:right w:type="dxa" w:w="160"/>
            </w:tcMar>
          </w:tcPr>
          <w:p>
            <w:pPr>
              <w:spacing w:after="60"/>
            </w:pPr>
            <w:r>
              <w:rPr>
                <w:b/>
                <w:bCs/>
                <w:color w:val="B0243C"/>
              </w:rPr>
              <w:t xml:space="preserve">Action</w:t>
            </w:r>
          </w:p>
          <w:p>
            <w:pPr>
              <w:spacing w:after="0" w:line="300"/>
            </w:pPr>
            <w:r>
              <w:t xml:space="preserve">Put Crest Global on a supplier recovery plan, starting with Critical Components: agree delivery and quantity targets with a review date, and qualify a second supplier for Critical Components so that service does not depend on one weak source.</w:t>
            </w:r>
          </w:p>
        </w:tc>
      </w:tr>
    </w:tbl>
    <w:p>
      <w:pPr>
        <w:spacing w:after="80"/>
      </w:pPr>
    </w:p>
    <w:p>
      <w:pPr>
        <w:spacing w:after="120" w:line="300"/>
      </w:pPr>
      <w:r>
        <w:rPr>
          <w:b/>
          <w:bCs/>
        </w:rPr>
        <w:t xml:space="preserve">Why this and not more stock: </w:t>
      </w:r>
      <w:r>
        <w:t xml:space="preserve">Critical Components already hold about Rs 147 Cr, the second largest inventory of any category, yet they run out in 67% of orders. Buying more stock would tie up more money while the supplier keeps delivering late and short. Meanwhile Premium Equipment holds 56% of the capital and has a low stockout rate (10.4%), so that is where inventory is better targeted for a review.</w:t>
      </w:r>
    </w:p>
    <w:p>
      <w:pPr>
        <w:pStyle w:val="Heading2"/>
        <w:spacing w:after="80" w:before="200"/>
      </w:pPr>
      <w:r>
        <w:rPr>
          <w:b/>
          <w:bCs/>
          <w:color w:val="1F3A5F"/>
          <w:sz w:val="24"/>
          <w:szCs w:val="24"/>
        </w:rPr>
        <w:t xml:space="preserve">What management should investigate</w:t>
      </w:r>
    </w:p>
    <w:p>
      <w:pPr>
        <w:pStyle w:val="ListParagraph"/>
        <w:numPr>
          <w:ilvl w:val="0"/>
          <w:numId w:val="2"/>
        </w:numPr>
        <w:spacing w:after="60" w:line="290"/>
      </w:pPr>
      <w:r>
        <w:t xml:space="preserve">Why Crest Global is late (27-day lead time) and short on quantity, and whether it is a capacity, planning or transport issue.</w:t>
      </w:r>
    </w:p>
    <w:p>
      <w:pPr>
        <w:pStyle w:val="ListParagraph"/>
        <w:numPr>
          <w:ilvl w:val="0"/>
          <w:numId w:val="2"/>
        </w:numPr>
        <w:spacing w:after="60" w:line="290"/>
      </w:pPr>
      <w:r>
        <w:t xml:space="preserve">Why North is weaker than other regions even without Crest Global (logistics, transport lanes, longer lead time, or local demand planning).</w:t>
      </w:r>
    </w:p>
    <w:p>
      <w:pPr>
        <w:pStyle w:val="ListParagraph"/>
        <w:numPr>
          <w:ilvl w:val="0"/>
          <w:numId w:val="2"/>
        </w:numPr>
        <w:spacing w:after="60" w:line="290"/>
      </w:pPr>
      <w:r>
        <w:t xml:space="preserve">Whether safety stock levels for Critical Components match their real lead-time risk.</w:t>
      </w:r>
    </w:p>
    <w:p>
      <w:pPr>
        <w:pStyle w:val="ListParagraph"/>
        <w:numPr>
          <w:ilvl w:val="0"/>
          <w:numId w:val="2"/>
        </w:numPr>
        <w:spacing w:after="60" w:line="290"/>
      </w:pPr>
      <w:r>
        <w:t xml:space="preserve">Whether Premium Equipment can be held at a lower level without hurting service (lower days of inventory is not always better; the goal is the right stock for the required service level).</w:t>
      </w:r>
    </w:p>
    <w:p>
      <w:pPr>
        <w:pStyle w:val="Heading1"/>
        <w:pBdr>
          <w:bottom w:val="single" w:color="B0243C" w:sz="6" w:space="2"/>
        </w:pBdr>
        <w:spacing w:after="120" w:before="280"/>
      </w:pPr>
      <w:r>
        <w:rPr>
          <w:b/>
          <w:bCs/>
          <w:color w:val="1F3A5F"/>
          <w:sz w:val="30"/>
          <w:szCs w:val="30"/>
        </w:rPr>
        <w:t xml:space="preserve">6. Findings in One Line Each</w:t>
      </w:r>
    </w:p>
    <w:p>
      <w:pPr>
        <w:pStyle w:val="ListParagraph"/>
        <w:numPr>
          <w:ilvl w:val="0"/>
          <w:numId w:val="2"/>
        </w:numPr>
        <w:spacing w:after="60" w:line="290"/>
      </w:pPr>
      <w:r>
        <w:t xml:space="preserve">Service is the problem, not inventory volume: Fill Rate 98.9% but OTIF 67.6%.</w:t>
      </w:r>
    </w:p>
    <w:p>
      <w:pPr>
        <w:pStyle w:val="ListParagraph"/>
        <w:numPr>
          <w:ilvl w:val="0"/>
          <w:numId w:val="2"/>
        </w:numPr>
        <w:spacing w:after="60" w:line="290"/>
      </w:pPr>
      <w:r>
        <w:t xml:space="preserve">The problem is concentrated: North, Critical Components and Crest Global.</w:t>
      </w:r>
    </w:p>
    <w:p>
      <w:pPr>
        <w:pStyle w:val="ListParagraph"/>
        <w:numPr>
          <w:ilvl w:val="0"/>
          <w:numId w:val="2"/>
        </w:numPr>
        <w:spacing w:after="60" w:line="290"/>
      </w:pPr>
      <w:r>
        <w:t xml:space="preserve">Inventory capital is concentrated in Premium Equipment (56%).</w:t>
      </w:r>
    </w:p>
    <w:p>
      <w:pPr>
        <w:pStyle w:val="Heading1"/>
        <w:pBdr>
          <w:bottom w:val="single" w:color="B0243C" w:sz="6" w:space="2"/>
        </w:pBdr>
        <w:spacing w:after="120" w:before="280"/>
      </w:pPr>
      <w:r>
        <w:rPr>
          <w:b/>
          <w:bCs/>
          <w:color w:val="1F3A5F"/>
          <w:sz w:val="30"/>
          <w:szCs w:val="30"/>
        </w:rPr>
        <w:t xml:space="preserve">7. Notes and Limitations</w:t>
      </w:r>
    </w:p>
    <w:p>
      <w:pPr>
        <w:pStyle w:val="ListParagraph"/>
        <w:numPr>
          <w:ilvl w:val="0"/>
          <w:numId w:val="2"/>
        </w:numPr>
        <w:spacing w:after="60" w:line="290"/>
      </w:pPr>
      <w:r>
        <w:t xml:space="preserve">Days Inventory (418) uses the standard 365 / turns formula as specified, but the data covers about 8 months (Jan to Aug 2026), so the figure should be read as an annualised indicator, not a literal number of days of stock.</w:t>
      </w:r>
    </w:p>
    <w:p>
      <w:pPr>
        <w:pStyle w:val="ListParagraph"/>
        <w:numPr>
          <w:ilvl w:val="0"/>
          <w:numId w:val="2"/>
        </w:numPr>
        <w:spacing w:after="60" w:line="290"/>
      </w:pPr>
      <w:r>
        <w:t xml:space="preserve">Some drill-down slices are small (for example, North + Critical Components + Crest Global is 30 orders), so conclusions should rest on the wider patterns rather than on one narrow slice.</w:t>
      </w:r>
    </w:p>
    <w:p>
      <w:pPr>
        <w:pStyle w:val="ListParagraph"/>
        <w:numPr>
          <w:ilvl w:val="0"/>
          <w:numId w:val="2"/>
        </w:numPr>
        <w:spacing w:after="60" w:line="290"/>
      </w:pPr>
      <w:r>
        <w:t xml:space="preserve">Findings describe this dataset only; root causes need to be confirmed with operations teams.</w:t>
      </w:r>
    </w:p>
    <w:p>
      <w:pPr>
        <w:pStyle w:val="Heading1"/>
        <w:pBdr>
          <w:bottom w:val="single" w:color="B0243C" w:sz="6" w:space="2"/>
        </w:pBdr>
        <w:spacing w:after="120" w:before="280"/>
      </w:pPr>
      <w:r>
        <w:rPr>
          <w:b/>
          <w:bCs/>
          <w:color w:val="1F3A5F"/>
          <w:sz w:val="30"/>
          <w:szCs w:val="30"/>
        </w:rPr>
        <w:t xml:space="preserve">8.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File</w:t>
            </w:r>
          </w:p>
        </w:tc>
        <w:tc>
          <w:tcPr>
            <w:tcW w:type="dxa" w:w="6026"/>
            <w:tcBorders>
              <w:top w:val="single" w:color="C9CED6" w:sz="4"/>
              <w:left w:val="single" w:color="C9CED6" w:sz="4"/>
              <w:bottom w:val="single" w:color="C9CED6" w:sz="4"/>
              <w:right w:val="single" w:color="C9CED6" w:sz="4"/>
            </w:tcBorders>
            <w:shd w:fill="1F3A5F" w:color="auto" w:val="clear"/>
            <w:tcMar>
              <w:top w:type="dxa" w:w="70"/>
              <w:left w:type="dxa" w:w="100"/>
              <w:bottom w:type="dxa" w:w="70"/>
              <w:right w:type="dxa" w:w="100"/>
            </w:tcMar>
          </w:tcPr>
          <w:p>
            <w:pPr>
              <w:spacing w:after="0"/>
            </w:pPr>
            <w:r>
              <w:rPr>
                <w:b/>
                <w:bCs/>
                <w:color w:val="FFFFFF"/>
                <w:sz w:val="20"/>
                <w:szCs w:val="20"/>
              </w:rPr>
              <w:t xml:space="preserve">Purpose</w:t>
            </w:r>
          </w:p>
        </w:tc>
      </w:tr>
      <w:tr>
        <w:trPr>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NovaTech_Supply_Chain.pbix</w:t>
            </w:r>
          </w:p>
        </w:tc>
        <w:tc>
          <w:tcPr>
            <w:tcW w:type="dxa" w:w="60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The Power BI report</w:t>
            </w:r>
          </w:p>
        </w:tc>
      </w:tr>
      <w:tr>
        <w:trPr>
          <w:tblHeader w:val="false"/>
        </w:trPr>
        <w:tc>
          <w:tcPr>
            <w:tcW w:type="dxa" w:w="30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NovaTech_Supply_Chain_Analytics_Dataset.csv</w:t>
            </w:r>
          </w:p>
        </w:tc>
        <w:tc>
          <w:tcPr>
            <w:tcW w:type="dxa" w:w="60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Source data</w:t>
            </w:r>
          </w:p>
        </w:tc>
      </w:tr>
      <w:tr>
        <w:trPr>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dashboard.png</w:t>
            </w:r>
          </w:p>
        </w:tc>
        <w:tc>
          <w:tcPr>
            <w:tcW w:type="dxa" w:w="60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Screenshot of the control tower page</w:t>
            </w:r>
          </w:p>
        </w:tc>
      </w:tr>
      <w:tr>
        <w:trPr>
          <w:tblHeader w:val="false"/>
        </w:trPr>
        <w:tc>
          <w:tcPr>
            <w:tcW w:type="dxa" w:w="3000"/>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README.md</w:t>
            </w:r>
          </w:p>
        </w:tc>
        <w:tc>
          <w:tcPr>
            <w:tcW w:type="dxa" w:w="6026"/>
            <w:tcBorders>
              <w:top w:val="single" w:color="C9CED6" w:sz="4"/>
              <w:left w:val="single" w:color="C9CED6" w:sz="4"/>
              <w:bottom w:val="single" w:color="C9CED6" w:sz="4"/>
              <w:right w:val="single" w:color="C9CED6" w:sz="4"/>
            </w:tcBorders>
            <w:shd w:fill="F2F4F7" w:color="auto" w:val="clear"/>
            <w:tcMar>
              <w:top w:type="dxa" w:w="70"/>
              <w:left w:type="dxa" w:w="100"/>
              <w:bottom w:type="dxa" w:w="70"/>
              <w:right w:type="dxa" w:w="100"/>
            </w:tcMar>
          </w:tcPr>
          <w:p>
            <w:pPr>
              <w:spacing w:after="0"/>
            </w:pPr>
            <w:r>
              <w:rPr>
                <w:b w:val="false"/>
                <w:bCs w:val="false"/>
                <w:sz w:val="20"/>
                <w:szCs w:val="20"/>
              </w:rPr>
              <w:t xml:space="preserve">Project overview</w:t>
            </w:r>
          </w:p>
        </w:tc>
      </w:tr>
      <w:tr>
        <w:trPr>
          <w:tblHeader w:val="false"/>
        </w:trPr>
        <w:tc>
          <w:tcPr>
            <w:tcW w:type="dxa" w:w="3000"/>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NovaTech_Final_Report.docx</w:t>
            </w:r>
          </w:p>
        </w:tc>
        <w:tc>
          <w:tcPr>
            <w:tcW w:type="dxa" w:w="6026"/>
            <w:tcBorders>
              <w:top w:val="single" w:color="C9CED6" w:sz="4"/>
              <w:left w:val="single" w:color="C9CED6" w:sz="4"/>
              <w:bottom w:val="single" w:color="C9CED6" w:sz="4"/>
              <w:right w:val="single" w:color="C9CED6" w:sz="4"/>
            </w:tcBorders>
            <w:tcMar>
              <w:top w:type="dxa" w:w="70"/>
              <w:left w:type="dxa" w:w="100"/>
              <w:bottom w:type="dxa" w:w="70"/>
              <w:right w:type="dxa" w:w="100"/>
            </w:tcMar>
          </w:tcPr>
          <w:p>
            <w:pPr>
              <w:spacing w:after="0"/>
            </w:pPr>
            <w:r>
              <w:rPr>
                <w:b w:val="false"/>
                <w:bCs w:val="false"/>
                <w:sz w:val="20"/>
                <w:szCs w:val="20"/>
              </w:rPr>
              <w:t xml:space="preserve">This report</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2026-10-20T08:33:43.643Z</dcterms:created>
  <dcterms:modified xsi:type="dcterms:W3CDTF">2026-10-20T08:33:43.643Z</dcterms:modified>
</cp:coreProperties>
</file>

<file path=docProps/custom.xml><?xml version="1.0" encoding="utf-8"?>
<Properties xmlns="http://schemas.openxmlformats.org/officeDocument/2006/custom-properties" xmlns:vt="http://schemas.openxmlformats.org/officeDocument/2006/docPropsVTypes"/>
</file>