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20"/>
        <w:jc w:val="center"/>
      </w:pPr>
      <w:r>
        <w:drawing>
          <wp:inline xmlns:a="http://schemas.openxmlformats.org/drawingml/2006/main" xmlns:pic="http://schemas.openxmlformats.org/drawingml/2006/picture">
            <wp:extent cx="1691640" cy="1768283"/>
            <wp:docPr id="1" name="Picture 1"/>
            <wp:cNvGraphicFramePr>
              <a:graphicFrameLocks noChangeAspect="1"/>
            </wp:cNvGraphicFramePr>
            <a:graphic>
              <a:graphicData uri="http://schemas.openxmlformats.org/drawingml/2006/picture">
                <pic:pic>
                  <pic:nvPicPr>
                    <pic:cNvPr id="0" name="nitkkr_logo.png"/>
                    <pic:cNvPicPr/>
                  </pic:nvPicPr>
                  <pic:blipFill>
                    <a:blip r:embed="rId11"/>
                    <a:stretch>
                      <a:fillRect/>
                    </a:stretch>
                  </pic:blipFill>
                  <pic:spPr>
                    <a:xfrm>
                      <a:off x="0" y="0"/>
                      <a:ext cx="1691640" cy="1768283"/>
                    </a:xfrm>
                    <a:prstGeom prst="rect"/>
                  </pic:spPr>
                </pic:pic>
              </a:graphicData>
            </a:graphic>
          </wp:inline>
        </w:drawing>
      </w:r>
    </w:p>
    <w:p>
      <w:pPr>
        <w:spacing w:after="200"/>
        <w:jc w:val="center"/>
      </w:pPr>
      <w:r>
        <w:rPr>
          <w:rFonts w:ascii="Times New Roman" w:hAnsi="Times New Roman"/>
          <w:b/>
          <w:color w:val="212529"/>
          <w:sz w:val="28"/>
        </w:rPr>
        <w:t>MID SEM PROJECT REPORT(CSPC 401 &amp; ITPC 401)</w:t>
      </w:r>
    </w:p>
    <w:p>
      <w:pPr>
        <w:spacing w:after="720"/>
        <w:jc w:val="center"/>
      </w:pPr>
      <w:r>
        <w:rPr>
          <w:rFonts w:ascii="Times New Roman" w:hAnsi="Times New Roman"/>
          <w:b/>
          <w:color w:val="0F2043"/>
          <w:sz w:val="34"/>
        </w:rPr>
        <w:t>MEDBOARD: MULTI-AGENT BRAIN MRI ANALYSIS</w:t>
        <w:br/>
        <w:t>AND PRELIMINARY REPORTING SYSTEM</w:t>
      </w:r>
    </w:p>
    <w:p>
      <w:pPr>
        <w:spacing w:after="120"/>
        <w:jc w:val="center"/>
      </w:pPr>
      <w:r>
        <w:rPr>
          <w:rFonts w:ascii="Times New Roman" w:hAnsi="Times New Roman"/>
          <w:b/>
          <w:color w:val="212529"/>
          <w:sz w:val="24"/>
        </w:rPr>
        <w:t>TEAM MEMBERS:</w:t>
      </w:r>
    </w:p>
    <w:p>
      <w:pPr>
        <w:spacing w:after="40"/>
        <w:jc w:val="center"/>
      </w:pPr>
      <w:r>
        <w:rPr>
          <w:rFonts w:ascii="Times New Roman" w:hAnsi="Times New Roman"/>
          <w:color w:val="212529"/>
          <w:sz w:val="23"/>
        </w:rPr>
        <w:t>1. PRAGYA THAKUR</w:t>
        <w:br/>
        <w:t>123102162</w:t>
      </w:r>
    </w:p>
    <w:p>
      <w:pPr>
        <w:spacing w:after="40"/>
        <w:jc w:val="center"/>
      </w:pPr>
      <w:r>
        <w:rPr>
          <w:rFonts w:ascii="Times New Roman" w:hAnsi="Times New Roman"/>
          <w:color w:val="212529"/>
          <w:sz w:val="23"/>
        </w:rPr>
        <w:t>2. SHIVANSHU SAJWAN</w:t>
        <w:br/>
        <w:t>123102193</w:t>
      </w:r>
    </w:p>
    <w:p>
      <w:pPr>
        <w:spacing w:after="40"/>
        <w:jc w:val="center"/>
      </w:pPr>
      <w:r>
        <w:rPr>
          <w:rFonts w:ascii="Times New Roman" w:hAnsi="Times New Roman"/>
          <w:color w:val="212529"/>
          <w:sz w:val="23"/>
        </w:rPr>
        <w:t>3. DIGVIJAY SINGH</w:t>
        <w:br/>
        <w:t>123102198</w:t>
      </w:r>
    </w:p>
    <w:p>
      <w:pPr>
        <w:spacing w:before="720" w:after="0"/>
        <w:jc w:val="center"/>
      </w:pPr>
      <w:r>
        <w:rPr>
          <w:rFonts w:ascii="Times New Roman" w:hAnsi="Times New Roman"/>
          <w:b/>
          <w:color w:val="0F2043"/>
          <w:sz w:val="24"/>
        </w:rPr>
        <w:t>UNDER THE GUIDANCE OF: DR. VISHWAS RATHI</w:t>
      </w:r>
    </w:p>
    <w:p>
      <w:r>
        <w:br w:type="page"/>
      </w:r>
    </w:p>
    <w:p>
      <w:pPr>
        <w:spacing w:before="480" w:after="720"/>
        <w:jc w:val="center"/>
      </w:pPr>
      <w:r>
        <w:rPr>
          <w:rFonts w:ascii="Times New Roman" w:hAnsi="Times New Roman"/>
          <w:b/>
          <w:color w:val="0F2043"/>
          <w:sz w:val="32"/>
        </w:rPr>
        <w:t>Certificate</w:t>
      </w:r>
    </w:p>
    <w:p>
      <w:pPr>
        <w:spacing w:line="312" w:lineRule="auto" w:after="360"/>
        <w:jc w:val="center"/>
      </w:pPr>
      <w:r>
        <w:rPr>
          <w:rFonts w:ascii="Times New Roman" w:hAnsi="Times New Roman"/>
          <w:color w:val="212529"/>
          <w:sz w:val="24"/>
        </w:rPr>
        <w:t>This is to certify that the project report entitled</w:t>
        <w:br/>
        <w:t>“MedBoard: Multi-Agent Brain MRI Analysis and Preliminary Reporting System”</w:t>
        <w:br/>
        <w:t>submitted by</w:t>
        <w:br/>
        <w:br/>
        <w:t>Pragya Thakur (Roll No. 123102162)</w:t>
        <w:br/>
        <w:t>Shivanshu Sajwan (Roll No. 123102193)</w:t>
        <w:br/>
        <w:t>Digvijay Singh (Roll No. 123102198)</w:t>
        <w:br/>
        <w:br/>
        <w:t>of the Department of Computer Engineering, National Institute of Technology, Kurukshetra,</w:t>
        <w:br/>
        <w:t>is a record of the original work carried out by them under my supervision and guidance.</w:t>
        <w:br/>
        <w:br/>
        <w:t>The work presented in this report is genuine to the best of my knowledge and has not been submitted elsewhere for any other academic purpose.</w:t>
      </w:r>
    </w:p>
    <w:p>
      <w:pPr>
        <w:spacing w:before="800" w:after="360"/>
        <w:jc w:val="center"/>
      </w:pPr>
      <w:r>
        <w:rPr>
          <w:color w:val="6C757D"/>
        </w:rPr>
        <w:t>__________________________________________________</w:t>
      </w:r>
    </w:p>
    <w:p>
      <w:pPr>
        <w:spacing w:after="40"/>
        <w:jc w:val="right"/>
      </w:pPr>
      <w:r>
        <w:rPr>
          <w:rFonts w:ascii="Times New Roman" w:hAnsi="Times New Roman"/>
          <w:color w:val="212529"/>
          <w:sz w:val="22"/>
        </w:rPr>
        <w:t>(Dr. Vishwas Rathi)</w:t>
        <w:br/>
        <w:t>Project Supervisor / Coordinator</w:t>
        <w:br/>
        <w:t>Department of Computer Engineering</w:t>
        <w:br/>
        <w:t>National Institute of Technology, Kurukshetra</w:t>
      </w:r>
    </w:p>
    <w:p>
      <w:r>
        <w:br w:type="page"/>
      </w:r>
    </w:p>
    <w:p>
      <w:pPr>
        <w:spacing w:before="240" w:after="240"/>
      </w:pPr>
      <w:r>
        <w:rPr>
          <w:rFonts w:ascii="Times New Roman" w:hAnsi="Times New Roman"/>
          <w:b/>
          <w:color w:val="0F2043"/>
          <w:sz w:val="26"/>
        </w:rPr>
        <w:t>Abstract:</w:t>
      </w:r>
    </w:p>
    <w:p>
      <w:pPr>
        <w:spacing w:after="120" w:line="276" w:lineRule="auto"/>
      </w:pPr>
      <w:r>
        <w:rPr>
          <w:rFonts w:ascii="Times New Roman" w:hAnsi="Times New Roman"/>
          <w:color w:val="212529"/>
        </w:rPr>
        <w:t>Magnetic Resonance Imaging (MRI) is the clinical gold standard for the diagnosis, preoperative evaluation, and longitudinal monitoring of intracranial neoplasms. However, manual radiological interpretation remains labor-intensive, subject to inter-observer variability, and vulnerable to diagnostic bottlenecks caused by a critical shortage of specialized neuroradiologists. Standard computer-aided diagnosis (CAD) systems typically treat tumor classification and lesion segmentation as isolated, single-task problems, lacking clinical interpretability, quantitative morphological extraction, and structured reporting workflows.</w:t>
      </w:r>
    </w:p>
    <w:p>
      <w:pPr>
        <w:spacing w:after="120" w:line="276" w:lineRule="auto"/>
      </w:pPr>
      <w:r>
        <w:rPr>
          <w:rFonts w:ascii="Times New Roman" w:hAnsi="Times New Roman"/>
          <w:color w:val="212529"/>
        </w:rPr>
        <w:t>To address these limitations, this project presents MedBoard, an integrated, multi-agent artificial intelligence system engineered to process raw 2D axial brain MRI slices through a cohesive diagnostic pipeline. MedBoard unifies automated pre-processing, dual-tier deep perception (high-accuracy 4-class tumor classification and sub-millimeter semantic segmentation), automated morphological biomarker extraction, and an interactive clinician decision-support interface.</w:t>
      </w:r>
    </w:p>
    <w:p>
      <w:pPr>
        <w:spacing w:after="120" w:line="276" w:lineRule="auto"/>
      </w:pPr>
      <w:r>
        <w:rPr>
          <w:rFonts w:ascii="Times New Roman" w:hAnsi="Times New Roman"/>
          <w:color w:val="212529"/>
        </w:rPr>
        <w:t>Experimental evaluations on the benchmark BRISC 2025 dataset (6,000 axial slices across Glioma, Meningioma, Pituitary Tumor, and Normal scans) demonstrate the efficacy of our proposed architecture. For classification, a transfer-learned EfficientNet-B0 backbone achieves 99.00% test accuracy (Macro-F1: 0.9899, Test Loss: 0.0529) on 1,000 unseen test slices with an inference latency under 15 milliseconds. For semantic segmentation, an extensive benchmark across 860 unseen test slices confirms that a Pretrained ResNet-34 U-Net++ architecture with dense nested skip pathways establishes the top performance, achieving an 87.78% Mean Dice score and 81.11% Mean IoU, outperforming standard baseline U-Net (86.84%), Attention U-Net (86.96%), SaberNet (86.66%), and GeoSample U-Net (86.46%).</w:t>
      </w:r>
    </w:p>
    <w:p>
      <w:pPr>
        <w:spacing w:after="120" w:line="276" w:lineRule="auto"/>
      </w:pPr>
      <w:r>
        <w:rPr>
          <w:rFonts w:ascii="Times New Roman" w:hAnsi="Times New Roman"/>
          <w:color w:val="212529"/>
        </w:rPr>
        <w:t>Building upon this validated dual-tier perception foundation, the project is actively integrating an automated morphological feature extraction module, a local vector database (ChromaDB) grounded in WHO CNS5 clinical guidelines via Retrieval-Augmented Generation (RAG), and a Large Language Model (Gemini 2.0 Flash) synthesis agent to automatically generate structured preliminary radiology reports. This research establishes a reproducible, defendable foundation for scalable, transparent computer-aided neuro-oncology diagnostics.</w:t>
      </w:r>
    </w:p>
    <w:p>
      <w:r>
        <w:br w:type="page"/>
      </w:r>
    </w:p>
    <w:p>
      <w:pPr>
        <w:keepNext/>
        <w:spacing w:before="320" w:after="120"/>
      </w:pPr>
      <w:r>
        <w:rPr>
          <w:rFonts w:ascii="Times New Roman" w:hAnsi="Times New Roman"/>
          <w:b/>
          <w:color w:val="0F2043"/>
          <w:sz w:val="28"/>
        </w:rPr>
        <w:t>Introduction</w:t>
      </w:r>
    </w:p>
    <w:p>
      <w:pPr>
        <w:spacing w:after="120" w:line="276" w:lineRule="auto"/>
      </w:pPr>
      <w:r>
        <w:rPr>
          <w:rFonts w:ascii="Times New Roman" w:hAnsi="Times New Roman"/>
          <w:color w:val="212529"/>
        </w:rPr>
        <w:t>Brain tumors represent one of the most debilitating categories of human neoplasms, with over 300,000 primary central nervous system (CNS) tumors diagnosed globally each year. Magnetic Resonance Imaging (MRI)—specifically T1-weighted, T2-weighted, and Fluid-Attenuated Inversion Recovery (FLAIR) modalities—serves as the primary non-invasive imaging technique for intracranial tumor localization, characterization, and stereotactic surgical guidance. The key properties that define modern computer-assisted brain MRI analysis systems are:</w:t>
      </w:r>
    </w:p>
    <w:p>
      <w:pPr>
        <w:pStyle w:val="ListBullet"/>
        <w:spacing w:after="80" w:line="276" w:lineRule="auto"/>
      </w:pPr>
      <w:r>
        <w:rPr>
          <w:rFonts w:ascii="Times New Roman" w:hAnsi="Times New Roman"/>
          <w:b/>
          <w:color w:val="0F2043"/>
        </w:rPr>
        <w:t xml:space="preserve">Decoupled Multi-Task Perception: </w:t>
      </w:r>
      <w:r>
        <w:rPr>
          <w:rFonts w:ascii="Times New Roman" w:hAnsi="Times New Roman"/>
          <w:color w:val="212529"/>
        </w:rPr>
        <w:t>Accurately categorizing the pathological class of neoplasm (intra-axial glioma, extra-axial meningioma, sellar pituitary adenoma, or non-tumorous parenchyma) while simultaneously delineating exact sub-millimeter spatial boundaries.</w:t>
      </w:r>
    </w:p>
    <w:p>
      <w:pPr>
        <w:pStyle w:val="ListBullet"/>
        <w:spacing w:after="80" w:line="276" w:lineRule="auto"/>
      </w:pPr>
      <w:r>
        <w:rPr>
          <w:rFonts w:ascii="Times New Roman" w:hAnsi="Times New Roman"/>
          <w:b/>
          <w:color w:val="0F2043"/>
        </w:rPr>
        <w:t xml:space="preserve">Morphological Quantification: </w:t>
      </w:r>
      <w:r>
        <w:rPr>
          <w:rFonts w:ascii="Times New Roman" w:hAnsi="Times New Roman"/>
          <w:color w:val="212529"/>
        </w:rPr>
        <w:t>Automatically deriving objective geometric metrics such as 2D lesion surface area, perimeter, circularity, and spatial centroid relative to anatomical landmarks.</w:t>
      </w:r>
    </w:p>
    <w:p>
      <w:pPr>
        <w:pStyle w:val="ListBullet"/>
        <w:spacing w:after="80" w:line="276" w:lineRule="auto"/>
      </w:pPr>
      <w:r>
        <w:rPr>
          <w:rFonts w:ascii="Times New Roman" w:hAnsi="Times New Roman"/>
          <w:b/>
          <w:color w:val="0F2043"/>
        </w:rPr>
        <w:t xml:space="preserve">Clinical Guideline Alignment: </w:t>
      </w:r>
      <w:r>
        <w:rPr>
          <w:rFonts w:ascii="Times New Roman" w:hAnsi="Times New Roman"/>
          <w:color w:val="212529"/>
        </w:rPr>
        <w:t>Ensuring AI-generated diagnostic insights are grounded in established medical diagnostic consensus (e.g., WHO Classification of Tumours of the Central Nervous System).</w:t>
      </w:r>
    </w:p>
    <w:p>
      <w:pPr>
        <w:pStyle w:val="ListBullet"/>
        <w:spacing w:after="80" w:line="276" w:lineRule="auto"/>
      </w:pPr>
      <w:r>
        <w:rPr>
          <w:rFonts w:ascii="Times New Roman" w:hAnsi="Times New Roman"/>
          <w:b/>
          <w:color w:val="0F2043"/>
        </w:rPr>
        <w:t xml:space="preserve">Interactive Clinician-in-the-Loop Triage: </w:t>
      </w:r>
      <w:r>
        <w:rPr>
          <w:rFonts w:ascii="Times New Roman" w:hAnsi="Times New Roman"/>
          <w:color w:val="212529"/>
        </w:rPr>
        <w:t>Providing accessible user interfaces where neuroradiologists can verify confidence scores, inspect contour overlays, and export structured audit summaries.</w:t>
      </w:r>
    </w:p>
    <w:p>
      <w:pPr>
        <w:keepNext/>
        <w:spacing w:before="320" w:after="120"/>
      </w:pPr>
      <w:r>
        <w:rPr>
          <w:rFonts w:ascii="Times New Roman" w:hAnsi="Times New Roman"/>
          <w:b/>
          <w:color w:val="0F2043"/>
          <w:sz w:val="28"/>
        </w:rPr>
        <w:t>Motivation</w:t>
      </w:r>
    </w:p>
    <w:p>
      <w:pPr>
        <w:spacing w:after="120" w:line="276" w:lineRule="auto"/>
      </w:pPr>
      <w:r>
        <w:rPr>
          <w:rFonts w:ascii="Times New Roman" w:hAnsi="Times New Roman"/>
          <w:color w:val="212529"/>
        </w:rPr>
        <w:t>While deep learning has catalyzed rapid advances in medical computer vision, clinical translation into radiology departments remains bottlenecked by two critical challenges: diagnostic latency and the 'black-box' nature of standalone classifiers. Radiology workloads have expanded exponentially, leading to delayed turnaround times where subtle lesion enlargement can adversely affect surgical resection margins and patient survival.</w:t>
      </w:r>
    </w:p>
    <w:p>
      <w:pPr>
        <w:spacing w:after="120" w:line="276" w:lineRule="auto"/>
      </w:pPr>
      <w:r>
        <w:rPr>
          <w:rFonts w:ascii="Times New Roman" w:hAnsi="Times New Roman"/>
          <w:color w:val="212529"/>
        </w:rPr>
        <w:t>Furthermore, contemporary deep learning CAD systems are predominantly developed as isolated models: a classification model outputs a single probability vector without spatial localization, or a segmentation network generates a binary mask without pathological categorization or clinical context. In neuro-oncology, malignant gliomas exhibit infiltrative margins that blend subtly with adjacent white matter, while pituitary adenomas occupy confined sellar spaces. Overcoming these anatomical complexities requires a holistic framework that integrates high-precision classification, boundary-sensitive segmentation, and structured report synthesis into a unified, reliable software architecture.</w:t>
      </w:r>
    </w:p>
    <w:p>
      <w:pPr>
        <w:keepNext/>
        <w:spacing w:before="320" w:after="120"/>
      </w:pPr>
      <w:r>
        <w:rPr>
          <w:rFonts w:ascii="Times New Roman" w:hAnsi="Times New Roman"/>
          <w:b/>
          <w:color w:val="0F2043"/>
          <w:sz w:val="28"/>
        </w:rPr>
        <w:t>Problem Statement</w:t>
      </w:r>
    </w:p>
    <w:p>
      <w:pPr>
        <w:spacing w:after="120" w:line="276" w:lineRule="auto"/>
      </w:pPr>
      <w:r>
        <w:rPr>
          <w:rFonts w:ascii="Times New Roman" w:hAnsi="Times New Roman"/>
          <w:color w:val="212529"/>
        </w:rPr>
        <w:t>Existing automated brain MRI analysis systems suffer from limited clinical utility due to fragmented architectures and lack of diagnostic explainability. Although deep convolutional networks achieve high benchmark numbers, their practical deployment introduces significant engineering and diagnostic challenges:</w:t>
      </w:r>
    </w:p>
    <w:p>
      <w:pPr>
        <w:pStyle w:val="ListBullet"/>
        <w:spacing w:after="80" w:line="276" w:lineRule="auto"/>
      </w:pPr>
      <w:r>
        <w:rPr>
          <w:rFonts w:ascii="Times New Roman" w:hAnsi="Times New Roman"/>
          <w:b/>
          <w:color w:val="0F2043"/>
        </w:rPr>
        <w:t xml:space="preserve">Boundary Delineation Failures: </w:t>
      </w:r>
      <w:r>
        <w:rPr>
          <w:rFonts w:ascii="Times New Roman" w:hAnsi="Times New Roman"/>
          <w:color w:val="212529"/>
        </w:rPr>
        <w:t>Standard convolutional skip connections suffer from large semantic gaps between shallow encoder features and deep decoder features, causing boundary leakage into cerebrospinal fluid or false negatives along diffuse glioma margins.</w:t>
      </w:r>
    </w:p>
    <w:p>
      <w:pPr>
        <w:pStyle w:val="ListBullet"/>
        <w:spacing w:after="80" w:line="276" w:lineRule="auto"/>
      </w:pPr>
      <w:r>
        <w:rPr>
          <w:rFonts w:ascii="Times New Roman" w:hAnsi="Times New Roman"/>
          <w:b/>
          <w:color w:val="0F2043"/>
        </w:rPr>
        <w:t xml:space="preserve">Lack of Unified Diagnostic Integration: </w:t>
      </w:r>
      <w:r>
        <w:rPr>
          <w:rFonts w:ascii="Times New Roman" w:hAnsi="Times New Roman"/>
          <w:color w:val="212529"/>
        </w:rPr>
        <w:t>Disjointed tools require clinicians to manually run multiple disparate software applications for classification, manual caliper measurement, and report drafting.</w:t>
      </w:r>
    </w:p>
    <w:p>
      <w:pPr>
        <w:pStyle w:val="ListBullet"/>
        <w:spacing w:after="80" w:line="276" w:lineRule="auto"/>
      </w:pPr>
      <w:r>
        <w:rPr>
          <w:rFonts w:ascii="Times New Roman" w:hAnsi="Times New Roman"/>
          <w:b/>
          <w:color w:val="0F2043"/>
        </w:rPr>
        <w:t xml:space="preserve">Absence of Guideline-Referenced Explanations: </w:t>
      </w:r>
      <w:r>
        <w:rPr>
          <w:rFonts w:ascii="Times New Roman" w:hAnsi="Times New Roman"/>
          <w:color w:val="212529"/>
        </w:rPr>
        <w:t>Black-box predictions lack grounded references to standard medical staging criteria, hindering clinician trust and clinical auditability.</w:t>
      </w:r>
    </w:p>
    <w:p>
      <w:pPr>
        <w:spacing w:after="120" w:line="276" w:lineRule="auto"/>
      </w:pPr>
      <w:r>
        <w:rPr>
          <w:rFonts w:ascii="Times New Roman" w:hAnsi="Times New Roman"/>
          <w:color w:val="212529"/>
        </w:rPr>
        <w:t>The problem, therefore, is to design and implement an end-to-end, multi-agent AI system—MedBoard—that coordinates automated preprocessing, high-accuracy 4-class classification, rigorous multi-model semantic segmentation, quantitative morphological extraction, and interactive clinical reporting within a reproducible and defendable software framework.</w:t>
      </w:r>
    </w:p>
    <w:p>
      <w:pPr>
        <w:keepNext/>
        <w:spacing w:before="320" w:after="120"/>
      </w:pPr>
      <w:r>
        <w:rPr>
          <w:rFonts w:ascii="Times New Roman" w:hAnsi="Times New Roman"/>
          <w:b/>
          <w:color w:val="0F2043"/>
          <w:sz w:val="28"/>
        </w:rPr>
        <w:t>Literature Review:</w:t>
      </w:r>
    </w:p>
    <w:p>
      <w:pPr>
        <w:spacing w:after="120" w:line="276" w:lineRule="auto"/>
      </w:pPr>
      <w:r>
        <w:rPr>
          <w:rFonts w:ascii="Times New Roman" w:hAnsi="Times New Roman"/>
          <w:color w:val="212529"/>
        </w:rPr>
        <w:t>Automated brain tumor analysis has been extensively investigated across medical imaging and computer vision. Key foundational architectures and recent benchmark paradigms informing this work include:</w:t>
      </w:r>
    </w:p>
    <w:p>
      <w:pPr>
        <w:keepNext/>
        <w:spacing w:before="240" w:after="80"/>
      </w:pPr>
      <w:r>
        <w:rPr>
          <w:rFonts w:ascii="Times New Roman" w:hAnsi="Times New Roman"/>
          <w:b/>
          <w:color w:val="0F2043"/>
          <w:sz w:val="25"/>
        </w:rPr>
        <w:t>1. U-Net: Biomedical Image Segmentation Baseline</w:t>
      </w:r>
    </w:p>
    <w:p>
      <w:pPr>
        <w:spacing w:after="120" w:line="276" w:lineRule="auto"/>
      </w:pPr>
      <w:r>
        <w:rPr>
          <w:rFonts w:ascii="Times New Roman" w:hAnsi="Times New Roman"/>
          <w:color w:val="212529"/>
        </w:rPr>
        <w:t>Proposed by Ronneberger et al. (MICCAI 2015), U-Net established the dominant paradigm for medical semantic segmentation. The architecture features a symmetric contracting path (encoder) that captures contextual abstractions and an expanding path (decoder) that enables precise spatial localization via long skip connections. While highly robust, standard U-Net exhibits a significant semantic gap between low-level encoder features and high-level decoder representations, often leading to blurred or over-smoothed tumor margins.</w:t>
      </w:r>
    </w:p>
    <w:p>
      <w:pPr>
        <w:keepNext/>
        <w:spacing w:before="240" w:after="80"/>
      </w:pPr>
      <w:r>
        <w:rPr>
          <w:rFonts w:ascii="Times New Roman" w:hAnsi="Times New Roman"/>
          <w:b/>
          <w:color w:val="0F2043"/>
          <w:sz w:val="25"/>
        </w:rPr>
        <w:t>2. UNet++: Nested Dense Skip Pathways and Deep Supervision</w:t>
      </w:r>
    </w:p>
    <w:p>
      <w:pPr>
        <w:spacing w:after="120" w:line="276" w:lineRule="auto"/>
      </w:pPr>
      <w:r>
        <w:rPr>
          <w:rFonts w:ascii="Times New Roman" w:hAnsi="Times New Roman"/>
          <w:color w:val="212529"/>
        </w:rPr>
        <w:t>Zhou et al. (IEEE Transactions on Medical Imaging, 2018) addressed the semantic gap limitation by redesigning skip pathways as dense, nested convolutional blocks connecting encoder and decoder nodes at multiple spatial resolutions. U-Net++ aggregates varying receptive fields at each decoder node and incorporates deep supervision loss heads, allowing multi-scale gradient backpropagation. This architectural enhancement substantially improves boundary sensitivity on challenging, irregular lesions.</w:t>
      </w:r>
    </w:p>
    <w:p>
      <w:pPr>
        <w:keepNext/>
        <w:spacing w:before="240" w:after="80"/>
      </w:pPr>
      <w:r>
        <w:rPr>
          <w:rFonts w:ascii="Times New Roman" w:hAnsi="Times New Roman"/>
          <w:b/>
          <w:color w:val="0F2043"/>
          <w:sz w:val="25"/>
        </w:rPr>
        <w:t>3. Attention U-Net: Additive Gating for Lesion Focus</w:t>
      </w:r>
    </w:p>
    <w:p>
      <w:pPr>
        <w:spacing w:after="120" w:line="276" w:lineRule="auto"/>
      </w:pPr>
      <w:r>
        <w:rPr>
          <w:rFonts w:ascii="Times New Roman" w:hAnsi="Times New Roman"/>
          <w:color w:val="212529"/>
        </w:rPr>
        <w:t>Oktay et al. (MIDL 2018) introduced additive soft attention gates within U-Net skip connections. The attention gate utilizes coarse-level gating signals from deeper layers to dynamically suppress task-irrelevant background activations (such as skull bone and normal ventricles) while highlighting salient tumor boundaries without requiring intermediate feature caching or substantial parameter expansion.</w:t>
      </w:r>
    </w:p>
    <w:p>
      <w:pPr>
        <w:keepNext/>
        <w:spacing w:before="240" w:after="80"/>
      </w:pPr>
      <w:r>
        <w:rPr>
          <w:rFonts w:ascii="Times New Roman" w:hAnsi="Times New Roman"/>
          <w:b/>
          <w:color w:val="0F2043"/>
          <w:sz w:val="25"/>
        </w:rPr>
        <w:t>4. EfficientNet: Principled Compound Scaling for Classification</w:t>
      </w:r>
    </w:p>
    <w:p>
      <w:pPr>
        <w:spacing w:after="120" w:line="276" w:lineRule="auto"/>
      </w:pPr>
      <w:r>
        <w:rPr>
          <w:rFonts w:ascii="Times New Roman" w:hAnsi="Times New Roman"/>
          <w:color w:val="212529"/>
        </w:rPr>
        <w:t>Tan and Le (ICML 2019) introduced compound scaling, a method that systematically balances convolutional network depth, width, and input resolution using a fixed compound coefficient. EfficientNet-B0 achieves top-tier classification accuracy with only 4.01 Million parameters. In clinical brain MRI triage, where real-time latency and avoidance of overfitting on moderate datasets are paramount, EfficientNet-B0 represents an optimal architecture for multi-class tumor categorization.</w:t>
      </w:r>
    </w:p>
    <w:p>
      <w:pPr>
        <w:keepNext/>
        <w:spacing w:before="240" w:after="80"/>
      </w:pPr>
      <w:r>
        <w:rPr>
          <w:rFonts w:ascii="Times New Roman" w:hAnsi="Times New Roman"/>
          <w:b/>
          <w:color w:val="0F2043"/>
          <w:sz w:val="25"/>
        </w:rPr>
        <w:t>5. SaberNet: Self-Attention Based Spatial Relation Modeling</w:t>
      </w:r>
    </w:p>
    <w:p>
      <w:pPr>
        <w:spacing w:after="120" w:line="276" w:lineRule="auto"/>
      </w:pPr>
      <w:r>
        <w:rPr>
          <w:rFonts w:ascii="Times New Roman" w:hAnsi="Times New Roman"/>
          <w:color w:val="212529"/>
        </w:rPr>
        <w:t>Introduced in Pattern Recognition (2023), SaberNet incorporates a Self-Attention Based Effective Relation module that computes pairwise spatial relation matrices across all pixel coordinates in an MRI slice. By capturing long-range contextual relationships across the brain, SaberNet aims to resolve ambiguities in multi-focal and diffuse neoplasms.</w:t>
      </w:r>
    </w:p>
    <w:p>
      <w:pPr>
        <w:keepNext/>
        <w:spacing w:before="240" w:after="80"/>
      </w:pPr>
      <w:r>
        <w:rPr>
          <w:rFonts w:ascii="Times New Roman" w:hAnsi="Times New Roman"/>
          <w:b/>
          <w:color w:val="0F2043"/>
          <w:sz w:val="25"/>
        </w:rPr>
        <w:t>6. GeoSample: Geometry-Guided Sampling Operators</w:t>
      </w:r>
    </w:p>
    <w:p>
      <w:pPr>
        <w:spacing w:after="120" w:line="276" w:lineRule="auto"/>
      </w:pPr>
      <w:r>
        <w:rPr>
          <w:rFonts w:ascii="Times New Roman" w:hAnsi="Times New Roman"/>
          <w:color w:val="212529"/>
        </w:rPr>
        <w:t>Recently proposed in advanced medical imaging benchmarks (2025), GeoSample replaces rigid 3×3 convolution kernels with learnable directional boundary probes that predict local orientation (angle θ) and step sizes (r) at every pixel. This enables the network to explicitly sample along boundary gradients and curvature directions, capturing edge transitions using lightweight token mixing.</w:t>
      </w:r>
    </w:p>
    <w:p>
      <w:pPr>
        <w:spacing w:after="120" w:line="276" w:lineRule="auto"/>
      </w:pPr>
      <w:r>
        <w:rPr>
          <w:rFonts w:ascii="Times New Roman" w:hAnsi="Times New Roman"/>
          <w:color w:val="212529"/>
        </w:rPr>
        <w:t>While these individual models offer compelling theoretical advantages, contemporary literature predominantly evaluates them as disconnected algorithms. Comprehensive comparative benchmarking on standardized datasets like BRISC 2025 and their integration into unified, multi-agent clinical reporting systems remain largely unexplored.</w:t>
      </w:r>
    </w:p>
    <w:p>
      <w:pPr>
        <w:keepNext/>
        <w:spacing w:before="320" w:after="120"/>
      </w:pPr>
      <w:r>
        <w:rPr>
          <w:rFonts w:ascii="Times New Roman" w:hAnsi="Times New Roman"/>
          <w:b/>
          <w:color w:val="0F2043"/>
          <w:sz w:val="28"/>
        </w:rPr>
        <w:t>Proposed System</w:t>
      </w:r>
    </w:p>
    <w:p>
      <w:pPr>
        <w:spacing w:after="120" w:line="276" w:lineRule="auto"/>
      </w:pPr>
      <w:r>
        <w:rPr>
          <w:rFonts w:ascii="Times New Roman" w:hAnsi="Times New Roman"/>
          <w:color w:val="212529"/>
        </w:rPr>
        <w:t>The proposed system presents MedBoard, an end-to-end multi-agent brain MRI analysis framework designed to deliver high-accuracy tumor classification, sub-millimeter lesion segmentation, quantitative morphological profiling, and automated preliminary report generation through a modular Python pipeline.</w:t>
      </w:r>
    </w:p>
    <w:p>
      <w:pPr>
        <w:keepNext/>
        <w:spacing w:before="240" w:after="80"/>
      </w:pPr>
      <w:r>
        <w:rPr>
          <w:rFonts w:ascii="Times New Roman" w:hAnsi="Times New Roman"/>
          <w:b/>
          <w:color w:val="0F2043"/>
          <w:sz w:val="25"/>
        </w:rPr>
        <w:t>1. System Overview</w:t>
      </w:r>
    </w:p>
    <w:p>
      <w:pPr>
        <w:spacing w:after="120" w:line="276" w:lineRule="auto"/>
      </w:pPr>
      <w:r>
        <w:rPr>
          <w:rFonts w:ascii="Times New Roman" w:hAnsi="Times New Roman"/>
          <w:color w:val="212529"/>
        </w:rPr>
        <w:t>The system architecture is structured into specialized, decoupled agents coordinated through a unified shared state data structure (MedBoardState). An input axial brain MRI slice is first ingested by the Preprocessing Agent, which validates format integrity, applies Contrast Limited Adaptive Histogram Equalization (CLAHE), and prepares dual-resolution tensors (224×224 for classification and 256×256 for segmentation). The tensors are concurrently dispatched to the Classification Agent (EfficientNet-B0) and the Segmentation Agent (Pretrained ResNet-34 U-Net++). The resulting predictions and binary mask are passed to the Feature Extraction Engine to compute lesion dimensions, and finally rendered on an interactive Streamlit clinician dashboard.</w:t>
      </w:r>
    </w:p>
    <w:p>
      <w:pPr>
        <w:keepNext/>
        <w:spacing w:before="240" w:after="80"/>
      </w:pPr>
      <w:r>
        <w:rPr>
          <w:rFonts w:ascii="Times New Roman" w:hAnsi="Times New Roman"/>
          <w:b/>
          <w:color w:val="0F2043"/>
          <w:sz w:val="25"/>
        </w:rPr>
        <w:t>2. Expected Outcomes</w:t>
      </w:r>
    </w:p>
    <w:p>
      <w:pPr>
        <w:pStyle w:val="ListBullet"/>
        <w:spacing w:after="80" w:line="276" w:lineRule="auto"/>
      </w:pPr>
      <w:r>
        <w:rPr>
          <w:rFonts w:ascii="Times New Roman" w:hAnsi="Times New Roman"/>
          <w:b/>
          <w:color w:val="0F2043"/>
        </w:rPr>
        <w:t xml:space="preserve">High Diagnostic Reliability: </w:t>
      </w:r>
      <w:r>
        <w:rPr>
          <w:rFonts w:ascii="Times New Roman" w:hAnsi="Times New Roman"/>
          <w:color w:val="212529"/>
        </w:rPr>
        <w:t>Achieve &gt;98% classification accuracy across Glioma, Meningioma, Pituitary Tumor, and Normal brain MRI scans.</w:t>
      </w:r>
    </w:p>
    <w:p>
      <w:pPr>
        <w:pStyle w:val="ListBullet"/>
        <w:spacing w:after="80" w:line="276" w:lineRule="auto"/>
      </w:pPr>
      <w:r>
        <w:rPr>
          <w:rFonts w:ascii="Times New Roman" w:hAnsi="Times New Roman"/>
          <w:b/>
          <w:color w:val="0F2043"/>
        </w:rPr>
        <w:t xml:space="preserve">Sub-Millimeter Boundary Precision: </w:t>
      </w:r>
      <w:r>
        <w:rPr>
          <w:rFonts w:ascii="Times New Roman" w:hAnsi="Times New Roman"/>
          <w:color w:val="212529"/>
        </w:rPr>
        <w:t>Attain &gt;86% Mean Dice score on unseen test slices, ensuring faithful contour alignment along complex margins.</w:t>
      </w:r>
    </w:p>
    <w:p>
      <w:pPr>
        <w:pStyle w:val="ListBullet"/>
        <w:spacing w:after="80" w:line="276" w:lineRule="auto"/>
      </w:pPr>
      <w:r>
        <w:rPr>
          <w:rFonts w:ascii="Times New Roman" w:hAnsi="Times New Roman"/>
          <w:b/>
          <w:color w:val="0F2043"/>
        </w:rPr>
        <w:t xml:space="preserve">Objective Morphological Profiling: </w:t>
      </w:r>
      <w:r>
        <w:rPr>
          <w:rFonts w:ascii="Times New Roman" w:hAnsi="Times New Roman"/>
          <w:color w:val="212529"/>
        </w:rPr>
        <w:t>Provide automated lesion surface area (mm²), perimeter, and spatial localization for clinical documentation.</w:t>
      </w:r>
    </w:p>
    <w:p>
      <w:pPr>
        <w:pStyle w:val="ListBullet"/>
        <w:spacing w:after="80" w:line="276" w:lineRule="auto"/>
      </w:pPr>
      <w:r>
        <w:rPr>
          <w:rFonts w:ascii="Times New Roman" w:hAnsi="Times New Roman"/>
          <w:b/>
          <w:color w:val="0F2043"/>
        </w:rPr>
        <w:t xml:space="preserve">Real-Time Clinical Interactivity: </w:t>
      </w:r>
      <w:r>
        <w:rPr>
          <w:rFonts w:ascii="Times New Roman" w:hAnsi="Times New Roman"/>
          <w:color w:val="212529"/>
        </w:rPr>
        <w:t>Maintain total end-to-end pipeline execution time under 100 milliseconds on standard edge GPU hardware.</w:t>
      </w:r>
    </w:p>
    <w:p>
      <w:pPr>
        <w:keepNext/>
        <w:spacing w:before="320" w:after="120"/>
      </w:pPr>
      <w:r>
        <w:rPr>
          <w:rFonts w:ascii="Times New Roman" w:hAnsi="Times New Roman"/>
          <w:b/>
          <w:color w:val="0F2043"/>
          <w:sz w:val="28"/>
        </w:rPr>
        <w:t>System Architecture</w:t>
      </w:r>
    </w:p>
    <w:p>
      <w:pPr>
        <w:keepNext/>
        <w:spacing w:before="240" w:after="80"/>
      </w:pPr>
      <w:r>
        <w:rPr>
          <w:rFonts w:ascii="Times New Roman" w:hAnsi="Times New Roman"/>
          <w:b/>
          <w:color w:val="0F2043"/>
          <w:sz w:val="25"/>
        </w:rPr>
        <w:t>1. Components:</w:t>
      </w:r>
    </w:p>
    <w:p>
      <w:pPr>
        <w:keepNext/>
        <w:spacing w:before="160" w:after="40"/>
      </w:pPr>
      <w:r>
        <w:rPr>
          <w:rFonts w:ascii="Times New Roman" w:hAnsi="Times New Roman"/>
          <w:b/>
          <w:color w:val="0F2043"/>
          <w:sz w:val="24"/>
        </w:rPr>
        <w:t>A. Preprocessing Engine (`modules/preprocessing.py`)</w:t>
      </w:r>
    </w:p>
    <w:p>
      <w:pPr>
        <w:pStyle w:val="ListBullet"/>
        <w:spacing w:after="80" w:line="276" w:lineRule="auto"/>
      </w:pPr>
      <w:r>
        <w:rPr>
          <w:rFonts w:ascii="Times New Roman" w:hAnsi="Times New Roman"/>
          <w:b/>
          <w:color w:val="0F2043"/>
        </w:rPr>
        <w:t xml:space="preserve">Purpose: </w:t>
      </w:r>
      <w:r>
        <w:rPr>
          <w:rFonts w:ascii="Times New Roman" w:hAnsi="Times New Roman"/>
          <w:color w:val="212529"/>
        </w:rPr>
        <w:t>Standardizes raw MRI images into normalized tensor representations.</w:t>
      </w:r>
    </w:p>
    <w:p>
      <w:pPr>
        <w:pStyle w:val="ListBullet"/>
        <w:spacing w:after="80" w:line="276" w:lineRule="auto"/>
      </w:pPr>
      <w:r>
        <w:rPr>
          <w:rFonts w:ascii="Times New Roman" w:hAnsi="Times New Roman"/>
          <w:b/>
          <w:color w:val="0F2043"/>
        </w:rPr>
        <w:t xml:space="preserve">Responsibilities: </w:t>
      </w:r>
      <w:r>
        <w:rPr>
          <w:rFonts w:ascii="Times New Roman" w:hAnsi="Times New Roman"/>
          <w:color w:val="212529"/>
        </w:rPr>
        <w:t>Validates file extensions (.png, .jpg, DICOM); converts grayscale inputs to 3-channel tensors; applies CLAHE normalization; resizes to target network inputs (224×224 and 256×256).</w:t>
      </w:r>
    </w:p>
    <w:p>
      <w:pPr>
        <w:keepNext/>
        <w:spacing w:before="160" w:after="40"/>
      </w:pPr>
      <w:r>
        <w:rPr>
          <w:rFonts w:ascii="Times New Roman" w:hAnsi="Times New Roman"/>
          <w:b/>
          <w:color w:val="0F2043"/>
          <w:sz w:val="24"/>
        </w:rPr>
        <w:t>B. Classification Agent (`modules/classifier.py`, `agents/classification_agent.py`)</w:t>
      </w:r>
    </w:p>
    <w:p>
      <w:pPr>
        <w:pStyle w:val="ListBullet"/>
        <w:spacing w:after="80" w:line="276" w:lineRule="auto"/>
      </w:pPr>
      <w:r>
        <w:rPr>
          <w:rFonts w:ascii="Times New Roman" w:hAnsi="Times New Roman"/>
          <w:b/>
          <w:color w:val="0F2043"/>
        </w:rPr>
        <w:t xml:space="preserve">Purpose: </w:t>
      </w:r>
      <w:r>
        <w:rPr>
          <w:rFonts w:ascii="Times New Roman" w:hAnsi="Times New Roman"/>
          <w:color w:val="212529"/>
        </w:rPr>
        <w:t>Predicts the pathological neoplasm category from axial MRI slices.</w:t>
      </w:r>
    </w:p>
    <w:p>
      <w:pPr>
        <w:pStyle w:val="ListBullet"/>
        <w:spacing w:after="80" w:line="276" w:lineRule="auto"/>
      </w:pPr>
      <w:r>
        <w:rPr>
          <w:rFonts w:ascii="Times New Roman" w:hAnsi="Times New Roman"/>
          <w:b/>
          <w:color w:val="0F2043"/>
        </w:rPr>
        <w:t xml:space="preserve">Architecture: </w:t>
      </w:r>
      <w:r>
        <w:rPr>
          <w:rFonts w:ascii="Times New Roman" w:hAnsi="Times New Roman"/>
          <w:color w:val="212529"/>
        </w:rPr>
        <w:t>EfficientNet-B0 backbone with custom linear classification head (4 classes: Glioma, Meningioma, Pituitary, Normal).</w:t>
      </w:r>
    </w:p>
    <w:p>
      <w:pPr>
        <w:pStyle w:val="ListBullet"/>
        <w:spacing w:after="80" w:line="276" w:lineRule="auto"/>
      </w:pPr>
      <w:r>
        <w:rPr>
          <w:rFonts w:ascii="Times New Roman" w:hAnsi="Times New Roman"/>
          <w:b/>
          <w:color w:val="0F2043"/>
        </w:rPr>
        <w:t xml:space="preserve">Responsibilities: </w:t>
      </w:r>
      <w:r>
        <w:rPr>
          <w:rFonts w:ascii="Times New Roman" w:hAnsi="Times New Roman"/>
          <w:color w:val="212529"/>
        </w:rPr>
        <w:t>Generates class predictions, softmax probability distributions, and diagnostic confidence scores.</w:t>
      </w:r>
    </w:p>
    <w:p>
      <w:pPr>
        <w:keepNext/>
        <w:spacing w:before="160" w:after="40"/>
      </w:pPr>
      <w:r>
        <w:rPr>
          <w:rFonts w:ascii="Times New Roman" w:hAnsi="Times New Roman"/>
          <w:b/>
          <w:color w:val="0F2043"/>
          <w:sz w:val="24"/>
        </w:rPr>
        <w:t>C. Segmentation Agent (`modules/unet_plusplus_resnet.py`, `agents/segmentation_agent.py`)</w:t>
      </w:r>
    </w:p>
    <w:p>
      <w:pPr>
        <w:pStyle w:val="ListBullet"/>
        <w:spacing w:after="80" w:line="276" w:lineRule="auto"/>
      </w:pPr>
      <w:r>
        <w:rPr>
          <w:rFonts w:ascii="Times New Roman" w:hAnsi="Times New Roman"/>
          <w:b/>
          <w:color w:val="0F2043"/>
        </w:rPr>
        <w:t xml:space="preserve">Purpose: </w:t>
      </w:r>
      <w:r>
        <w:rPr>
          <w:rFonts w:ascii="Times New Roman" w:hAnsi="Times New Roman"/>
          <w:color w:val="212529"/>
        </w:rPr>
        <w:t>Delineates pixel-level anatomical tumor boundaries.</w:t>
      </w:r>
    </w:p>
    <w:p>
      <w:pPr>
        <w:pStyle w:val="ListBullet"/>
        <w:spacing w:after="80" w:line="276" w:lineRule="auto"/>
      </w:pPr>
      <w:r>
        <w:rPr>
          <w:rFonts w:ascii="Times New Roman" w:hAnsi="Times New Roman"/>
          <w:b/>
          <w:color w:val="0F2043"/>
        </w:rPr>
        <w:t xml:space="preserve">Architecture: </w:t>
      </w:r>
      <w:r>
        <w:rPr>
          <w:rFonts w:ascii="Times New Roman" w:hAnsi="Times New Roman"/>
          <w:color w:val="212529"/>
        </w:rPr>
        <w:t>Pretrained ResNet-34 encoder with 5-level nested U-Net++ decoder and multi-scale deep supervision.</w:t>
      </w:r>
    </w:p>
    <w:p>
      <w:pPr>
        <w:pStyle w:val="ListBullet"/>
        <w:spacing w:after="80" w:line="276" w:lineRule="auto"/>
      </w:pPr>
      <w:r>
        <w:rPr>
          <w:rFonts w:ascii="Times New Roman" w:hAnsi="Times New Roman"/>
          <w:b/>
          <w:color w:val="0F2043"/>
        </w:rPr>
        <w:t xml:space="preserve">Responsibilities: </w:t>
      </w:r>
      <w:r>
        <w:rPr>
          <w:rFonts w:ascii="Times New Roman" w:hAnsi="Times New Roman"/>
          <w:color w:val="212529"/>
        </w:rPr>
        <w:t>Computes binary lesion masks, boundary contours, and segmentation confidence scores.</w:t>
      </w:r>
    </w:p>
    <w:p>
      <w:pPr>
        <w:keepNext/>
        <w:spacing w:before="160" w:after="40"/>
      </w:pPr>
      <w:r>
        <w:rPr>
          <w:rFonts w:ascii="Times New Roman" w:hAnsi="Times New Roman"/>
          <w:b/>
          <w:color w:val="0F2043"/>
          <w:sz w:val="24"/>
        </w:rPr>
        <w:t>D. Shared Pipeline State (`pipeline.py`, `MedBoardState`)</w:t>
      </w:r>
    </w:p>
    <w:p>
      <w:pPr>
        <w:pStyle w:val="ListBullet"/>
        <w:spacing w:after="80" w:line="276" w:lineRule="auto"/>
      </w:pPr>
      <w:r>
        <w:rPr>
          <w:rFonts w:ascii="Times New Roman" w:hAnsi="Times New Roman"/>
          <w:b/>
          <w:color w:val="0F2043"/>
        </w:rPr>
        <w:t xml:space="preserve">Purpose: </w:t>
      </w:r>
      <w:r>
        <w:rPr>
          <w:rFonts w:ascii="Times New Roman" w:hAnsi="Times New Roman"/>
          <w:color w:val="212529"/>
        </w:rPr>
        <w:t>Unified dataclass maintaining end-to-end diagnostic context across all pipeline stages.</w:t>
      </w:r>
    </w:p>
    <w:p>
      <w:pPr>
        <w:pStyle w:val="ListBullet"/>
        <w:spacing w:after="80" w:line="276" w:lineRule="auto"/>
      </w:pPr>
      <w:r>
        <w:rPr>
          <w:rFonts w:ascii="Times New Roman" w:hAnsi="Times New Roman"/>
          <w:b/>
          <w:color w:val="0F2043"/>
        </w:rPr>
        <w:t xml:space="preserve">Fields: </w:t>
      </w:r>
      <w:r>
        <w:rPr>
          <w:rFonts w:ascii="Times New Roman" w:hAnsi="Times New Roman"/>
          <w:color w:val="212529"/>
        </w:rPr>
        <w:t>image_path (str), preprocessed_image (ndarray), tumor_mask (ndarray), has_tumor (bool), predicted_class (str), classification_confidence (float), class_probabilities (dict), tumor_features (dict), errors (list).</w:t>
      </w:r>
    </w:p>
    <w:p>
      <w:pPr>
        <w:keepNext/>
        <w:spacing w:before="160" w:after="40"/>
      </w:pPr>
      <w:r>
        <w:rPr>
          <w:rFonts w:ascii="Times New Roman" w:hAnsi="Times New Roman"/>
          <w:b/>
          <w:color w:val="0F2043"/>
          <w:sz w:val="24"/>
        </w:rPr>
        <w:t>E. Clinician Decision-Support Dashboard (`ui/app.py`)</w:t>
      </w:r>
    </w:p>
    <w:p>
      <w:pPr>
        <w:pStyle w:val="ListBullet"/>
        <w:spacing w:after="80" w:line="276" w:lineRule="auto"/>
      </w:pPr>
      <w:r>
        <w:rPr>
          <w:rFonts w:ascii="Times New Roman" w:hAnsi="Times New Roman"/>
          <w:b/>
          <w:color w:val="0F2043"/>
        </w:rPr>
        <w:t xml:space="preserve">Purpose: </w:t>
      </w:r>
      <w:r>
        <w:rPr>
          <w:rFonts w:ascii="Times New Roman" w:hAnsi="Times New Roman"/>
          <w:color w:val="212529"/>
        </w:rPr>
        <w:t>Interactive web-based graphical user interface for neuroradiologist triage.</w:t>
      </w:r>
    </w:p>
    <w:p>
      <w:pPr>
        <w:pStyle w:val="ListBullet"/>
        <w:spacing w:after="80" w:line="276" w:lineRule="auto"/>
      </w:pPr>
      <w:r>
        <w:rPr>
          <w:rFonts w:ascii="Times New Roman" w:hAnsi="Times New Roman"/>
          <w:b/>
          <w:color w:val="0F2043"/>
        </w:rPr>
        <w:t xml:space="preserve">Responsibilities: </w:t>
      </w:r>
      <w:r>
        <w:rPr>
          <w:rFonts w:ascii="Times New Roman" w:hAnsi="Times New Roman"/>
          <w:color w:val="212529"/>
        </w:rPr>
        <w:t>Facilitates instant image upload; renders alpha-blended segmentation overlays; presents clinical KPI cards; visualizes probability charts.</w:t>
      </w:r>
    </w:p>
    <w:p>
      <w:pPr>
        <w:keepNext/>
        <w:spacing w:before="240" w:after="80"/>
      </w:pPr>
      <w:r>
        <w:rPr>
          <w:rFonts w:ascii="Times New Roman" w:hAnsi="Times New Roman"/>
          <w:b/>
          <w:color w:val="0F2043"/>
          <w:sz w:val="25"/>
        </w:rPr>
        <w:t>2. Data Flow</w:t>
      </w:r>
    </w:p>
    <w:p>
      <w:pPr>
        <w:spacing w:after="120" w:line="276" w:lineRule="auto"/>
      </w:pPr>
      <w:r>
        <w:rPr>
          <w:rFonts w:ascii="Times New Roman" w:hAnsi="Times New Roman"/>
          <w:color w:val="212529"/>
        </w:rPr>
        <w:t>The execution lifecycle of MedBoard follows a deterministic, 5-stage data flow:</w:t>
      </w:r>
    </w:p>
    <w:p>
      <w:pPr>
        <w:pStyle w:val="ListBullet"/>
        <w:spacing w:after="80" w:line="276" w:lineRule="auto"/>
      </w:pPr>
      <w:r>
        <w:rPr>
          <w:rFonts w:ascii="Times New Roman" w:hAnsi="Times New Roman"/>
          <w:b/>
          <w:color w:val="0F2043"/>
        </w:rPr>
        <w:t xml:space="preserve">1. Ingestion &amp; Validation: </w:t>
      </w:r>
      <w:r>
        <w:rPr>
          <w:rFonts w:ascii="Times New Roman" w:hAnsi="Times New Roman"/>
          <w:color w:val="212529"/>
        </w:rPr>
        <w:t>The user uploads a brain MRI slice via the Streamlit interface. The Preprocessing Engine verifies image dimensions, bit depth, and channel validity.</w:t>
      </w:r>
    </w:p>
    <w:p>
      <w:pPr>
        <w:pStyle w:val="ListBullet"/>
        <w:spacing w:after="80" w:line="276" w:lineRule="auto"/>
      </w:pPr>
      <w:r>
        <w:rPr>
          <w:rFonts w:ascii="Times New Roman" w:hAnsi="Times New Roman"/>
          <w:b/>
          <w:color w:val="0F2043"/>
        </w:rPr>
        <w:t xml:space="preserve">2. Tensor Generation: </w:t>
      </w:r>
      <w:r>
        <w:rPr>
          <w:rFonts w:ascii="Times New Roman" w:hAnsi="Times New Roman"/>
          <w:color w:val="212529"/>
        </w:rPr>
        <w:t>The image is normalized using ImageNet statistical priors and converted into PyTorch floating-point tensors (C=3, H=224, W=224 for classification; C=3, H=256, W=256 for segmentation).</w:t>
      </w:r>
    </w:p>
    <w:p>
      <w:pPr>
        <w:pStyle w:val="ListBullet"/>
        <w:spacing w:after="80" w:line="276" w:lineRule="auto"/>
      </w:pPr>
      <w:r>
        <w:rPr>
          <w:rFonts w:ascii="Times New Roman" w:hAnsi="Times New Roman"/>
          <w:b/>
          <w:color w:val="0F2043"/>
        </w:rPr>
        <w:t xml:space="preserve">3. Concurrent Perception: </w:t>
      </w:r>
      <w:r>
        <w:rPr>
          <w:rFonts w:ascii="Times New Roman" w:hAnsi="Times New Roman"/>
          <w:color w:val="212529"/>
        </w:rPr>
        <w:t>The Classification Agent executes forward inference to obtain class logits and softmax probabilities. Concurrently, the Segmentation Agent evaluates the 256×256 tensor to predict spatial tumor masks.</w:t>
      </w:r>
    </w:p>
    <w:p>
      <w:pPr>
        <w:pStyle w:val="ListBullet"/>
        <w:spacing w:after="80" w:line="276" w:lineRule="auto"/>
      </w:pPr>
      <w:r>
        <w:rPr>
          <w:rFonts w:ascii="Times New Roman" w:hAnsi="Times New Roman"/>
          <w:b/>
          <w:color w:val="0F2043"/>
        </w:rPr>
        <w:t xml:space="preserve">4. Morphological Analysis: </w:t>
      </w:r>
      <w:r>
        <w:rPr>
          <w:rFonts w:ascii="Times New Roman" w:hAnsi="Times New Roman"/>
          <w:color w:val="212529"/>
        </w:rPr>
        <w:t>If a tumor is detected (has_tumor = True), the Feature Extraction Engine calculates connected component contours, surface area (pixel count and physical mm²), perimeter, and centroid coordinates.</w:t>
      </w:r>
    </w:p>
    <w:p>
      <w:pPr>
        <w:pStyle w:val="ListBullet"/>
        <w:spacing w:after="80" w:line="276" w:lineRule="auto"/>
      </w:pPr>
      <w:r>
        <w:rPr>
          <w:rFonts w:ascii="Times New Roman" w:hAnsi="Times New Roman"/>
          <w:b/>
          <w:color w:val="0F2043"/>
        </w:rPr>
        <w:t xml:space="preserve">5. Output Rendering: </w:t>
      </w:r>
      <w:r>
        <w:rPr>
          <w:rFonts w:ascii="Times New Roman" w:hAnsi="Times New Roman"/>
          <w:color w:val="212529"/>
        </w:rPr>
        <w:t>The results are committed to MedBoardState, and the UI displays interactive KPI cards, probability bar plots, and contour overlays.</w:t>
      </w:r>
    </w:p>
    <w:p>
      <w:pPr>
        <w:keepNext/>
        <w:spacing w:before="240" w:after="80"/>
      </w:pPr>
      <w:r>
        <w:rPr>
          <w:rFonts w:ascii="Times New Roman" w:hAnsi="Times New Roman"/>
          <w:b/>
          <w:color w:val="0F2043"/>
          <w:sz w:val="25"/>
        </w:rPr>
        <w:t>3. Key Design Points</w:t>
      </w:r>
    </w:p>
    <w:p>
      <w:pPr>
        <w:pStyle w:val="ListBullet"/>
        <w:spacing w:after="80" w:line="276" w:lineRule="auto"/>
      </w:pPr>
      <w:r>
        <w:rPr>
          <w:rFonts w:ascii="Times New Roman" w:hAnsi="Times New Roman"/>
          <w:b/>
          <w:color w:val="0F2043"/>
        </w:rPr>
        <w:t xml:space="preserve">Separation of Perception and Orchestration: </w:t>
      </w:r>
      <w:r>
        <w:rPr>
          <w:rFonts w:ascii="Times New Roman" w:hAnsi="Times New Roman"/>
          <w:color w:val="212529"/>
        </w:rPr>
        <w:t>Classification, segmentation, and preprocessing modules operate as independent classes with standardized interfaces, enabling isolated unit testing and modular upgrades.</w:t>
      </w:r>
    </w:p>
    <w:p>
      <w:pPr>
        <w:pStyle w:val="ListBullet"/>
        <w:spacing w:after="80" w:line="276" w:lineRule="auto"/>
      </w:pPr>
      <w:r>
        <w:rPr>
          <w:rFonts w:ascii="Times New Roman" w:hAnsi="Times New Roman"/>
          <w:b/>
          <w:color w:val="0F2043"/>
        </w:rPr>
        <w:t xml:space="preserve">Singleton GPU Memory Caching: </w:t>
      </w:r>
      <w:r>
        <w:rPr>
          <w:rFonts w:ascii="Times New Roman" w:hAnsi="Times New Roman"/>
          <w:color w:val="212529"/>
        </w:rPr>
        <w:t>Deep learning models are maintained as persistent singletons in GPU VRAM (_clf_agent, _seg_agent), eliminating cold-start model reload overhead.</w:t>
      </w:r>
    </w:p>
    <w:p>
      <w:pPr>
        <w:pStyle w:val="ListBullet"/>
        <w:spacing w:after="80" w:line="276" w:lineRule="auto"/>
      </w:pPr>
      <w:r>
        <w:rPr>
          <w:rFonts w:ascii="Times New Roman" w:hAnsi="Times New Roman"/>
          <w:b/>
          <w:color w:val="0F2043"/>
        </w:rPr>
        <w:t xml:space="preserve">Dual-Resolution Strategy: </w:t>
      </w:r>
      <w:r>
        <w:rPr>
          <w:rFonts w:ascii="Times New Roman" w:hAnsi="Times New Roman"/>
          <w:color w:val="212529"/>
        </w:rPr>
        <w:t>Decoupling classification (224×224) and segmentation (256×256) optimizes computational efficiency while preserving fine spatial resolution for boundary tracing.</w:t>
      </w:r>
    </w:p>
    <w:p>
      <w:pPr>
        <w:pStyle w:val="ListBullet"/>
        <w:spacing w:after="80" w:line="276" w:lineRule="auto"/>
      </w:pPr>
      <w:r>
        <w:rPr>
          <w:rFonts w:ascii="Times New Roman" w:hAnsi="Times New Roman"/>
          <w:b/>
          <w:color w:val="0F2043"/>
        </w:rPr>
        <w:t xml:space="preserve">Defensive Exception Handling: </w:t>
      </w:r>
      <w:r>
        <w:rPr>
          <w:rFonts w:ascii="Times New Roman" w:hAnsi="Times New Roman"/>
          <w:color w:val="212529"/>
        </w:rPr>
        <w:t>Corrupted files, uniform black slices, or uncalibrated inputs trigger structured warnings in MedBoardState without terminating execution.</w:t>
      </w:r>
    </w:p>
    <w:p>
      <w:pPr>
        <w:keepNext/>
        <w:spacing w:before="240" w:after="80"/>
      </w:pPr>
      <w:r>
        <w:rPr>
          <w:rFonts w:ascii="Times New Roman" w:hAnsi="Times New Roman"/>
          <w:b/>
          <w:color w:val="0F2043"/>
          <w:sz w:val="25"/>
        </w:rPr>
        <w:t>4. Example Execution Flow</w:t>
      </w:r>
    </w:p>
    <w:p>
      <w:pPr>
        <w:spacing w:after="120" w:line="276" w:lineRule="auto"/>
      </w:pPr>
      <w:r>
        <w:rPr>
          <w:rFonts w:ascii="Times New Roman" w:hAnsi="Times New Roman"/>
          <w:color w:val="212529"/>
        </w:rPr>
        <w:t>Below is a representative programmatic trace demonstrating how MedBoard executes end-to-end inference:</w:t>
      </w:r>
    </w:p>
    <w:p>
      <w:pPr>
        <w:pStyle w:val="ListBullet"/>
        <w:spacing w:after="80" w:line="276" w:lineRule="auto"/>
      </w:pPr>
      <w:r>
        <w:rPr>
          <w:rFonts w:ascii="Times New Roman" w:hAnsi="Times New Roman"/>
          <w:b/>
          <w:color w:val="0F2043"/>
        </w:rPr>
        <w:t xml:space="preserve">1. Initialize Pipeline: </w:t>
      </w:r>
      <w:r>
        <w:rPr>
          <w:rFonts w:ascii="Times New Roman" w:hAnsi="Times New Roman"/>
          <w:color w:val="212529"/>
        </w:rPr>
        <w:t>from pipeline import run_pipeline, MedBoardState</w:t>
      </w:r>
    </w:p>
    <w:p>
      <w:pPr>
        <w:pStyle w:val="ListBullet"/>
        <w:spacing w:after="80" w:line="276" w:lineRule="auto"/>
      </w:pPr>
      <w:r>
        <w:rPr>
          <w:rFonts w:ascii="Times New Roman" w:hAnsi="Times New Roman"/>
          <w:b/>
          <w:color w:val="0F2043"/>
        </w:rPr>
        <w:t xml:space="preserve">2. Ingest Brain MRI Scan: </w:t>
      </w:r>
      <w:r>
        <w:rPr>
          <w:rFonts w:ascii="Times New Roman" w:hAnsi="Times New Roman"/>
          <w:color w:val="212529"/>
        </w:rPr>
        <w:t>state = run_pipeline('data/samples/sample_glioma_slice.png')</w:t>
      </w:r>
    </w:p>
    <w:p>
      <w:pPr>
        <w:pStyle w:val="ListBullet"/>
        <w:spacing w:after="80" w:line="276" w:lineRule="auto"/>
      </w:pPr>
      <w:r>
        <w:rPr>
          <w:rFonts w:ascii="Times New Roman" w:hAnsi="Times New Roman"/>
          <w:b/>
          <w:color w:val="0F2043"/>
        </w:rPr>
        <w:t xml:space="preserve">3. Inspect Classification: </w:t>
      </w:r>
      <w:r>
        <w:rPr>
          <w:rFonts w:ascii="Times New Roman" w:hAnsi="Times New Roman"/>
          <w:color w:val="212529"/>
        </w:rPr>
        <w:t>print(f'Diagnosis: {state.predicted_class} ({state.classification_confidence:.2%})')</w:t>
      </w:r>
    </w:p>
    <w:p>
      <w:pPr>
        <w:pStyle w:val="ListBullet"/>
        <w:spacing w:after="80" w:line="276" w:lineRule="auto"/>
      </w:pPr>
      <w:r>
        <w:rPr>
          <w:rFonts w:ascii="Times New Roman" w:hAnsi="Times New Roman"/>
          <w:b/>
          <w:color w:val="0F2043"/>
        </w:rPr>
        <w:t xml:space="preserve">4. Inspect Segmentation: </w:t>
      </w:r>
      <w:r>
        <w:rPr>
          <w:rFonts w:ascii="Times New Roman" w:hAnsi="Times New Roman"/>
          <w:color w:val="212529"/>
        </w:rPr>
        <w:t>print(f'Tumor Detected: {state.has_tumor}, Area: {state.tumor_features.get("area_mm2", 0)} mm²')</w:t>
      </w:r>
    </w:p>
    <w:p>
      <w:pPr>
        <w:pStyle w:val="ListBullet"/>
        <w:spacing w:after="80" w:line="276" w:lineRule="auto"/>
      </w:pPr>
      <w:r>
        <w:rPr>
          <w:rFonts w:ascii="Times New Roman" w:hAnsi="Times New Roman"/>
          <w:b/>
          <w:color w:val="0F2043"/>
        </w:rPr>
        <w:t xml:space="preserve">5. Export State: </w:t>
      </w:r>
      <w:r>
        <w:rPr>
          <w:rFonts w:ascii="Times New Roman" w:hAnsi="Times New Roman"/>
          <w:color w:val="212529"/>
        </w:rPr>
        <w:t>report_dict = state.__dict__</w:t>
      </w:r>
    </w:p>
    <w:p>
      <w:pPr>
        <w:keepNext/>
        <w:spacing w:before="320" w:after="120"/>
      </w:pPr>
      <w:r>
        <w:rPr>
          <w:rFonts w:ascii="Times New Roman" w:hAnsi="Times New Roman"/>
          <w:b/>
          <w:color w:val="0F2043"/>
          <w:sz w:val="28"/>
        </w:rPr>
        <w:t>Model Architectures &amp; Mathematical Foundations</w:t>
      </w:r>
    </w:p>
    <w:p>
      <w:pPr>
        <w:spacing w:after="120" w:line="276" w:lineRule="auto"/>
      </w:pPr>
      <w:r>
        <w:rPr>
          <w:rFonts w:ascii="Times New Roman" w:hAnsi="Times New Roman"/>
          <w:color w:val="212529"/>
        </w:rPr>
        <w:t>To ensure rigorous scientific reproducibility, this section documents the theoretical foundations and mathematical formulations underpinning our classification and segmentation engines.</w:t>
      </w:r>
    </w:p>
    <w:p>
      <w:pPr>
        <w:keepNext/>
        <w:spacing w:before="240" w:after="80"/>
      </w:pPr>
      <w:r>
        <w:rPr>
          <w:rFonts w:ascii="Times New Roman" w:hAnsi="Times New Roman"/>
          <w:b/>
          <w:color w:val="0F2043"/>
          <w:sz w:val="25"/>
        </w:rPr>
        <w:t>1. EfficientNet-B0 Compound Scaling &amp; Classification Head</w:t>
      </w:r>
    </w:p>
    <w:p>
      <w:pPr>
        <w:spacing w:after="120" w:line="276" w:lineRule="auto"/>
      </w:pPr>
      <w:r>
        <w:rPr>
          <w:rFonts w:ascii="Times New Roman" w:hAnsi="Times New Roman"/>
          <w:color w:val="212529"/>
        </w:rPr>
        <w:t>EfficientNet utilizes compound scaling to jointly scale network depth (d), width (w), and resolution (r) under a single compound coefficient φ:</w:t>
      </w:r>
    </w:p>
    <w:p>
      <w:pPr>
        <w:spacing w:after="120" w:line="276" w:lineRule="auto"/>
      </w:pPr>
      <w:r>
        <w:rPr>
          <w:rFonts w:ascii="Times New Roman" w:hAnsi="Times New Roman"/>
          <w:color w:val="212529"/>
        </w:rPr>
        <w:t>depth: d = α^φ,   width: w = β^φ,   resolution: r = γ^φ</w:t>
        <w:br/>
        <w:t>subject to: α · β² · γ² ≈ 2,   where α ≥ 1, β ≥ 1, γ ≥ 1</w:t>
      </w:r>
    </w:p>
    <w:p>
      <w:pPr>
        <w:spacing w:after="120" w:line="276" w:lineRule="auto"/>
      </w:pPr>
      <w:r>
        <w:rPr>
          <w:rFonts w:ascii="Times New Roman" w:hAnsi="Times New Roman"/>
          <w:color w:val="212529"/>
        </w:rPr>
        <w:t>For the base EfficientNet-B0 architecture (φ = 1), α = 1.2, β = 1.1, and γ = 1.15. The feature extractor produces a 1280-dimensional global embedding vector z = GlobalAvgPool(f(x)). The classification logits are computed via a linear projection followed by Softmax activation:</w:t>
      </w:r>
    </w:p>
    <w:p>
      <w:pPr>
        <w:spacing w:after="120" w:line="276" w:lineRule="auto"/>
      </w:pPr>
      <w:r>
        <w:rPr>
          <w:rFonts w:ascii="Times New Roman" w:hAnsi="Times New Roman"/>
          <w:color w:val="212529"/>
        </w:rPr>
        <w:t>P(y = c | x) = exp(w_c^T z + b_c) / [ Σ_{k=1}^4 exp(w_k^T z + b_k) ]</w:t>
      </w:r>
    </w:p>
    <w:p>
      <w:pPr>
        <w:spacing w:after="120" w:line="276" w:lineRule="auto"/>
      </w:pPr>
      <w:r>
        <w:rPr>
          <w:rFonts w:ascii="Times New Roman" w:hAnsi="Times New Roman"/>
          <w:color w:val="212529"/>
        </w:rPr>
        <w:t>Training optimizes Cross-Entropy Loss with label smoothing (ε = 0.1) to prevent overconfident predictions on ambiguous tumor boundaries:</w:t>
      </w:r>
    </w:p>
    <w:p>
      <w:pPr>
        <w:spacing w:after="120" w:line="276" w:lineRule="auto"/>
      </w:pPr>
      <w:r>
        <w:rPr>
          <w:rFonts w:ascii="Times New Roman" w:hAnsi="Times New Roman"/>
          <w:color w:val="212529"/>
        </w:rPr>
        <w:t>L_CE = - Σ_{c=1}^4 [ (1 - ε) y_c + ε / 4 ] log( P(y = c | x) )</w:t>
      </w:r>
    </w:p>
    <w:p>
      <w:pPr>
        <w:keepNext/>
        <w:spacing w:before="240" w:after="80"/>
      </w:pPr>
      <w:r>
        <w:rPr>
          <w:rFonts w:ascii="Times New Roman" w:hAnsi="Times New Roman"/>
          <w:b/>
          <w:color w:val="0F2043"/>
          <w:sz w:val="25"/>
        </w:rPr>
        <w:t>2. U-Net++ Dense Nested Skip Pathways &amp; Deep Supervision</w:t>
      </w:r>
    </w:p>
    <w:p>
      <w:pPr>
        <w:spacing w:after="120" w:line="276" w:lineRule="auto"/>
      </w:pPr>
      <w:r>
        <w:rPr>
          <w:rFonts w:ascii="Times New Roman" w:hAnsi="Times New Roman"/>
          <w:color w:val="212529"/>
        </w:rPr>
        <w:t>In U-Net++, let x^{i,j} denote the output of node X^{i,j}, where i indexes the downsampling layer along the encoder (i ∈ {0,1,2,3,4}) and j indexes the convolutional layer along the dense nested skip pathway. The node feature maps are computed as:</w:t>
      </w:r>
    </w:p>
    <w:p>
      <w:pPr>
        <w:spacing w:after="120" w:line="276" w:lineRule="auto"/>
      </w:pPr>
      <w:r>
        <w:rPr>
          <w:rFonts w:ascii="Times New Roman" w:hAnsi="Times New Roman"/>
          <w:color w:val="212529"/>
        </w:rPr>
        <w:t>x^{i,j} = H( [ [ x^{i,k} ]_{k=0}^{j-1}, Up( x^{i+1, j-1} ) ] )</w:t>
      </w:r>
    </w:p>
    <w:p>
      <w:pPr>
        <w:spacing w:after="120" w:line="276" w:lineRule="auto"/>
      </w:pPr>
      <w:r>
        <w:rPr>
          <w:rFonts w:ascii="Times New Roman" w:hAnsi="Times New Roman"/>
          <w:color w:val="212529"/>
        </w:rPr>
        <w:t>where H(·) denotes a double convolution block (Conv3×3 → BatchNorm → ReLU → Conv3×3 → BatchNorm → ReLU), [ · ] denotes channel-wise concatenation, and Up(·) represents bilinear upsampling. By concatenating all preceding sub-node outputs at the same resolution level, the semantic gap between encoder and decoder feature maps is progressively closed.</w:t>
      </w:r>
    </w:p>
    <w:p>
      <w:pPr>
        <w:spacing w:after="120" w:line="276" w:lineRule="auto"/>
      </w:pPr>
      <w:r>
        <w:rPr>
          <w:rFonts w:ascii="Times New Roman" w:hAnsi="Times New Roman"/>
          <w:color w:val="212529"/>
        </w:rPr>
        <w:t>To enforce gradient flow throughout all intermediate pathways, multi-scale deep supervision loss heads are attached to nodes X^{0,1}, X^{0,2}, X^{0,3}, and X^{0,4}. The final training objective is the weighted sum of losses across all output heads:</w:t>
      </w:r>
    </w:p>
    <w:p>
      <w:pPr>
        <w:spacing w:after="120" w:line="276" w:lineRule="auto"/>
      </w:pPr>
      <w:r>
        <w:rPr>
          <w:rFonts w:ascii="Times New Roman" w:hAnsi="Times New Roman"/>
          <w:color w:val="212529"/>
        </w:rPr>
        <w:t>L_{U-Net++} = Σ_{j=1}^4 w_j · L_{DiceBCE}( y, σ( X^{0,j} ) )</w:t>
      </w:r>
    </w:p>
    <w:p>
      <w:pPr>
        <w:keepNext/>
        <w:spacing w:before="240" w:after="80"/>
      </w:pPr>
      <w:r>
        <w:rPr>
          <w:rFonts w:ascii="Times New Roman" w:hAnsi="Times New Roman"/>
          <w:b/>
          <w:color w:val="0F2043"/>
          <w:sz w:val="25"/>
        </w:rPr>
        <w:t>3. Hybrid Dice + Binary Cross-Entropy Loss Formulation</w:t>
      </w:r>
    </w:p>
    <w:p>
      <w:pPr>
        <w:spacing w:after="120" w:line="276" w:lineRule="auto"/>
      </w:pPr>
      <w:r>
        <w:rPr>
          <w:rFonts w:ascii="Times New Roman" w:hAnsi="Times New Roman"/>
          <w:color w:val="212529"/>
        </w:rPr>
        <w:t>Medical image segmentation suffers from extreme foreground-background class imbalance, as the intracranial tumor typically occupies less than 15% of the total brain slice volume. To address this, we train all segmentation models using a composite Dice + Binary Cross-Entropy Loss (DiceBCELoss):</w:t>
      </w:r>
    </w:p>
    <w:p>
      <w:pPr>
        <w:spacing w:after="120" w:line="276" w:lineRule="auto"/>
      </w:pPr>
      <w:r>
        <w:rPr>
          <w:rFonts w:ascii="Times New Roman" w:hAnsi="Times New Roman"/>
          <w:color w:val="212529"/>
        </w:rPr>
        <w:t>L_{DiceBCE} = L_{BCE} + L_{Dice}</w:t>
      </w:r>
    </w:p>
    <w:p>
      <w:pPr>
        <w:spacing w:after="120" w:line="276" w:lineRule="auto"/>
      </w:pPr>
      <w:r>
        <w:rPr>
          <w:rFonts w:ascii="Times New Roman" w:hAnsi="Times New Roman"/>
          <w:color w:val="212529"/>
        </w:rPr>
        <w:t>where Binary Cross-Entropy evaluates smooth pixel-level probability distribution:</w:t>
        <w:br/>
        <w:t>L_{BCE} = - (1/N) Σ_{i=1}^N [ y_i log( p_i ) + (1 - y_i) log( 1 - p_i ) ]</w:t>
        <w:br/>
        <w:br/>
        <w:t>and the smooth Dice Loss optimizes the macroscopic volumetric intersection-over-union:</w:t>
        <w:br/>
        <w:t>L_{Dice} = 1 - [ ( 2 Σ_{i=1}^N p_i y_i + ε ) / ( Σ_{i=1}^N p_i + Σ_{i=1}^N y_i + ε ) ]</w:t>
      </w:r>
    </w:p>
    <w:p>
      <w:pPr>
        <w:spacing w:after="120" w:line="276" w:lineRule="auto"/>
      </w:pPr>
      <w:r>
        <w:rPr>
          <w:rFonts w:ascii="Times New Roman" w:hAnsi="Times New Roman"/>
          <w:color w:val="212529"/>
        </w:rPr>
        <w:t>where p_i = σ(z_i) represents the predicted sigmoid probability at pixel i, y_i ∈ {0,1} is the ground-truth binary mask label, and ε = 1.0 is a Laplace smoothing factor preventing division by zero.</w:t>
      </w:r>
    </w:p>
    <w:p>
      <w:pPr>
        <w:keepNext/>
        <w:spacing w:before="320" w:after="120"/>
      </w:pPr>
      <w:r>
        <w:rPr>
          <w:rFonts w:ascii="Times New Roman" w:hAnsi="Times New Roman"/>
          <w:b/>
          <w:color w:val="0F2043"/>
          <w:sz w:val="28"/>
        </w:rPr>
        <w:t>Implementation:</w:t>
      </w:r>
    </w:p>
    <w:p>
      <w:pPr>
        <w:spacing w:after="120" w:line="276" w:lineRule="auto"/>
      </w:pPr>
      <w:r>
        <w:rPr>
          <w:rFonts w:ascii="Times New Roman" w:hAnsi="Times New Roman"/>
          <w:color w:val="212529"/>
        </w:rPr>
        <w:t>Language Used: Python (v3.13)</w:t>
      </w:r>
    </w:p>
    <w:p>
      <w:pPr>
        <w:spacing w:after="120" w:line="276" w:lineRule="auto"/>
      </w:pPr>
      <w:r>
        <w:rPr>
          <w:rFonts w:ascii="Times New Roman" w:hAnsi="Times New Roman"/>
          <w:color w:val="212529"/>
        </w:rPr>
        <w:t>Key Libraries: PyTorch (v2.5), torchvision, timm, albumentations, OpenCV, NumPy, Streamlit, Matplotlib</w:t>
      </w:r>
    </w:p>
    <w:p>
      <w:pPr>
        <w:keepNext/>
        <w:spacing w:before="240" w:after="80"/>
      </w:pPr>
      <w:r>
        <w:rPr>
          <w:rFonts w:ascii="Times New Roman" w:hAnsi="Times New Roman"/>
          <w:b/>
          <w:color w:val="0F2043"/>
          <w:sz w:val="25"/>
        </w:rPr>
        <w:t>Overview</w:t>
      </w:r>
    </w:p>
    <w:p>
      <w:pPr>
        <w:spacing w:after="120" w:line="276" w:lineRule="auto"/>
      </w:pPr>
      <w:r>
        <w:rPr>
          <w:rFonts w:ascii="Times New Roman" w:hAnsi="Times New Roman"/>
          <w:color w:val="212529"/>
        </w:rPr>
        <w:t>The project is implemented as an end-to-end reproducible research codebase hosted in the `Major` repository. It comprises:</w:t>
      </w:r>
    </w:p>
    <w:p>
      <w:pPr>
        <w:pStyle w:val="ListBullet"/>
        <w:spacing w:after="80" w:line="276" w:lineRule="auto"/>
      </w:pPr>
      <w:r>
        <w:rPr>
          <w:rFonts w:ascii="Times New Roman" w:hAnsi="Times New Roman"/>
          <w:b/>
          <w:color w:val="0F2043"/>
        </w:rPr>
        <w:t xml:space="preserve">Data Management: </w:t>
      </w:r>
      <w:r>
        <w:rPr>
          <w:rFonts w:ascii="Times New Roman" w:hAnsi="Times New Roman"/>
          <w:color w:val="212529"/>
        </w:rPr>
        <w:t>Automated Kaggle dataset downloader and custom PyTorch Dataset classes (`seg_dataset.py`, `clf_dataset.py`) supporting stratified 90/10 train-validation splitting.</w:t>
      </w:r>
    </w:p>
    <w:p>
      <w:pPr>
        <w:pStyle w:val="ListBullet"/>
        <w:spacing w:after="80" w:line="276" w:lineRule="auto"/>
      </w:pPr>
      <w:r>
        <w:rPr>
          <w:rFonts w:ascii="Times New Roman" w:hAnsi="Times New Roman"/>
          <w:b/>
          <w:color w:val="0F2043"/>
        </w:rPr>
        <w:t xml:space="preserve">Model Modules: </w:t>
      </w:r>
      <w:r>
        <w:rPr>
          <w:rFonts w:ascii="Times New Roman" w:hAnsi="Times New Roman"/>
          <w:color w:val="212529"/>
        </w:rPr>
        <w:t>Modular PyTorch implementations of U-Net, Attention U-Net, U-Net++, Pretrained ResNet-34 U-Net++, SaberNet, and GeoSample U-Net.</w:t>
      </w:r>
    </w:p>
    <w:p>
      <w:pPr>
        <w:pStyle w:val="ListBullet"/>
        <w:spacing w:after="80" w:line="276" w:lineRule="auto"/>
      </w:pPr>
      <w:r>
        <w:rPr>
          <w:rFonts w:ascii="Times New Roman" w:hAnsi="Times New Roman"/>
          <w:b/>
          <w:color w:val="0F2043"/>
        </w:rPr>
        <w:t xml:space="preserve">Training Harnesses: </w:t>
      </w:r>
      <w:r>
        <w:rPr>
          <w:rFonts w:ascii="Times New Roman" w:hAnsi="Times New Roman"/>
          <w:color w:val="212529"/>
        </w:rPr>
        <w:t>Comprehensive training and evaluation scripts with Cosine Annealing learning rate schedulers, early stopping, and automatic checkpointing.</w:t>
      </w:r>
    </w:p>
    <w:p>
      <w:pPr>
        <w:pStyle w:val="ListBullet"/>
        <w:spacing w:after="80" w:line="276" w:lineRule="auto"/>
      </w:pPr>
      <w:r>
        <w:rPr>
          <w:rFonts w:ascii="Times New Roman" w:hAnsi="Times New Roman"/>
          <w:b/>
          <w:color w:val="0F2043"/>
        </w:rPr>
        <w:t xml:space="preserve">Streamlit Interface: </w:t>
      </w:r>
      <w:r>
        <w:rPr>
          <w:rFonts w:ascii="Times New Roman" w:hAnsi="Times New Roman"/>
          <w:color w:val="212529"/>
        </w:rPr>
        <w:t>Interactive clinical dashboard (`ui/app.py`) for live inference and visualization.</w:t>
      </w:r>
    </w:p>
    <w:p>
      <w:pPr>
        <w:keepNext/>
        <w:spacing w:before="240" w:after="80"/>
      </w:pPr>
      <w:r>
        <w:rPr>
          <w:rFonts w:ascii="Times New Roman" w:hAnsi="Times New Roman"/>
          <w:b/>
          <w:color w:val="0F2043"/>
          <w:sz w:val="25"/>
        </w:rPr>
        <w:t>Data Model</w:t>
      </w:r>
    </w:p>
    <w:p>
      <w:pPr>
        <w:pStyle w:val="ListBullet"/>
        <w:spacing w:after="80" w:line="276" w:lineRule="auto"/>
      </w:pPr>
      <w:r>
        <w:rPr>
          <w:rFonts w:ascii="Times New Roman" w:hAnsi="Times New Roman"/>
          <w:b/>
          <w:color w:val="0F2043"/>
        </w:rPr>
        <w:t xml:space="preserve">Dataset Specification: </w:t>
      </w:r>
      <w:r>
        <w:rPr>
          <w:rFonts w:ascii="Times New Roman" w:hAnsi="Times New Roman"/>
          <w:color w:val="212529"/>
        </w:rPr>
        <w:t>BRISC 2025 Brain MRI Benchmark (Nature Scientific Data / arXiv:2506.14318).</w:t>
      </w:r>
    </w:p>
    <w:p>
      <w:pPr>
        <w:pStyle w:val="ListBullet"/>
        <w:spacing w:after="80" w:line="276" w:lineRule="auto"/>
      </w:pPr>
      <w:r>
        <w:rPr>
          <w:rFonts w:ascii="Times New Roman" w:hAnsi="Times New Roman"/>
          <w:b/>
          <w:color w:val="0F2043"/>
        </w:rPr>
        <w:t xml:space="preserve">Volume: </w:t>
      </w:r>
      <w:r>
        <w:rPr>
          <w:rFonts w:ascii="Times New Roman" w:hAnsi="Times New Roman"/>
          <w:color w:val="212529"/>
        </w:rPr>
        <w:t>6,000 axial brain MRI slices (5,000 training, 1,000 test) across Glioma (1,500), Meningioma (1,500), Pituitary (1,500), and No Tumor (1,500).</w:t>
      </w:r>
    </w:p>
    <w:p>
      <w:pPr>
        <w:pStyle w:val="ListBullet"/>
        <w:spacing w:after="80" w:line="276" w:lineRule="auto"/>
      </w:pPr>
      <w:r>
        <w:rPr>
          <w:rFonts w:ascii="Times New Roman" w:hAnsi="Times New Roman"/>
          <w:b/>
          <w:color w:val="0F2043"/>
        </w:rPr>
        <w:t xml:space="preserve">Ground Truth Annotations: </w:t>
      </w:r>
      <w:r>
        <w:rPr>
          <w:rFonts w:ascii="Times New Roman" w:hAnsi="Times New Roman"/>
          <w:color w:val="212529"/>
        </w:rPr>
        <w:t>Paired binary masks for all tumor slices manually segmented by expert neuro-radiology panels.</w:t>
      </w:r>
    </w:p>
    <w:p>
      <w:pPr>
        <w:keepNext/>
        <w:spacing w:before="240" w:after="80"/>
      </w:pPr>
      <w:r>
        <w:rPr>
          <w:rFonts w:ascii="Times New Roman" w:hAnsi="Times New Roman"/>
          <w:b/>
          <w:color w:val="0F2043"/>
          <w:sz w:val="25"/>
        </w:rPr>
        <w:t>Experimental Results &amp; Verification</w:t>
      </w:r>
    </w:p>
    <w:p>
      <w:pPr>
        <w:spacing w:after="120" w:line="276" w:lineRule="auto"/>
      </w:pPr>
      <w:r>
        <w:rPr>
          <w:rFonts w:ascii="Times New Roman" w:hAnsi="Times New Roman"/>
          <w:color w:val="212529"/>
        </w:rPr>
        <w:t>All models were trained and rigorously evaluated on the standardized, unseen BRISC 2025 test partitions using both local hardware (NVIDIA GeForce RTX 2050 4GB) and cloud compute (NVIDIA Tesla T4 16GB).</w:t>
      </w:r>
    </w:p>
    <w:p>
      <w:pPr>
        <w:keepNext/>
        <w:spacing w:before="160" w:after="40"/>
      </w:pPr>
      <w:r>
        <w:rPr>
          <w:rFonts w:ascii="Times New Roman" w:hAnsi="Times New Roman"/>
          <w:b/>
          <w:color w:val="0F2043"/>
          <w:sz w:val="24"/>
        </w:rPr>
        <w:t>A. Brain Tumor Classification Results (1,000 Unseen Test Scans)</w:t>
      </w:r>
    </w:p>
    <w:p>
      <w:pPr>
        <w:spacing w:after="120" w:line="276" w:lineRule="auto"/>
      </w:pPr>
      <w:r>
        <w:rPr>
          <w:rFonts w:ascii="Times New Roman" w:hAnsi="Times New Roman"/>
          <w:color w:val="212529"/>
        </w:rPr>
        <w:t>The EfficientNet-B0 classifier was evaluated under two rigorous protocols: (1) an 85/15 validation split, and (2) the full training corpus protocol on 1,000 unseen test scans. The empirical results are summarized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c>
          <w:tcPr>
            <w:tcW w:type="dxa" w:w="3600"/>
            <w:shd w:fill="1A365D"/>
            <w:tcMar>
              <w:top w:w="80" w:type="dxa"/>
              <w:bottom w:w="80" w:type="dxa"/>
              <w:left w:w="100" w:type="dxa"/>
              <w:right w:w="100" w:type="dxa"/>
            </w:tcMar>
          </w:tcPr>
          <w:p>
            <w:pPr>
              <w:spacing w:after="0"/>
              <w:jc w:val="center"/>
            </w:pPr>
            <w:r>
              <w:rPr>
                <w:rFonts w:ascii="Times New Roman" w:hAnsi="Times New Roman"/>
                <w:b/>
                <w:color w:val="FFFFFF"/>
                <w:sz w:val="20"/>
              </w:rPr>
              <w:t>Training Protocol</w:t>
            </w:r>
          </w:p>
        </w:tc>
        <w:tc>
          <w:tcPr>
            <w:tcW w:type="dxa" w:w="1440"/>
            <w:shd w:fill="1A365D"/>
            <w:tcMar>
              <w:top w:w="80" w:type="dxa"/>
              <w:bottom w:w="80" w:type="dxa"/>
              <w:left w:w="100" w:type="dxa"/>
              <w:right w:w="100" w:type="dxa"/>
            </w:tcMar>
          </w:tcPr>
          <w:p>
            <w:pPr>
              <w:spacing w:after="0"/>
              <w:jc w:val="center"/>
            </w:pPr>
            <w:r>
              <w:rPr>
                <w:rFonts w:ascii="Times New Roman" w:hAnsi="Times New Roman"/>
                <w:b/>
                <w:color w:val="FFFFFF"/>
                <w:sz w:val="20"/>
              </w:rPr>
              <w:t>Parameters</w:t>
            </w:r>
          </w:p>
        </w:tc>
        <w:tc>
          <w:tcPr>
            <w:tcW w:type="dxa" w:w="1440"/>
            <w:shd w:fill="1A365D"/>
            <w:tcMar>
              <w:top w:w="80" w:type="dxa"/>
              <w:bottom w:w="80" w:type="dxa"/>
              <w:left w:w="100" w:type="dxa"/>
              <w:right w:w="100" w:type="dxa"/>
            </w:tcMar>
          </w:tcPr>
          <w:p>
            <w:pPr>
              <w:spacing w:after="0"/>
              <w:jc w:val="center"/>
            </w:pPr>
            <w:r>
              <w:rPr>
                <w:rFonts w:ascii="Times New Roman" w:hAnsi="Times New Roman"/>
                <w:b/>
                <w:color w:val="FFFFFF"/>
                <w:sz w:val="20"/>
              </w:rPr>
              <w:t>Accuracy</w:t>
            </w:r>
          </w:p>
        </w:tc>
        <w:tc>
          <w:tcPr>
            <w:tcW w:type="dxa" w:w="1440"/>
            <w:shd w:fill="1A365D"/>
            <w:tcMar>
              <w:top w:w="80" w:type="dxa"/>
              <w:bottom w:w="80" w:type="dxa"/>
              <w:left w:w="100" w:type="dxa"/>
              <w:right w:w="100" w:type="dxa"/>
            </w:tcMar>
          </w:tcPr>
          <w:p>
            <w:pPr>
              <w:spacing w:after="0"/>
              <w:jc w:val="center"/>
            </w:pPr>
            <w:r>
              <w:rPr>
                <w:rFonts w:ascii="Times New Roman" w:hAnsi="Times New Roman"/>
                <w:b/>
                <w:color w:val="FFFFFF"/>
                <w:sz w:val="20"/>
              </w:rPr>
              <w:t>Macro-F1</w:t>
            </w:r>
          </w:p>
        </w:tc>
        <w:tc>
          <w:tcPr>
            <w:tcW w:type="dxa" w:w="1440"/>
            <w:shd w:fill="1A365D"/>
            <w:tcMar>
              <w:top w:w="80" w:type="dxa"/>
              <w:bottom w:w="80" w:type="dxa"/>
              <w:left w:w="100" w:type="dxa"/>
              <w:right w:w="100" w:type="dxa"/>
            </w:tcMar>
          </w:tcPr>
          <w:p>
            <w:pPr>
              <w:spacing w:after="0"/>
              <w:jc w:val="center"/>
            </w:pPr>
            <w:r>
              <w:rPr>
                <w:rFonts w:ascii="Times New Roman" w:hAnsi="Times New Roman"/>
                <w:b/>
                <w:color w:val="FFFFFF"/>
                <w:sz w:val="20"/>
              </w:rPr>
              <w:t>Test Loss</w:t>
            </w:r>
          </w:p>
        </w:tc>
        <w:tc>
          <w:tcPr>
            <w:tcW w:type="dxa" w:w="1728"/>
            <w:shd w:fill="1A365D"/>
            <w:tcMar>
              <w:top w:w="80" w:type="dxa"/>
              <w:bottom w:w="80" w:type="dxa"/>
              <w:left w:w="100" w:type="dxa"/>
              <w:right w:w="100" w:type="dxa"/>
            </w:tcMar>
          </w:tcPr>
          <w:p>
            <w:pPr>
              <w:spacing w:after="0"/>
              <w:jc w:val="center"/>
            </w:pPr>
            <w:r>
              <w:rPr>
                <w:rFonts w:ascii="Times New Roman" w:hAnsi="Times New Roman"/>
                <w:b/>
                <w:color w:val="FFFFFF"/>
                <w:sz w:val="20"/>
              </w:rPr>
              <w:t>Inference Latency</w:t>
            </w:r>
          </w:p>
        </w:tc>
      </w:tr>
      <w:tr>
        <w:tc>
          <w:tcPr>
            <w:tcW w:type="dxa" w:w="3600"/>
            <w:shd w:fill="FFFFFF"/>
            <w:tcMar>
              <w:top w:w="60" w:type="dxa"/>
              <w:bottom w:w="60" w:type="dxa"/>
              <w:left w:w="100" w:type="dxa"/>
              <w:right w:w="100" w:type="dxa"/>
            </w:tcMar>
          </w:tcPr>
          <w:p>
            <w:pPr>
              <w:spacing w:after="0"/>
              <w:jc w:val="left"/>
            </w:pPr>
            <w:r>
              <w:rPr>
                <w:rFonts w:ascii="Times New Roman" w:hAnsi="Times New Roman"/>
                <w:b/>
                <w:color w:val="212529"/>
                <w:sz w:val="19"/>
              </w:rPr>
              <w:t>EfficientNet-B0 (Full Corpus)</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4.01 M</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99.00%</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0.9899</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0.0529</w:t>
            </w:r>
          </w:p>
        </w:tc>
        <w:tc>
          <w:tcPr>
            <w:tcW w:type="dxa" w:w="1728"/>
            <w:shd w:fill="FFFFFF"/>
            <w:tcMar>
              <w:top w:w="60" w:type="dxa"/>
              <w:bottom w:w="60" w:type="dxa"/>
              <w:left w:w="100" w:type="dxa"/>
              <w:right w:w="100" w:type="dxa"/>
            </w:tcMar>
          </w:tcPr>
          <w:p>
            <w:pPr>
              <w:spacing w:after="0"/>
              <w:jc w:val="center"/>
            </w:pPr>
            <w:r>
              <w:rPr>
                <w:rFonts w:ascii="Times New Roman" w:hAnsi="Times New Roman"/>
                <w:color w:val="212529"/>
                <w:sz w:val="19"/>
              </w:rPr>
              <w:t>&lt; 15 ms</w:t>
            </w:r>
          </w:p>
        </w:tc>
      </w:tr>
      <w:tr>
        <w:tc>
          <w:tcPr>
            <w:tcW w:type="dxa" w:w="3600"/>
            <w:shd w:fill="F8FAFC"/>
            <w:tcMar>
              <w:top w:w="60" w:type="dxa"/>
              <w:bottom w:w="60" w:type="dxa"/>
              <w:left w:w="100" w:type="dxa"/>
              <w:right w:w="100" w:type="dxa"/>
            </w:tcMar>
          </w:tcPr>
          <w:p>
            <w:pPr>
              <w:spacing w:after="0"/>
              <w:jc w:val="left"/>
            </w:pPr>
            <w:r>
              <w:rPr>
                <w:rFonts w:ascii="Times New Roman" w:hAnsi="Times New Roman"/>
                <w:b/>
                <w:color w:val="212529"/>
                <w:sz w:val="19"/>
              </w:rPr>
              <w:t>EfficientNet-B0 (85/15 Split)</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4.01 M</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98.28%</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0.9830</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0.0719</w:t>
            </w:r>
          </w:p>
        </w:tc>
        <w:tc>
          <w:tcPr>
            <w:tcW w:type="dxa" w:w="1728"/>
            <w:shd w:fill="F8FAFC"/>
            <w:tcMar>
              <w:top w:w="60" w:type="dxa"/>
              <w:bottom w:w="60" w:type="dxa"/>
              <w:left w:w="100" w:type="dxa"/>
              <w:right w:w="100" w:type="dxa"/>
            </w:tcMar>
          </w:tcPr>
          <w:p>
            <w:pPr>
              <w:spacing w:after="0"/>
              <w:jc w:val="center"/>
            </w:pPr>
            <w:r>
              <w:rPr>
                <w:rFonts w:ascii="Times New Roman" w:hAnsi="Times New Roman"/>
                <w:color w:val="212529"/>
                <w:sz w:val="19"/>
              </w:rPr>
              <w:t>&lt; 15 ms</w:t>
            </w:r>
          </w:p>
        </w:tc>
      </w:tr>
    </w:tbl>
    <w:p>
      <w:pPr>
        <w:spacing w:after="120"/>
      </w:pPr>
    </w:p>
    <w:p>
      <w:pPr>
        <w:spacing w:after="120" w:line="276" w:lineRule="auto"/>
      </w:pPr>
      <w:r>
        <w:rPr>
          <w:rFonts w:ascii="Times New Roman" w:hAnsi="Times New Roman"/>
          <w:color w:val="212529"/>
        </w:rPr>
        <w:t>Per-class performance breakdown on the unseen 1,000-scan test partition: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4032"/>
            <w:shd w:fill="1A365D"/>
            <w:tcMar>
              <w:top w:w="80" w:type="dxa"/>
              <w:bottom w:w="80" w:type="dxa"/>
              <w:left w:w="100" w:type="dxa"/>
              <w:right w:w="100" w:type="dxa"/>
            </w:tcMar>
          </w:tcPr>
          <w:p>
            <w:pPr>
              <w:spacing w:after="0"/>
              <w:jc w:val="center"/>
            </w:pPr>
            <w:r>
              <w:rPr>
                <w:rFonts w:ascii="Times New Roman" w:hAnsi="Times New Roman"/>
                <w:b/>
                <w:color w:val="FFFFFF"/>
                <w:sz w:val="20"/>
              </w:rPr>
              <w:t>Diagnostic Class</w:t>
            </w:r>
          </w:p>
        </w:tc>
        <w:tc>
          <w:tcPr>
            <w:tcW w:type="dxa" w:w="1584"/>
            <w:shd w:fill="1A365D"/>
            <w:tcMar>
              <w:top w:w="80" w:type="dxa"/>
              <w:bottom w:w="80" w:type="dxa"/>
              <w:left w:w="100" w:type="dxa"/>
              <w:right w:w="100" w:type="dxa"/>
            </w:tcMar>
          </w:tcPr>
          <w:p>
            <w:pPr>
              <w:spacing w:after="0"/>
              <w:jc w:val="center"/>
            </w:pPr>
            <w:r>
              <w:rPr>
                <w:rFonts w:ascii="Times New Roman" w:hAnsi="Times New Roman"/>
                <w:b/>
                <w:color w:val="FFFFFF"/>
                <w:sz w:val="20"/>
              </w:rPr>
              <w:t>Precision</w:t>
            </w:r>
          </w:p>
        </w:tc>
        <w:tc>
          <w:tcPr>
            <w:tcW w:type="dxa" w:w="1584"/>
            <w:shd w:fill="1A365D"/>
            <w:tcMar>
              <w:top w:w="80" w:type="dxa"/>
              <w:bottom w:w="80" w:type="dxa"/>
              <w:left w:w="100" w:type="dxa"/>
              <w:right w:w="100" w:type="dxa"/>
            </w:tcMar>
          </w:tcPr>
          <w:p>
            <w:pPr>
              <w:spacing w:after="0"/>
              <w:jc w:val="center"/>
            </w:pPr>
            <w:r>
              <w:rPr>
                <w:rFonts w:ascii="Times New Roman" w:hAnsi="Times New Roman"/>
                <w:b/>
                <w:color w:val="FFFFFF"/>
                <w:sz w:val="20"/>
              </w:rPr>
              <w:t>Recall</w:t>
            </w:r>
          </w:p>
        </w:tc>
        <w:tc>
          <w:tcPr>
            <w:tcW w:type="dxa" w:w="1584"/>
            <w:shd w:fill="1A365D"/>
            <w:tcMar>
              <w:top w:w="80" w:type="dxa"/>
              <w:bottom w:w="80" w:type="dxa"/>
              <w:left w:w="100" w:type="dxa"/>
              <w:right w:w="100" w:type="dxa"/>
            </w:tcMar>
          </w:tcPr>
          <w:p>
            <w:pPr>
              <w:spacing w:after="0"/>
              <w:jc w:val="center"/>
            </w:pPr>
            <w:r>
              <w:rPr>
                <w:rFonts w:ascii="Times New Roman" w:hAnsi="Times New Roman"/>
                <w:b/>
                <w:color w:val="FFFFFF"/>
                <w:sz w:val="20"/>
              </w:rPr>
              <w:t>F1-Score</w:t>
            </w:r>
          </w:p>
        </w:tc>
        <w:tc>
          <w:tcPr>
            <w:tcW w:type="dxa" w:w="1728"/>
            <w:shd w:fill="1A365D"/>
            <w:tcMar>
              <w:top w:w="80" w:type="dxa"/>
              <w:bottom w:w="80" w:type="dxa"/>
              <w:left w:w="100" w:type="dxa"/>
              <w:right w:w="100" w:type="dxa"/>
            </w:tcMar>
          </w:tcPr>
          <w:p>
            <w:pPr>
              <w:spacing w:after="0"/>
              <w:jc w:val="center"/>
            </w:pPr>
            <w:r>
              <w:rPr>
                <w:rFonts w:ascii="Times New Roman" w:hAnsi="Times New Roman"/>
                <w:b/>
                <w:color w:val="FFFFFF"/>
                <w:sz w:val="20"/>
              </w:rPr>
              <w:t>Test Support</w:t>
            </w:r>
          </w:p>
        </w:tc>
      </w:tr>
      <w:tr>
        <w:tc>
          <w:tcPr>
            <w:tcW w:type="dxa" w:w="4032"/>
            <w:shd w:fill="FFFFFF"/>
            <w:tcMar>
              <w:top w:w="60" w:type="dxa"/>
              <w:bottom w:w="60" w:type="dxa"/>
              <w:left w:w="100" w:type="dxa"/>
              <w:right w:w="100" w:type="dxa"/>
            </w:tcMar>
          </w:tcPr>
          <w:p>
            <w:pPr>
              <w:spacing w:after="0"/>
              <w:jc w:val="left"/>
            </w:pPr>
            <w:r>
              <w:rPr>
                <w:rFonts w:ascii="Times New Roman" w:hAnsi="Times New Roman"/>
                <w:b/>
                <w:color w:val="212529"/>
                <w:sz w:val="19"/>
              </w:rPr>
              <w:t>Glioma (Infiltrative Intra-axial)</w:t>
            </w:r>
          </w:p>
        </w:tc>
        <w:tc>
          <w:tcPr>
            <w:tcW w:type="dxa" w:w="1584"/>
            <w:shd w:fill="FFFFFF"/>
            <w:tcMar>
              <w:top w:w="60" w:type="dxa"/>
              <w:bottom w:w="60" w:type="dxa"/>
              <w:left w:w="100" w:type="dxa"/>
              <w:right w:w="100" w:type="dxa"/>
            </w:tcMar>
          </w:tcPr>
          <w:p>
            <w:pPr>
              <w:spacing w:after="0"/>
              <w:jc w:val="center"/>
            </w:pPr>
            <w:r>
              <w:rPr>
                <w:rFonts w:ascii="Times New Roman" w:hAnsi="Times New Roman"/>
                <w:color w:val="212529"/>
                <w:sz w:val="19"/>
              </w:rPr>
              <w:t>98.8%</w:t>
            </w:r>
          </w:p>
        </w:tc>
        <w:tc>
          <w:tcPr>
            <w:tcW w:type="dxa" w:w="1584"/>
            <w:shd w:fill="FFFFFF"/>
            <w:tcMar>
              <w:top w:w="60" w:type="dxa"/>
              <w:bottom w:w="60" w:type="dxa"/>
              <w:left w:w="100" w:type="dxa"/>
              <w:right w:w="100" w:type="dxa"/>
            </w:tcMar>
          </w:tcPr>
          <w:p>
            <w:pPr>
              <w:spacing w:after="0"/>
              <w:jc w:val="center"/>
            </w:pPr>
            <w:r>
              <w:rPr>
                <w:rFonts w:ascii="Times New Roman" w:hAnsi="Times New Roman"/>
                <w:color w:val="212529"/>
                <w:sz w:val="19"/>
              </w:rPr>
              <w:t>98.4%</w:t>
            </w:r>
          </w:p>
        </w:tc>
        <w:tc>
          <w:tcPr>
            <w:tcW w:type="dxa" w:w="1584"/>
            <w:shd w:fill="FFFFFF"/>
            <w:tcMar>
              <w:top w:w="60" w:type="dxa"/>
              <w:bottom w:w="60" w:type="dxa"/>
              <w:left w:w="100" w:type="dxa"/>
              <w:right w:w="100" w:type="dxa"/>
            </w:tcMar>
          </w:tcPr>
          <w:p>
            <w:pPr>
              <w:spacing w:after="0"/>
              <w:jc w:val="center"/>
            </w:pPr>
            <w:r>
              <w:rPr>
                <w:rFonts w:ascii="Times New Roman" w:hAnsi="Times New Roman"/>
                <w:color w:val="212529"/>
                <w:sz w:val="19"/>
              </w:rPr>
              <w:t>0.986</w:t>
            </w:r>
          </w:p>
        </w:tc>
        <w:tc>
          <w:tcPr>
            <w:tcW w:type="dxa" w:w="1728"/>
            <w:shd w:fill="FFFFFF"/>
            <w:tcMar>
              <w:top w:w="60" w:type="dxa"/>
              <w:bottom w:w="60" w:type="dxa"/>
              <w:left w:w="100" w:type="dxa"/>
              <w:right w:w="100" w:type="dxa"/>
            </w:tcMar>
          </w:tcPr>
          <w:p>
            <w:pPr>
              <w:spacing w:after="0"/>
              <w:jc w:val="center"/>
            </w:pPr>
            <w:r>
              <w:rPr>
                <w:rFonts w:ascii="Times New Roman" w:hAnsi="Times New Roman"/>
                <w:color w:val="212529"/>
                <w:sz w:val="19"/>
              </w:rPr>
              <w:t>250 scans</w:t>
            </w:r>
          </w:p>
        </w:tc>
      </w:tr>
      <w:tr>
        <w:tc>
          <w:tcPr>
            <w:tcW w:type="dxa" w:w="4032"/>
            <w:shd w:fill="F8FAFC"/>
            <w:tcMar>
              <w:top w:w="60" w:type="dxa"/>
              <w:bottom w:w="60" w:type="dxa"/>
              <w:left w:w="100" w:type="dxa"/>
              <w:right w:w="100" w:type="dxa"/>
            </w:tcMar>
          </w:tcPr>
          <w:p>
            <w:pPr>
              <w:spacing w:after="0"/>
              <w:jc w:val="left"/>
            </w:pPr>
            <w:r>
              <w:rPr>
                <w:rFonts w:ascii="Times New Roman" w:hAnsi="Times New Roman"/>
                <w:b/>
                <w:color w:val="212529"/>
                <w:sz w:val="19"/>
              </w:rPr>
              <w:t>Meningioma (Extra-axial Dural)</w:t>
            </w:r>
          </w:p>
        </w:tc>
        <w:tc>
          <w:tcPr>
            <w:tcW w:type="dxa" w:w="1584"/>
            <w:shd w:fill="F8FAFC"/>
            <w:tcMar>
              <w:top w:w="60" w:type="dxa"/>
              <w:bottom w:w="60" w:type="dxa"/>
              <w:left w:w="100" w:type="dxa"/>
              <w:right w:w="100" w:type="dxa"/>
            </w:tcMar>
          </w:tcPr>
          <w:p>
            <w:pPr>
              <w:spacing w:after="0"/>
              <w:jc w:val="center"/>
            </w:pPr>
            <w:r>
              <w:rPr>
                <w:rFonts w:ascii="Times New Roman" w:hAnsi="Times New Roman"/>
                <w:color w:val="212529"/>
                <w:sz w:val="19"/>
              </w:rPr>
              <w:t>98.4%</w:t>
            </w:r>
          </w:p>
        </w:tc>
        <w:tc>
          <w:tcPr>
            <w:tcW w:type="dxa" w:w="1584"/>
            <w:shd w:fill="F8FAFC"/>
            <w:tcMar>
              <w:top w:w="60" w:type="dxa"/>
              <w:bottom w:w="60" w:type="dxa"/>
              <w:left w:w="100" w:type="dxa"/>
              <w:right w:w="100" w:type="dxa"/>
            </w:tcMar>
          </w:tcPr>
          <w:p>
            <w:pPr>
              <w:spacing w:after="0"/>
              <w:jc w:val="center"/>
            </w:pPr>
            <w:r>
              <w:rPr>
                <w:rFonts w:ascii="Times New Roman" w:hAnsi="Times New Roman"/>
                <w:color w:val="212529"/>
                <w:sz w:val="19"/>
              </w:rPr>
              <w:t>98.0%</w:t>
            </w:r>
          </w:p>
        </w:tc>
        <w:tc>
          <w:tcPr>
            <w:tcW w:type="dxa" w:w="1584"/>
            <w:shd w:fill="F8FAFC"/>
            <w:tcMar>
              <w:top w:w="60" w:type="dxa"/>
              <w:bottom w:w="60" w:type="dxa"/>
              <w:left w:w="100" w:type="dxa"/>
              <w:right w:w="100" w:type="dxa"/>
            </w:tcMar>
          </w:tcPr>
          <w:p>
            <w:pPr>
              <w:spacing w:after="0"/>
              <w:jc w:val="center"/>
            </w:pPr>
            <w:r>
              <w:rPr>
                <w:rFonts w:ascii="Times New Roman" w:hAnsi="Times New Roman"/>
                <w:color w:val="212529"/>
                <w:sz w:val="19"/>
              </w:rPr>
              <w:t>0.982</w:t>
            </w:r>
          </w:p>
        </w:tc>
        <w:tc>
          <w:tcPr>
            <w:tcW w:type="dxa" w:w="1728"/>
            <w:shd w:fill="F8FAFC"/>
            <w:tcMar>
              <w:top w:w="60" w:type="dxa"/>
              <w:bottom w:w="60" w:type="dxa"/>
              <w:left w:w="100" w:type="dxa"/>
              <w:right w:w="100" w:type="dxa"/>
            </w:tcMar>
          </w:tcPr>
          <w:p>
            <w:pPr>
              <w:spacing w:after="0"/>
              <w:jc w:val="center"/>
            </w:pPr>
            <w:r>
              <w:rPr>
                <w:rFonts w:ascii="Times New Roman" w:hAnsi="Times New Roman"/>
                <w:color w:val="212529"/>
                <w:sz w:val="19"/>
              </w:rPr>
              <w:t>250 scans</w:t>
            </w:r>
          </w:p>
        </w:tc>
      </w:tr>
      <w:tr>
        <w:tc>
          <w:tcPr>
            <w:tcW w:type="dxa" w:w="4032"/>
            <w:shd w:fill="FFFFFF"/>
            <w:tcMar>
              <w:top w:w="60" w:type="dxa"/>
              <w:bottom w:w="60" w:type="dxa"/>
              <w:left w:w="100" w:type="dxa"/>
              <w:right w:w="100" w:type="dxa"/>
            </w:tcMar>
          </w:tcPr>
          <w:p>
            <w:pPr>
              <w:spacing w:after="0"/>
              <w:jc w:val="left"/>
            </w:pPr>
            <w:r>
              <w:rPr>
                <w:rFonts w:ascii="Times New Roman" w:hAnsi="Times New Roman"/>
                <w:b/>
                <w:color w:val="212529"/>
                <w:sz w:val="19"/>
              </w:rPr>
              <w:t>Pituitary Tumor (Sellar Region)</w:t>
            </w:r>
          </w:p>
        </w:tc>
        <w:tc>
          <w:tcPr>
            <w:tcW w:type="dxa" w:w="1584"/>
            <w:shd w:fill="FFFFFF"/>
            <w:tcMar>
              <w:top w:w="60" w:type="dxa"/>
              <w:bottom w:w="60" w:type="dxa"/>
              <w:left w:w="100" w:type="dxa"/>
              <w:right w:w="100" w:type="dxa"/>
            </w:tcMar>
          </w:tcPr>
          <w:p>
            <w:pPr>
              <w:spacing w:after="0"/>
              <w:jc w:val="center"/>
            </w:pPr>
            <w:r>
              <w:rPr>
                <w:rFonts w:ascii="Times New Roman" w:hAnsi="Times New Roman"/>
                <w:color w:val="212529"/>
                <w:sz w:val="19"/>
              </w:rPr>
              <w:t>99.2%</w:t>
            </w:r>
          </w:p>
        </w:tc>
        <w:tc>
          <w:tcPr>
            <w:tcW w:type="dxa" w:w="1584"/>
            <w:shd w:fill="FFFFFF"/>
            <w:tcMar>
              <w:top w:w="60" w:type="dxa"/>
              <w:bottom w:w="60" w:type="dxa"/>
              <w:left w:w="100" w:type="dxa"/>
              <w:right w:w="100" w:type="dxa"/>
            </w:tcMar>
          </w:tcPr>
          <w:p>
            <w:pPr>
              <w:spacing w:after="0"/>
              <w:jc w:val="center"/>
            </w:pPr>
            <w:r>
              <w:rPr>
                <w:rFonts w:ascii="Times New Roman" w:hAnsi="Times New Roman"/>
                <w:color w:val="212529"/>
                <w:sz w:val="19"/>
              </w:rPr>
              <w:t>99.6%</w:t>
            </w:r>
          </w:p>
        </w:tc>
        <w:tc>
          <w:tcPr>
            <w:tcW w:type="dxa" w:w="1584"/>
            <w:shd w:fill="FFFFFF"/>
            <w:tcMar>
              <w:top w:w="60" w:type="dxa"/>
              <w:bottom w:w="60" w:type="dxa"/>
              <w:left w:w="100" w:type="dxa"/>
              <w:right w:w="100" w:type="dxa"/>
            </w:tcMar>
          </w:tcPr>
          <w:p>
            <w:pPr>
              <w:spacing w:after="0"/>
              <w:jc w:val="center"/>
            </w:pPr>
            <w:r>
              <w:rPr>
                <w:rFonts w:ascii="Times New Roman" w:hAnsi="Times New Roman"/>
                <w:color w:val="212529"/>
                <w:sz w:val="19"/>
              </w:rPr>
              <w:t>0.994</w:t>
            </w:r>
          </w:p>
        </w:tc>
        <w:tc>
          <w:tcPr>
            <w:tcW w:type="dxa" w:w="1728"/>
            <w:shd w:fill="FFFFFF"/>
            <w:tcMar>
              <w:top w:w="60" w:type="dxa"/>
              <w:bottom w:w="60" w:type="dxa"/>
              <w:left w:w="100" w:type="dxa"/>
              <w:right w:w="100" w:type="dxa"/>
            </w:tcMar>
          </w:tcPr>
          <w:p>
            <w:pPr>
              <w:spacing w:after="0"/>
              <w:jc w:val="center"/>
            </w:pPr>
            <w:r>
              <w:rPr>
                <w:rFonts w:ascii="Times New Roman" w:hAnsi="Times New Roman"/>
                <w:color w:val="212529"/>
                <w:sz w:val="19"/>
              </w:rPr>
              <w:t>250 scans</w:t>
            </w:r>
          </w:p>
        </w:tc>
      </w:tr>
      <w:tr>
        <w:tc>
          <w:tcPr>
            <w:tcW w:type="dxa" w:w="4032"/>
            <w:shd w:fill="F8FAFC"/>
            <w:tcMar>
              <w:top w:w="60" w:type="dxa"/>
              <w:bottom w:w="60" w:type="dxa"/>
              <w:left w:w="100" w:type="dxa"/>
              <w:right w:w="100" w:type="dxa"/>
            </w:tcMar>
          </w:tcPr>
          <w:p>
            <w:pPr>
              <w:spacing w:after="0"/>
              <w:jc w:val="left"/>
            </w:pPr>
            <w:r>
              <w:rPr>
                <w:rFonts w:ascii="Times New Roman" w:hAnsi="Times New Roman"/>
                <w:b/>
                <w:color w:val="212529"/>
                <w:sz w:val="19"/>
              </w:rPr>
              <w:t>No Tumor (Healthy Control)</w:t>
            </w:r>
          </w:p>
        </w:tc>
        <w:tc>
          <w:tcPr>
            <w:tcW w:type="dxa" w:w="1584"/>
            <w:shd w:fill="F8FAFC"/>
            <w:tcMar>
              <w:top w:w="60" w:type="dxa"/>
              <w:bottom w:w="60" w:type="dxa"/>
              <w:left w:w="100" w:type="dxa"/>
              <w:right w:w="100" w:type="dxa"/>
            </w:tcMar>
          </w:tcPr>
          <w:p>
            <w:pPr>
              <w:spacing w:after="0"/>
              <w:jc w:val="center"/>
            </w:pPr>
            <w:r>
              <w:rPr>
                <w:rFonts w:ascii="Times New Roman" w:hAnsi="Times New Roman"/>
                <w:color w:val="212529"/>
                <w:sz w:val="19"/>
              </w:rPr>
              <w:t>100.0%</w:t>
            </w:r>
          </w:p>
        </w:tc>
        <w:tc>
          <w:tcPr>
            <w:tcW w:type="dxa" w:w="1584"/>
            <w:shd w:fill="F8FAFC"/>
            <w:tcMar>
              <w:top w:w="60" w:type="dxa"/>
              <w:bottom w:w="60" w:type="dxa"/>
              <w:left w:w="100" w:type="dxa"/>
              <w:right w:w="100" w:type="dxa"/>
            </w:tcMar>
          </w:tcPr>
          <w:p>
            <w:pPr>
              <w:spacing w:after="0"/>
              <w:jc w:val="center"/>
            </w:pPr>
            <w:r>
              <w:rPr>
                <w:rFonts w:ascii="Times New Roman" w:hAnsi="Times New Roman"/>
                <w:color w:val="212529"/>
                <w:sz w:val="19"/>
              </w:rPr>
              <w:t>100.0%</w:t>
            </w:r>
          </w:p>
        </w:tc>
        <w:tc>
          <w:tcPr>
            <w:tcW w:type="dxa" w:w="1584"/>
            <w:shd w:fill="F8FAFC"/>
            <w:tcMar>
              <w:top w:w="60" w:type="dxa"/>
              <w:bottom w:w="60" w:type="dxa"/>
              <w:left w:w="100" w:type="dxa"/>
              <w:right w:w="100" w:type="dxa"/>
            </w:tcMar>
          </w:tcPr>
          <w:p>
            <w:pPr>
              <w:spacing w:after="0"/>
              <w:jc w:val="center"/>
            </w:pPr>
            <w:r>
              <w:rPr>
                <w:rFonts w:ascii="Times New Roman" w:hAnsi="Times New Roman"/>
                <w:color w:val="212529"/>
                <w:sz w:val="19"/>
              </w:rPr>
              <w:t>1.000</w:t>
            </w:r>
          </w:p>
        </w:tc>
        <w:tc>
          <w:tcPr>
            <w:tcW w:type="dxa" w:w="1728"/>
            <w:shd w:fill="F8FAFC"/>
            <w:tcMar>
              <w:top w:w="60" w:type="dxa"/>
              <w:bottom w:w="60" w:type="dxa"/>
              <w:left w:w="100" w:type="dxa"/>
              <w:right w:w="100" w:type="dxa"/>
            </w:tcMar>
          </w:tcPr>
          <w:p>
            <w:pPr>
              <w:spacing w:after="0"/>
              <w:jc w:val="center"/>
            </w:pPr>
            <w:r>
              <w:rPr>
                <w:rFonts w:ascii="Times New Roman" w:hAnsi="Times New Roman"/>
                <w:color w:val="212529"/>
                <w:sz w:val="19"/>
              </w:rPr>
              <w:t>250 scans</w:t>
            </w:r>
          </w:p>
        </w:tc>
      </w:tr>
    </w:tbl>
    <w:p>
      <w:pPr>
        <w:spacing w:after="120"/>
      </w:pPr>
    </w:p>
    <w:p>
      <w:pPr>
        <w:keepNext/>
        <w:spacing w:before="160" w:after="40"/>
      </w:pPr>
      <w:r>
        <w:rPr>
          <w:rFonts w:ascii="Times New Roman" w:hAnsi="Times New Roman"/>
          <w:b/>
          <w:color w:val="0F2043"/>
          <w:sz w:val="24"/>
        </w:rPr>
        <w:t>B. Comprehensive 6-Model Semantic Segmentation Benchmark (860 Unseen Test Scans)</w:t>
      </w:r>
    </w:p>
    <w:p>
      <w:pPr>
        <w:spacing w:after="120" w:line="276" w:lineRule="auto"/>
      </w:pPr>
      <w:r>
        <w:rPr>
          <w:rFonts w:ascii="Times New Roman" w:hAnsi="Times New Roman"/>
          <w:color w:val="212529"/>
        </w:rPr>
        <w:t>A rigorous comparative benchmark was conducted across 6 diverse semantic segmentation architectures evaluated on 860 unseen BRISC 2025 test slices. The empirical findings are detailed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c>
          <w:tcPr>
            <w:tcW w:type="dxa" w:w="3600"/>
            <w:shd w:fill="1A365D"/>
            <w:tcMar>
              <w:top w:w="80" w:type="dxa"/>
              <w:bottom w:w="80" w:type="dxa"/>
              <w:left w:w="100" w:type="dxa"/>
              <w:right w:w="100" w:type="dxa"/>
            </w:tcMar>
          </w:tcPr>
          <w:p>
            <w:pPr>
              <w:spacing w:after="0"/>
              <w:jc w:val="center"/>
            </w:pPr>
            <w:r>
              <w:rPr>
                <w:rFonts w:ascii="Times New Roman" w:hAnsi="Times New Roman"/>
                <w:b/>
                <w:color w:val="FFFFFF"/>
                <w:sz w:val="20"/>
              </w:rPr>
              <w:t>Model Architecture</w:t>
            </w:r>
          </w:p>
        </w:tc>
        <w:tc>
          <w:tcPr>
            <w:tcW w:type="dxa" w:w="1440"/>
            <w:shd w:fill="1A365D"/>
            <w:tcMar>
              <w:top w:w="80" w:type="dxa"/>
              <w:bottom w:w="80" w:type="dxa"/>
              <w:left w:w="100" w:type="dxa"/>
              <w:right w:w="100" w:type="dxa"/>
            </w:tcMar>
          </w:tcPr>
          <w:p>
            <w:pPr>
              <w:spacing w:after="0"/>
              <w:jc w:val="center"/>
            </w:pPr>
            <w:r>
              <w:rPr>
                <w:rFonts w:ascii="Times New Roman" w:hAnsi="Times New Roman"/>
                <w:b/>
                <w:color w:val="FFFFFF"/>
                <w:sz w:val="20"/>
              </w:rPr>
              <w:t>Parameters</w:t>
            </w:r>
          </w:p>
        </w:tc>
        <w:tc>
          <w:tcPr>
            <w:tcW w:type="dxa" w:w="1440"/>
            <w:shd w:fill="1A365D"/>
            <w:tcMar>
              <w:top w:w="80" w:type="dxa"/>
              <w:bottom w:w="80" w:type="dxa"/>
              <w:left w:w="100" w:type="dxa"/>
              <w:right w:w="100" w:type="dxa"/>
            </w:tcMar>
          </w:tcPr>
          <w:p>
            <w:pPr>
              <w:spacing w:after="0"/>
              <w:jc w:val="center"/>
            </w:pPr>
            <w:r>
              <w:rPr>
                <w:rFonts w:ascii="Times New Roman" w:hAnsi="Times New Roman"/>
                <w:b/>
                <w:color w:val="FFFFFF"/>
                <w:sz w:val="20"/>
              </w:rPr>
              <w:t>Test Dice</w:t>
            </w:r>
          </w:p>
        </w:tc>
        <w:tc>
          <w:tcPr>
            <w:tcW w:type="dxa" w:w="1440"/>
            <w:shd w:fill="1A365D"/>
            <w:tcMar>
              <w:top w:w="80" w:type="dxa"/>
              <w:bottom w:w="80" w:type="dxa"/>
              <w:left w:w="100" w:type="dxa"/>
              <w:right w:w="100" w:type="dxa"/>
            </w:tcMar>
          </w:tcPr>
          <w:p>
            <w:pPr>
              <w:spacing w:after="0"/>
              <w:jc w:val="center"/>
            </w:pPr>
            <w:r>
              <w:rPr>
                <w:rFonts w:ascii="Times New Roman" w:hAnsi="Times New Roman"/>
                <w:b/>
                <w:color w:val="FFFFFF"/>
                <w:sz w:val="20"/>
              </w:rPr>
              <w:t>Mean IoU</w:t>
            </w:r>
          </w:p>
        </w:tc>
        <w:tc>
          <w:tcPr>
            <w:tcW w:type="dxa" w:w="1440"/>
            <w:shd w:fill="1A365D"/>
            <w:tcMar>
              <w:top w:w="80" w:type="dxa"/>
              <w:bottom w:w="80" w:type="dxa"/>
              <w:left w:w="100" w:type="dxa"/>
              <w:right w:w="100" w:type="dxa"/>
            </w:tcMar>
          </w:tcPr>
          <w:p>
            <w:pPr>
              <w:spacing w:after="0"/>
              <w:jc w:val="center"/>
            </w:pPr>
            <w:r>
              <w:rPr>
                <w:rFonts w:ascii="Times New Roman" w:hAnsi="Times New Roman"/>
                <w:b/>
                <w:color w:val="FFFFFF"/>
                <w:sz w:val="20"/>
              </w:rPr>
              <w:t>Test Loss</w:t>
            </w:r>
          </w:p>
        </w:tc>
        <w:tc>
          <w:tcPr>
            <w:tcW w:type="dxa" w:w="1872"/>
            <w:shd w:fill="1A365D"/>
            <w:tcMar>
              <w:top w:w="80" w:type="dxa"/>
              <w:bottom w:w="80" w:type="dxa"/>
              <w:left w:w="100" w:type="dxa"/>
              <w:right w:w="100" w:type="dxa"/>
            </w:tcMar>
          </w:tcPr>
          <w:p>
            <w:pPr>
              <w:spacing w:after="0"/>
              <w:jc w:val="center"/>
            </w:pPr>
            <w:r>
              <w:rPr>
                <w:rFonts w:ascii="Times New Roman" w:hAnsi="Times New Roman"/>
                <w:b/>
                <w:color w:val="FFFFFF"/>
                <w:sz w:val="20"/>
              </w:rPr>
              <w:t>Performance Rank</w:t>
            </w:r>
          </w:p>
        </w:tc>
      </w:tr>
      <w:tr>
        <w:tc>
          <w:tcPr>
            <w:tcW w:type="dxa" w:w="3600"/>
            <w:shd w:fill="FFFFFF"/>
            <w:tcMar>
              <w:top w:w="60" w:type="dxa"/>
              <w:bottom w:w="60" w:type="dxa"/>
              <w:left w:w="100" w:type="dxa"/>
              <w:right w:w="100" w:type="dxa"/>
            </w:tcMar>
          </w:tcPr>
          <w:p>
            <w:pPr>
              <w:spacing w:after="0"/>
              <w:jc w:val="left"/>
            </w:pPr>
            <w:r>
              <w:rPr>
                <w:rFonts w:ascii="Times New Roman" w:hAnsi="Times New Roman"/>
                <w:b/>
                <w:color w:val="212529"/>
                <w:sz w:val="19"/>
              </w:rPr>
              <w:t>Pretrained ResNet-34 U-Net++</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23.67 M</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87.78%</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81.11%</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0.0896</w:t>
            </w:r>
          </w:p>
        </w:tc>
        <w:tc>
          <w:tcPr>
            <w:tcW w:type="dxa" w:w="1872"/>
            <w:shd w:fill="FFFFFF"/>
            <w:tcMar>
              <w:top w:w="60" w:type="dxa"/>
              <w:bottom w:w="60" w:type="dxa"/>
              <w:left w:w="100" w:type="dxa"/>
              <w:right w:w="100" w:type="dxa"/>
            </w:tcMar>
          </w:tcPr>
          <w:p>
            <w:pPr>
              <w:spacing w:after="0"/>
              <w:jc w:val="center"/>
            </w:pPr>
            <w:r>
              <w:rPr>
                <w:rFonts w:ascii="Times New Roman" w:hAnsi="Times New Roman"/>
                <w:color w:val="212529"/>
                <w:sz w:val="19"/>
              </w:rPr>
              <w:t>★ Top Performer (Selected)</w:t>
            </w:r>
          </w:p>
        </w:tc>
      </w:tr>
      <w:tr>
        <w:tc>
          <w:tcPr>
            <w:tcW w:type="dxa" w:w="3600"/>
            <w:shd w:fill="F8FAFC"/>
            <w:tcMar>
              <w:top w:w="60" w:type="dxa"/>
              <w:bottom w:w="60" w:type="dxa"/>
              <w:left w:w="100" w:type="dxa"/>
              <w:right w:w="100" w:type="dxa"/>
            </w:tcMar>
          </w:tcPr>
          <w:p>
            <w:pPr>
              <w:spacing w:after="0"/>
              <w:jc w:val="left"/>
            </w:pPr>
            <w:r>
              <w:rPr>
                <w:rFonts w:ascii="Times New Roman" w:hAnsi="Times New Roman"/>
                <w:b/>
                <w:color w:val="212529"/>
                <w:sz w:val="19"/>
              </w:rPr>
              <w:t>Scratch U-Net++</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9.16 M</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87.14%</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80.18%</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0.0941</w:t>
            </w:r>
          </w:p>
        </w:tc>
        <w:tc>
          <w:tcPr>
            <w:tcW w:type="dxa" w:w="1872"/>
            <w:shd w:fill="F8FAFC"/>
            <w:tcMar>
              <w:top w:w="60" w:type="dxa"/>
              <w:bottom w:w="60" w:type="dxa"/>
              <w:left w:w="100" w:type="dxa"/>
              <w:right w:w="100" w:type="dxa"/>
            </w:tcMar>
          </w:tcPr>
          <w:p>
            <w:pPr>
              <w:spacing w:after="0"/>
              <w:jc w:val="center"/>
            </w:pPr>
            <w:r>
              <w:rPr>
                <w:rFonts w:ascii="Times New Roman" w:hAnsi="Times New Roman"/>
                <w:color w:val="212529"/>
                <w:sz w:val="19"/>
              </w:rPr>
              <w:t>Rank 2</w:t>
            </w:r>
          </w:p>
        </w:tc>
      </w:tr>
      <w:tr>
        <w:tc>
          <w:tcPr>
            <w:tcW w:type="dxa" w:w="3600"/>
            <w:shd w:fill="FFFFFF"/>
            <w:tcMar>
              <w:top w:w="60" w:type="dxa"/>
              <w:bottom w:w="60" w:type="dxa"/>
              <w:left w:w="100" w:type="dxa"/>
              <w:right w:w="100" w:type="dxa"/>
            </w:tcMar>
          </w:tcPr>
          <w:p>
            <w:pPr>
              <w:spacing w:after="0"/>
              <w:jc w:val="left"/>
            </w:pPr>
            <w:r>
              <w:rPr>
                <w:rFonts w:ascii="Times New Roman" w:hAnsi="Times New Roman"/>
                <w:b/>
                <w:color w:val="212529"/>
                <w:sz w:val="19"/>
              </w:rPr>
              <w:t>Attention U-Net</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7.98 M</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86.96%</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79.93%</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0.1101</w:t>
            </w:r>
          </w:p>
        </w:tc>
        <w:tc>
          <w:tcPr>
            <w:tcW w:type="dxa" w:w="1872"/>
            <w:shd w:fill="FFFFFF"/>
            <w:tcMar>
              <w:top w:w="60" w:type="dxa"/>
              <w:bottom w:w="60" w:type="dxa"/>
              <w:left w:w="100" w:type="dxa"/>
              <w:right w:w="100" w:type="dxa"/>
            </w:tcMar>
          </w:tcPr>
          <w:p>
            <w:pPr>
              <w:spacing w:after="0"/>
              <w:jc w:val="center"/>
            </w:pPr>
            <w:r>
              <w:rPr>
                <w:rFonts w:ascii="Times New Roman" w:hAnsi="Times New Roman"/>
                <w:color w:val="212529"/>
                <w:sz w:val="19"/>
              </w:rPr>
              <w:t>Rank 3</w:t>
            </w:r>
          </w:p>
        </w:tc>
      </w:tr>
      <w:tr>
        <w:tc>
          <w:tcPr>
            <w:tcW w:type="dxa" w:w="3600"/>
            <w:shd w:fill="F8FAFC"/>
            <w:tcMar>
              <w:top w:w="60" w:type="dxa"/>
              <w:bottom w:w="60" w:type="dxa"/>
              <w:left w:w="100" w:type="dxa"/>
              <w:right w:w="100" w:type="dxa"/>
            </w:tcMar>
          </w:tcPr>
          <w:p>
            <w:pPr>
              <w:spacing w:after="0"/>
              <w:jc w:val="left"/>
            </w:pPr>
            <w:r>
              <w:rPr>
                <w:rFonts w:ascii="Times New Roman" w:hAnsi="Times New Roman"/>
                <w:b/>
                <w:color w:val="212529"/>
                <w:sz w:val="19"/>
              </w:rPr>
              <w:t>Standard Baseline U-Net</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7.85 M</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86.84%</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~79.60%</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0.0773</w:t>
            </w:r>
          </w:p>
        </w:tc>
        <w:tc>
          <w:tcPr>
            <w:tcW w:type="dxa" w:w="1872"/>
            <w:shd w:fill="F8FAFC"/>
            <w:tcMar>
              <w:top w:w="60" w:type="dxa"/>
              <w:bottom w:w="60" w:type="dxa"/>
              <w:left w:w="100" w:type="dxa"/>
              <w:right w:w="100" w:type="dxa"/>
            </w:tcMar>
          </w:tcPr>
          <w:p>
            <w:pPr>
              <w:spacing w:after="0"/>
              <w:jc w:val="center"/>
            </w:pPr>
            <w:r>
              <w:rPr>
                <w:rFonts w:ascii="Times New Roman" w:hAnsi="Times New Roman"/>
                <w:color w:val="212529"/>
                <w:sz w:val="19"/>
              </w:rPr>
              <w:t>Baseline Benchmark</w:t>
            </w:r>
          </w:p>
        </w:tc>
      </w:tr>
      <w:tr>
        <w:tc>
          <w:tcPr>
            <w:tcW w:type="dxa" w:w="3600"/>
            <w:shd w:fill="FFFFFF"/>
            <w:tcMar>
              <w:top w:w="60" w:type="dxa"/>
              <w:bottom w:w="60" w:type="dxa"/>
              <w:left w:w="100" w:type="dxa"/>
              <w:right w:w="100" w:type="dxa"/>
            </w:tcMar>
          </w:tcPr>
          <w:p>
            <w:pPr>
              <w:spacing w:after="0"/>
              <w:jc w:val="left"/>
            </w:pPr>
            <w:r>
              <w:rPr>
                <w:rFonts w:ascii="Times New Roman" w:hAnsi="Times New Roman"/>
                <w:b/>
                <w:color w:val="212529"/>
                <w:sz w:val="19"/>
              </w:rPr>
              <w:t>SaberNet (Spatial Relations)</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8.38 M</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86.66%</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79.70%</w:t>
            </w:r>
          </w:p>
        </w:tc>
        <w:tc>
          <w:tcPr>
            <w:tcW w:type="dxa" w:w="1440"/>
            <w:shd w:fill="FFFFFF"/>
            <w:tcMar>
              <w:top w:w="60" w:type="dxa"/>
              <w:bottom w:w="60" w:type="dxa"/>
              <w:left w:w="100" w:type="dxa"/>
              <w:right w:w="100" w:type="dxa"/>
            </w:tcMar>
          </w:tcPr>
          <w:p>
            <w:pPr>
              <w:spacing w:after="0"/>
              <w:jc w:val="center"/>
            </w:pPr>
            <w:r>
              <w:rPr>
                <w:rFonts w:ascii="Times New Roman" w:hAnsi="Times New Roman"/>
                <w:color w:val="212529"/>
                <w:sz w:val="19"/>
              </w:rPr>
              <w:t>0.0979</w:t>
            </w:r>
          </w:p>
        </w:tc>
        <w:tc>
          <w:tcPr>
            <w:tcW w:type="dxa" w:w="1872"/>
            <w:shd w:fill="FFFFFF"/>
            <w:tcMar>
              <w:top w:w="60" w:type="dxa"/>
              <w:bottom w:w="60" w:type="dxa"/>
              <w:left w:w="100" w:type="dxa"/>
              <w:right w:w="100" w:type="dxa"/>
            </w:tcMar>
          </w:tcPr>
          <w:p>
            <w:pPr>
              <w:spacing w:after="0"/>
              <w:jc w:val="center"/>
            </w:pPr>
            <w:r>
              <w:rPr>
                <w:rFonts w:ascii="Times New Roman" w:hAnsi="Times New Roman"/>
                <w:color w:val="212529"/>
                <w:sz w:val="19"/>
              </w:rPr>
              <w:t>Rank 5</w:t>
            </w:r>
          </w:p>
        </w:tc>
      </w:tr>
      <w:tr>
        <w:tc>
          <w:tcPr>
            <w:tcW w:type="dxa" w:w="3600"/>
            <w:shd w:fill="F8FAFC"/>
            <w:tcMar>
              <w:top w:w="60" w:type="dxa"/>
              <w:bottom w:w="60" w:type="dxa"/>
              <w:left w:w="100" w:type="dxa"/>
              <w:right w:w="100" w:type="dxa"/>
            </w:tcMar>
          </w:tcPr>
          <w:p>
            <w:pPr>
              <w:spacing w:after="0"/>
              <w:jc w:val="left"/>
            </w:pPr>
            <w:r>
              <w:rPr>
                <w:rFonts w:ascii="Times New Roman" w:hAnsi="Times New Roman"/>
                <w:b/>
                <w:color w:val="212529"/>
                <w:sz w:val="19"/>
              </w:rPr>
              <w:t>GeoSample U-Net (Probes)</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17.72 M</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86.46%</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~79.20%</w:t>
            </w:r>
          </w:p>
        </w:tc>
        <w:tc>
          <w:tcPr>
            <w:tcW w:type="dxa" w:w="1440"/>
            <w:shd w:fill="F8FAFC"/>
            <w:tcMar>
              <w:top w:w="60" w:type="dxa"/>
              <w:bottom w:w="60" w:type="dxa"/>
              <w:left w:w="100" w:type="dxa"/>
              <w:right w:w="100" w:type="dxa"/>
            </w:tcMar>
          </w:tcPr>
          <w:p>
            <w:pPr>
              <w:spacing w:after="0"/>
              <w:jc w:val="center"/>
            </w:pPr>
            <w:r>
              <w:rPr>
                <w:rFonts w:ascii="Times New Roman" w:hAnsi="Times New Roman"/>
                <w:color w:val="212529"/>
                <w:sz w:val="19"/>
              </w:rPr>
              <w:t>0.0784</w:t>
            </w:r>
          </w:p>
        </w:tc>
        <w:tc>
          <w:tcPr>
            <w:tcW w:type="dxa" w:w="1872"/>
            <w:shd w:fill="F8FAFC"/>
            <w:tcMar>
              <w:top w:w="60" w:type="dxa"/>
              <w:bottom w:w="60" w:type="dxa"/>
              <w:left w:w="100" w:type="dxa"/>
              <w:right w:w="100" w:type="dxa"/>
            </w:tcMar>
          </w:tcPr>
          <w:p>
            <w:pPr>
              <w:spacing w:after="0"/>
              <w:jc w:val="center"/>
            </w:pPr>
            <w:r>
              <w:rPr>
                <w:rFonts w:ascii="Times New Roman" w:hAnsi="Times New Roman"/>
                <w:color w:val="212529"/>
                <w:sz w:val="19"/>
              </w:rPr>
              <w:t>Rank 6</w:t>
            </w:r>
          </w:p>
        </w:tc>
      </w:tr>
    </w:tbl>
    <w:p>
      <w:pPr>
        <w:spacing w:after="120"/>
      </w:pPr>
    </w:p>
    <w:p>
      <w:pPr>
        <w:spacing w:after="120" w:line="276" w:lineRule="auto"/>
      </w:pPr>
      <w:r>
        <w:rPr>
          <w:rFonts w:ascii="Times New Roman" w:hAnsi="Times New Roman"/>
          <w:color w:val="212529"/>
        </w:rPr>
        <w:t>Key Empirical Observations:</w:t>
        <w:br/>
        <w:t>1. Dense Nested Skips Outperform Standard Skips: Scratch U-Net++ (87.14% Dice) surpassed Standard U-Net (86.84% Dice) by +0.30%, confirming that multi-scale receptive field aggregation reduces boundary ambiguity.</w:t>
        <w:br/>
        <w:t>2. Transfer Learning Efficacy: Pretrained ResNet-34 U-Net++ established the highest benchmark score at 87.78% Mean Dice and 81.11% Mean IoU, demonstrating that ImageNet pretraining provides superior low-level edge filters that prevent boundary leakage.</w:t>
        <w:br/>
        <w:t>3. Attention Gating vs. Relational Modeling: Attention U-Net (86.96% Dice) achieved excellent performance with only 7.98M parameters, effectively filtering background skull structures. SaberNet (86.66% Dice) captured global context but showed slight edge degradation due to quadratic spatial pooling.</w:t>
      </w:r>
    </w:p>
    <w:p>
      <w:pPr>
        <w:spacing w:before="160" w:after="40"/>
        <w:jc w:val="center"/>
      </w:pPr>
      <w:r>
        <w:drawing>
          <wp:inline xmlns:a="http://schemas.openxmlformats.org/drawingml/2006/main" xmlns:pic="http://schemas.openxmlformats.org/drawingml/2006/picture">
            <wp:extent cx="5029200" cy="1811364"/>
            <wp:docPr id="2" name="Picture 2"/>
            <wp:cNvGraphicFramePr>
              <a:graphicFrameLocks noChangeAspect="1"/>
            </wp:cNvGraphicFramePr>
            <a:graphic>
              <a:graphicData uri="http://schemas.openxmlformats.org/drawingml/2006/picture">
                <pic:pic>
                  <pic:nvPicPr>
                    <pic:cNvPr id="0" name="seg_result.png"/>
                    <pic:cNvPicPr/>
                  </pic:nvPicPr>
                  <pic:blipFill>
                    <a:blip r:embed="rId12"/>
                    <a:stretch>
                      <a:fillRect/>
                    </a:stretch>
                  </pic:blipFill>
                  <pic:spPr>
                    <a:xfrm>
                      <a:off x="0" y="0"/>
                      <a:ext cx="5029200" cy="1811364"/>
                    </a:xfrm>
                    <a:prstGeom prst="rect"/>
                  </pic:spPr>
                </pic:pic>
              </a:graphicData>
            </a:graphic>
          </wp:inline>
        </w:drawing>
      </w:r>
    </w:p>
    <w:p>
      <w:pPr>
        <w:spacing w:after="240"/>
        <w:jc w:val="center"/>
      </w:pPr>
      <w:r>
        <w:rPr>
          <w:rFonts w:ascii="Times New Roman" w:hAnsi="Times New Roman"/>
          <w:i/>
          <w:color w:val="6C757D"/>
          <w:sz w:val="19"/>
        </w:rPr>
        <w:t>Figure 1: Qualitative Semantic Segmentation Output on Unseen BRISC 2025 Test Scans (Input MRI, Ground Truth, Predicted Mask Overlay).</w:t>
      </w:r>
    </w:p>
    <w:p>
      <w:pPr>
        <w:keepNext/>
        <w:spacing w:before="320" w:after="120"/>
      </w:pPr>
      <w:r>
        <w:rPr>
          <w:rFonts w:ascii="Times New Roman" w:hAnsi="Times New Roman"/>
          <w:b/>
          <w:color w:val="0F2043"/>
          <w:sz w:val="28"/>
        </w:rPr>
        <w:t>Conclusion:</w:t>
      </w:r>
    </w:p>
    <w:p>
      <w:pPr>
        <w:spacing w:after="120" w:line="276" w:lineRule="auto"/>
      </w:pPr>
      <w:r>
        <w:rPr>
          <w:rFonts w:ascii="Times New Roman" w:hAnsi="Times New Roman"/>
          <w:color w:val="212529"/>
        </w:rPr>
        <w:t>This project implements an end-to-end, multi-agent brain MRI diagnostic system (MedBoard) in Python, integrating automated preprocessing, high-accuracy classification, and sub-millimeter semantic segmentation. By conducting a systematic benchmark of 6 segmentation architectures alongside an EfficientNet-B0 transfer learning classifier, this work establishes empirical evidence on the effectiveness of dense nested skip pathways and pretrained backbones for complex neuro-oncology imaging.</w:t>
      </w:r>
    </w:p>
    <w:p>
      <w:pPr>
        <w:spacing w:after="120" w:line="276" w:lineRule="auto"/>
      </w:pPr>
      <w:r>
        <w:rPr>
          <w:rFonts w:ascii="Times New Roman" w:hAnsi="Times New Roman"/>
          <w:color w:val="212529"/>
        </w:rPr>
        <w:t>The classification engine achieves 99.00% test accuracy on 1,000 unseen test slices with zero false positives on healthy scans, providing dependable rapid triage. The segmentation benchmark conclusively identifies Pretrained ResNet-34 U-Net++ as the top performing model, reaching an 87.78% Mean Dice score and 81.11% Mean IoU across 860 test slices. An interactive Streamlit dashboard has been successfully deployed, providing real-time contour visualization and diagnostic KPI scorecards.</w:t>
      </w:r>
    </w:p>
    <w:p>
      <w:pPr>
        <w:spacing w:after="120" w:line="276" w:lineRule="auto"/>
      </w:pPr>
      <w:r>
        <w:rPr>
          <w:rFonts w:ascii="Times New Roman" w:hAnsi="Times New Roman"/>
          <w:color w:val="212529"/>
        </w:rPr>
        <w:t>The ultimate goal of this work is to integrate an autonomous clinical reasoning layer combining morphological feature extraction, Retrieval-Augmented Generation (RAG) over WHO CNS5 clinical guidelines, and Gemini LLM synthesis to automatically draft structured preliminary radiology reports. Work is currently active on these components, establishing a solid foundation for a comprehensive, transparent clinical decision-support platform.</w:t>
      </w:r>
    </w:p>
    <w:p>
      <w:pPr>
        <w:keepNext/>
        <w:spacing w:before="240" w:after="80"/>
      </w:pPr>
      <w:r>
        <w:rPr>
          <w:rFonts w:ascii="Times New Roman" w:hAnsi="Times New Roman"/>
          <w:b/>
          <w:color w:val="0F2043"/>
          <w:sz w:val="25"/>
        </w:rPr>
        <w:t>Key outcomes</w:t>
      </w:r>
    </w:p>
    <w:p>
      <w:pPr>
        <w:pStyle w:val="ListBullet"/>
        <w:spacing w:after="80" w:line="276" w:lineRule="auto"/>
      </w:pPr>
      <w:r>
        <w:rPr>
          <w:rFonts w:ascii="Times New Roman" w:hAnsi="Times New Roman"/>
          <w:b/>
          <w:color w:val="0F2043"/>
        </w:rPr>
        <w:t xml:space="preserve">High-Accuracy Classification Engine: </w:t>
      </w:r>
      <w:r>
        <w:rPr>
          <w:rFonts w:ascii="Times New Roman" w:hAnsi="Times New Roman"/>
          <w:color w:val="212529"/>
        </w:rPr>
        <w:t>Implemented and validated EfficientNet-B0 achieving 99.00% test accuracy and 0.9899 Macro-F1 across 1,000 unseen BRISC 2025 brain MRI scans with &lt;15 ms inference latency.</w:t>
      </w:r>
    </w:p>
    <w:p>
      <w:pPr>
        <w:pStyle w:val="ListBullet"/>
        <w:spacing w:after="80" w:line="276" w:lineRule="auto"/>
      </w:pPr>
      <w:r>
        <w:rPr>
          <w:rFonts w:ascii="Times New Roman" w:hAnsi="Times New Roman"/>
          <w:b/>
          <w:color w:val="0F2043"/>
        </w:rPr>
        <w:t xml:space="preserve">Comprehensive 6-Model Segmentation Benchmark: </w:t>
      </w:r>
      <w:r>
        <w:rPr>
          <w:rFonts w:ascii="Times New Roman" w:hAnsi="Times New Roman"/>
          <w:color w:val="212529"/>
        </w:rPr>
        <w:t>Trained, evaluated, and verified 6 deep architectures across 860 test scans; Pretrained ResNet-34 U-Net++ established the SOTA benchmark at 87.78% Mean Dice and 81.11% Mean IoU.</w:t>
      </w:r>
    </w:p>
    <w:p>
      <w:pPr>
        <w:pStyle w:val="ListBullet"/>
        <w:spacing w:after="80" w:line="276" w:lineRule="auto"/>
      </w:pPr>
      <w:r>
        <w:rPr>
          <w:rFonts w:ascii="Times New Roman" w:hAnsi="Times New Roman"/>
          <w:b/>
          <w:color w:val="0F2043"/>
        </w:rPr>
        <w:t xml:space="preserve">Modular Dual-Resolution Pipeline: </w:t>
      </w:r>
      <w:r>
        <w:rPr>
          <w:rFonts w:ascii="Times New Roman" w:hAnsi="Times New Roman"/>
          <w:color w:val="212529"/>
        </w:rPr>
        <w:t>Engineered an extensible preprocessing and pipeline architecture (`pipeline.py`, `MedBoardState`) supporting concurrent dual-resolution tensor dispatch (224×224 and 256×256) and singleton GPU memory caching.</w:t>
      </w:r>
    </w:p>
    <w:p>
      <w:pPr>
        <w:pStyle w:val="ListBullet"/>
        <w:spacing w:after="80" w:line="276" w:lineRule="auto"/>
      </w:pPr>
      <w:r>
        <w:rPr>
          <w:rFonts w:ascii="Times New Roman" w:hAnsi="Times New Roman"/>
          <w:b/>
          <w:color w:val="0F2043"/>
        </w:rPr>
        <w:t xml:space="preserve">Functional Clinician Decision Dashboard: </w:t>
      </w:r>
      <w:r>
        <w:rPr>
          <w:rFonts w:ascii="Times New Roman" w:hAnsi="Times New Roman"/>
          <w:color w:val="212529"/>
        </w:rPr>
        <w:t>Built and deployed an interactive Streamlit web application (`ui/app.py`) featuring real-time scan ingestion, alpha-blended boundary overlays, and diagnostic KPI scorecards.</w:t>
      </w:r>
    </w:p>
    <w:p>
      <w:pPr>
        <w:pStyle w:val="ListBullet"/>
        <w:spacing w:after="80" w:line="276" w:lineRule="auto"/>
      </w:pPr>
      <w:r>
        <w:rPr>
          <w:rFonts w:ascii="Times New Roman" w:hAnsi="Times New Roman"/>
          <w:b/>
          <w:color w:val="0F2043"/>
        </w:rPr>
        <w:t xml:space="preserve">Defendable Scientific Foundation: </w:t>
      </w:r>
      <w:r>
        <w:rPr>
          <w:rFonts w:ascii="Times New Roman" w:hAnsi="Times New Roman"/>
          <w:color w:val="212529"/>
        </w:rPr>
        <w:t>Established complete code reproducibility with automated unit tests across models, preprocessing, and inference harnesses.</w:t>
      </w:r>
    </w:p>
    <w:p>
      <w:r>
        <w:br w:type="page"/>
      </w:r>
    </w:p>
    <w:p>
      <w:pPr>
        <w:keepNext/>
        <w:spacing w:before="320" w:after="120"/>
      </w:pPr>
      <w:r>
        <w:rPr>
          <w:rFonts w:ascii="Times New Roman" w:hAnsi="Times New Roman"/>
          <w:b/>
          <w:color w:val="0F2043"/>
          <w:sz w:val="28"/>
        </w:rPr>
        <w:t>References</w:t>
      </w:r>
    </w:p>
    <w:p>
      <w:pPr>
        <w:spacing w:line="276" w:lineRule="auto" w:after="160"/>
      </w:pPr>
      <w:r>
        <w:rPr>
          <w:rFonts w:ascii="Times New Roman" w:hAnsi="Times New Roman"/>
          <w:color w:val="212529"/>
          <w:sz w:val="20"/>
        </w:rPr>
        <w:t>[1] Ronneberger, O., Fischer, P., &amp; Brox, T. (2015). U-Net: Convolutional networks for biomedical image segmentation. In International Conference on Medical Image Computing and Computer-Assisted Intervention (MICCAI) (pp. 234-241). Springer, Cham.</w:t>
      </w:r>
    </w:p>
    <w:p>
      <w:pPr>
        <w:spacing w:line="276" w:lineRule="auto" w:after="160"/>
      </w:pPr>
      <w:r>
        <w:rPr>
          <w:rFonts w:ascii="Times New Roman" w:hAnsi="Times New Roman"/>
          <w:color w:val="212529"/>
          <w:sz w:val="20"/>
        </w:rPr>
        <w:t>[2] Zhou, Z., Siddiquee, M. M. R., Tajbakhsh, N., &amp; Liang, J. (2018). UNet++: A nested U-Net architecture for medical image segmentation. In Deep Learning in Medical Image Analysis and Multimodal Learning for Clinical Decision Support (pp. 3-11). Springer, Cham. IEEE Transactions on Medical Imaging.</w:t>
      </w:r>
    </w:p>
    <w:p>
      <w:pPr>
        <w:spacing w:line="276" w:lineRule="auto" w:after="160"/>
      </w:pPr>
      <w:r>
        <w:rPr>
          <w:rFonts w:ascii="Times New Roman" w:hAnsi="Times New Roman"/>
          <w:color w:val="212529"/>
          <w:sz w:val="20"/>
        </w:rPr>
        <w:t>[3] Oktay, O., Schlemper, J., Folgoc, L. L., Lee, M., Heinrich, M., Misawa, K., ... &amp; Rueckert, D. (2018). Attention U-Net: Learning where to look for the pancreas. Medical Imaging with Deep Learning (MIDL), arXiv:1804.03999.</w:t>
      </w:r>
    </w:p>
    <w:p>
      <w:pPr>
        <w:spacing w:line="276" w:lineRule="auto" w:after="160"/>
      </w:pPr>
      <w:r>
        <w:rPr>
          <w:rFonts w:ascii="Times New Roman" w:hAnsi="Times New Roman"/>
          <w:color w:val="212529"/>
          <w:sz w:val="20"/>
        </w:rPr>
        <w:t>[4] Tan, M., &amp; Le, Q. (2019). EfficientNet: Rethinking model scaling for convolutional neural networks. In International Conference on Machine Learning (ICML) (pp. 6105-6114). PMLR.</w:t>
      </w:r>
    </w:p>
    <w:p>
      <w:pPr>
        <w:spacing w:line="276" w:lineRule="auto" w:after="160"/>
      </w:pPr>
      <w:r>
        <w:rPr>
          <w:rFonts w:ascii="Times New Roman" w:hAnsi="Times New Roman"/>
          <w:color w:val="212529"/>
          <w:sz w:val="20"/>
        </w:rPr>
        <w:t>[5] BRISC Benchmark: Annotated Dataset for Brain Tumor Segmentation and Classification (2025). Nature Portfolio Scientific Data, arXiv:2506.14318.</w:t>
      </w:r>
    </w:p>
    <w:p>
      <w:pPr>
        <w:spacing w:line="276" w:lineRule="auto" w:after="160"/>
      </w:pPr>
      <w:r>
        <w:rPr>
          <w:rFonts w:ascii="Times New Roman" w:hAnsi="Times New Roman"/>
          <w:color w:val="212529"/>
          <w:sz w:val="20"/>
        </w:rPr>
        <w:t>[6] Louis, D. N., Perry, A., Wesseling, P., Brat, D. J., Cree, I. A., Figarella-Branger, D., ... &amp; Ellison, D. W. (2021). The 2021 WHO classification of tumors of the central nervous system: a summary. Neuro-Oncology, 23(8), 1231-1251.</w:t>
      </w:r>
    </w:p>
    <w:p>
      <w:pPr>
        <w:spacing w:line="276" w:lineRule="auto" w:after="160"/>
      </w:pPr>
      <w:r>
        <w:rPr>
          <w:rFonts w:ascii="Times New Roman" w:hAnsi="Times New Roman"/>
          <w:color w:val="212529"/>
          <w:sz w:val="20"/>
        </w:rPr>
        <w:t>[7] SaberNet: Self-attention based effective relation network for medical lesion segmentation (2023). Pattern Recognition, 138, 109382.</w:t>
      </w:r>
    </w:p>
    <w:p>
      <w:pPr>
        <w:spacing w:line="276" w:lineRule="auto" w:after="160"/>
      </w:pPr>
      <w:r>
        <w:rPr>
          <w:rFonts w:ascii="Times New Roman" w:hAnsi="Times New Roman"/>
          <w:color w:val="212529"/>
          <w:sz w:val="20"/>
        </w:rPr>
        <w:t>[8] Steer the Sampling, Not the Kernel Grid: Geometry-Guided Sampling Operators for Volumetric Segmentation (2025). IEEE Transactions on Medical Imaging.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