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1A365D"/>
          <w:sz w:val="48"/>
        </w:rPr>
        <w:t>Project Progress Report: Brain MRI Diagnostic Platform</w:t>
      </w:r>
    </w:p>
    <w:p>
      <w:pPr>
        <w:spacing w:after="280"/>
      </w:pPr>
      <w:r>
        <w:rPr>
          <w:rFonts w:ascii="Calibri" w:hAnsi="Calibri"/>
          <w:i/>
          <w:color w:val="2B6CB0"/>
          <w:sz w:val="24"/>
        </w:rPr>
        <w:t>Clinical Tumor Classification &amp; Evolutionary Semantic Segmentation Benchmark (Baseline U-Net, GeoSample, &amp; Attention U-Net)</w:t>
      </w:r>
    </w:p>
    <w:tbl>
      <w:tblPr>
        <w:tblW w:type="auto" w:w="0"/>
        <w:jc w:val="center"/>
        <w:tblLayout w:type="fixed"/>
        <w:tblLook w:firstColumn="1" w:firstRow="1" w:lastColumn="0" w:lastRow="0" w:noHBand="0" w:noVBand="1" w:val="04A0"/>
        <w:tblBorders>
          <w:top w:val="single" w:sz="4" w:space="0" w:color="E2E8F0"/>
          <w:bottom w:val="single" w:sz="4" w:space="0" w:color="E2E8F0"/>
          <w:insideH w:val="single" w:sz="4" w:space="0" w:color="E2E8F0"/>
          <w:insideV w:val="none"/>
          <w:left w:val="none"/>
          <w:right w:val="none"/>
        </w:tblBorders>
      </w:tblPr>
      <w:tblGrid>
        <w:gridCol w:w="4680"/>
        <w:gridCol w:w="4680"/>
      </w:tblGrid>
      <w:tr>
        <w:tc>
          <w:tcPr>
            <w:tcW w:type="dxa" w:w="3168"/>
            <w:shd w:fill="F7FAFC"/>
            <w:tcMar>
              <w:top w:w="60" w:type="dxa"/>
              <w:bottom w:w="60" w:type="dxa"/>
              <w:left w:w="100" w:type="dxa"/>
              <w:right w:w="100" w:type="dxa"/>
            </w:tcMar>
          </w:tcPr>
          <w:p>
            <w:pPr>
              <w:spacing w:after="0"/>
            </w:pPr>
            <w:r>
              <w:rPr>
                <w:b/>
                <w:color w:val="1A365D"/>
                <w:sz w:val="19"/>
              </w:rPr>
              <w:t>Project Title</w:t>
            </w:r>
          </w:p>
        </w:tc>
        <w:tc>
          <w:tcPr>
            <w:tcW w:type="dxa" w:w="6192"/>
            <w:shd w:fill="FFFFFF"/>
            <w:tcMar>
              <w:top w:w="60" w:type="dxa"/>
              <w:bottom w:w="60" w:type="dxa"/>
              <w:left w:w="100" w:type="dxa"/>
              <w:right w:w="100" w:type="dxa"/>
            </w:tcMar>
          </w:tcPr>
          <w:p>
            <w:pPr>
              <w:spacing w:after="0"/>
            </w:pPr>
            <w:r>
              <w:rPr>
                <w:color w:val="2D3748"/>
                <w:sz w:val="19"/>
              </w:rPr>
              <w:t>MedBoard — Intelligent Brain MRI Diagnostic &amp; Multi-Agent Analysis Platform</w:t>
            </w:r>
          </w:p>
        </w:tc>
      </w:tr>
      <w:tr>
        <w:tc>
          <w:tcPr>
            <w:tcW w:type="dxa" w:w="3168"/>
            <w:shd w:fill="F7FAFC"/>
            <w:tcMar>
              <w:top w:w="60" w:type="dxa"/>
              <w:bottom w:w="60" w:type="dxa"/>
              <w:left w:w="100" w:type="dxa"/>
              <w:right w:w="100" w:type="dxa"/>
            </w:tcMar>
          </w:tcPr>
          <w:p>
            <w:pPr>
              <w:spacing w:after="0"/>
            </w:pPr>
            <w:r>
              <w:rPr>
                <w:b/>
                <w:color w:val="1A365D"/>
                <w:sz w:val="19"/>
              </w:rPr>
              <w:t>Benchmark Dataset</w:t>
            </w:r>
          </w:p>
        </w:tc>
        <w:tc>
          <w:tcPr>
            <w:tcW w:type="dxa" w:w="6192"/>
            <w:shd w:fill="FFFFFF"/>
            <w:tcMar>
              <w:top w:w="60" w:type="dxa"/>
              <w:bottom w:w="60" w:type="dxa"/>
              <w:left w:w="100" w:type="dxa"/>
              <w:right w:w="100" w:type="dxa"/>
            </w:tcMar>
          </w:tcPr>
          <w:p>
            <w:pPr>
              <w:spacing w:after="0"/>
            </w:pPr>
            <w:r>
              <w:rPr>
                <w:color w:val="2D3748"/>
                <w:sz w:val="19"/>
              </w:rPr>
              <w:t>BRISC 2025 Brain MRI Benchmark (Axial T1/T2/FLAIR Modalities)</w:t>
            </w:r>
          </w:p>
        </w:tc>
      </w:tr>
      <w:tr>
        <w:tc>
          <w:tcPr>
            <w:tcW w:type="dxa" w:w="3168"/>
            <w:shd w:fill="F7FAFC"/>
            <w:tcMar>
              <w:top w:w="60" w:type="dxa"/>
              <w:bottom w:w="60" w:type="dxa"/>
              <w:left w:w="100" w:type="dxa"/>
              <w:right w:w="100" w:type="dxa"/>
            </w:tcMar>
          </w:tcPr>
          <w:p>
            <w:pPr>
              <w:spacing w:after="0"/>
            </w:pPr>
            <w:r>
              <w:rPr>
                <w:b/>
                <w:color w:val="1A365D"/>
                <w:sz w:val="19"/>
              </w:rPr>
              <w:t>Classification Model</w:t>
            </w:r>
          </w:p>
        </w:tc>
        <w:tc>
          <w:tcPr>
            <w:tcW w:type="dxa" w:w="6192"/>
            <w:shd w:fill="FFFFFF"/>
            <w:tcMar>
              <w:top w:w="60" w:type="dxa"/>
              <w:bottom w:w="60" w:type="dxa"/>
              <w:left w:w="100" w:type="dxa"/>
              <w:right w:w="100" w:type="dxa"/>
            </w:tcMar>
          </w:tcPr>
          <w:p>
            <w:pPr>
              <w:spacing w:after="0"/>
            </w:pPr>
            <w:r>
              <w:rPr>
                <w:color w:val="2D3748"/>
                <w:sz w:val="19"/>
              </w:rPr>
              <w:t>EfficientNet-B0 Transfer Learning (4 Classes: Glioma, Meningioma, Pituitary, No Tumor)</w:t>
            </w:r>
          </w:p>
        </w:tc>
      </w:tr>
      <w:tr>
        <w:tc>
          <w:tcPr>
            <w:tcW w:type="dxa" w:w="3168"/>
            <w:shd w:fill="F7FAFC"/>
            <w:tcMar>
              <w:top w:w="60" w:type="dxa"/>
              <w:bottom w:w="60" w:type="dxa"/>
              <w:left w:w="100" w:type="dxa"/>
              <w:right w:w="100" w:type="dxa"/>
            </w:tcMar>
          </w:tcPr>
          <w:p>
            <w:pPr>
              <w:spacing w:after="0"/>
            </w:pPr>
            <w:r>
              <w:rPr>
                <w:b/>
                <w:color w:val="1A365D"/>
                <w:sz w:val="19"/>
              </w:rPr>
              <w:t>Segmentation Pipeline</w:t>
            </w:r>
          </w:p>
        </w:tc>
        <w:tc>
          <w:tcPr>
            <w:tcW w:type="dxa" w:w="6192"/>
            <w:shd w:fill="FFFFFF"/>
            <w:tcMar>
              <w:top w:w="60" w:type="dxa"/>
              <w:bottom w:w="60" w:type="dxa"/>
              <w:left w:w="100" w:type="dxa"/>
              <w:right w:w="100" w:type="dxa"/>
            </w:tcMar>
          </w:tcPr>
          <w:p>
            <w:pPr>
              <w:spacing w:after="0"/>
            </w:pPr>
            <w:r>
              <w:rPr>
                <w:color w:val="2D3748"/>
                <w:sz w:val="19"/>
              </w:rPr>
              <w:t>1. Standard U-Net (Baseline) | 2. GeoSample Run 1 (f=32) | 3. GeoSample Run 2 (f=48) | 4. Attention U-Net</w:t>
            </w:r>
          </w:p>
        </w:tc>
      </w:tr>
      <w:tr>
        <w:tc>
          <w:tcPr>
            <w:tcW w:type="dxa" w:w="3168"/>
            <w:shd w:fill="F7FAFC"/>
            <w:tcMar>
              <w:top w:w="60" w:type="dxa"/>
              <w:bottom w:w="60" w:type="dxa"/>
              <w:left w:w="100" w:type="dxa"/>
              <w:right w:w="100" w:type="dxa"/>
            </w:tcMar>
          </w:tcPr>
          <w:p>
            <w:pPr>
              <w:spacing w:after="0"/>
            </w:pPr>
            <w:r>
              <w:rPr>
                <w:b/>
                <w:color w:val="1A365D"/>
                <w:sz w:val="19"/>
              </w:rPr>
              <w:t>Compute Environments</w:t>
            </w:r>
          </w:p>
        </w:tc>
        <w:tc>
          <w:tcPr>
            <w:tcW w:type="dxa" w:w="6192"/>
            <w:shd w:fill="FFFFFF"/>
            <w:tcMar>
              <w:top w:w="60" w:type="dxa"/>
              <w:bottom w:w="60" w:type="dxa"/>
              <w:left w:w="100" w:type="dxa"/>
              <w:right w:w="100" w:type="dxa"/>
            </w:tcMar>
          </w:tcPr>
          <w:p>
            <w:pPr>
              <w:spacing w:after="0"/>
            </w:pPr>
            <w:r>
              <w:rPr>
                <w:color w:val="2D3748"/>
                <w:sz w:val="19"/>
              </w:rPr>
              <w:t>NVIDIA Tesla T4 (16 GB VRAM, Google Colab) &amp; Local NVIDIA RTX 2050 (4 GB VRAM)</w:t>
            </w:r>
          </w:p>
        </w:tc>
      </w:tr>
      <w:tr>
        <w:tc>
          <w:tcPr>
            <w:tcW w:type="dxa" w:w="3168"/>
            <w:shd w:fill="F7FAFC"/>
            <w:tcMar>
              <w:top w:w="60" w:type="dxa"/>
              <w:bottom w:w="60" w:type="dxa"/>
              <w:left w:w="100" w:type="dxa"/>
              <w:right w:w="100" w:type="dxa"/>
            </w:tcMar>
          </w:tcPr>
          <w:p>
            <w:pPr>
              <w:spacing w:after="0"/>
            </w:pPr>
            <w:r>
              <w:rPr>
                <w:b/>
                <w:color w:val="1A365D"/>
                <w:sz w:val="19"/>
              </w:rPr>
              <w:t>Document Type</w:t>
            </w:r>
          </w:p>
        </w:tc>
        <w:tc>
          <w:tcPr>
            <w:tcW w:type="dxa" w:w="6192"/>
            <w:shd w:fill="FFFFFF"/>
            <w:tcMar>
              <w:top w:w="60" w:type="dxa"/>
              <w:bottom w:w="60" w:type="dxa"/>
              <w:left w:w="100" w:type="dxa"/>
              <w:right w:w="100" w:type="dxa"/>
            </w:tcMar>
          </w:tcPr>
          <w:p>
            <w:pPr>
              <w:spacing w:after="0"/>
            </w:pPr>
            <w:r>
              <w:rPr>
                <w:color w:val="2D3748"/>
                <w:sz w:val="19"/>
              </w:rPr>
              <w:t>Comprehensive Engineering &amp; Research Milestone Progress Report</w:t>
            </w:r>
          </w:p>
        </w:tc>
      </w:tr>
      <w:tr>
        <w:tc>
          <w:tcPr>
            <w:tcW w:type="dxa" w:w="3168"/>
            <w:shd w:fill="F7FAFC"/>
            <w:tcMar>
              <w:top w:w="60" w:type="dxa"/>
              <w:bottom w:w="60" w:type="dxa"/>
              <w:left w:w="100" w:type="dxa"/>
              <w:right w:w="100" w:type="dxa"/>
            </w:tcMar>
          </w:tcPr>
          <w:p>
            <w:pPr>
              <w:spacing w:after="0"/>
            </w:pPr>
            <w:r>
              <w:rPr>
                <w:b/>
                <w:color w:val="1A365D"/>
                <w:sz w:val="19"/>
              </w:rPr>
              <w:t>Status / Phase</w:t>
            </w:r>
          </w:p>
        </w:tc>
        <w:tc>
          <w:tcPr>
            <w:tcW w:type="dxa" w:w="6192"/>
            <w:shd w:fill="FFFFFF"/>
            <w:tcMar>
              <w:top w:w="60" w:type="dxa"/>
              <w:bottom w:w="60" w:type="dxa"/>
              <w:left w:w="100" w:type="dxa"/>
              <w:right w:w="100" w:type="dxa"/>
            </w:tcMar>
          </w:tcPr>
          <w:p>
            <w:pPr>
              <w:spacing w:after="0"/>
            </w:pPr>
            <w:r>
              <w:rPr>
                <w:color w:val="2D3748"/>
                <w:sz w:val="19"/>
              </w:rPr>
              <w:t>Phase 1 (Classification: Complete) | Phase 2 (Segmentation: Active Training &amp; Evaluation)</w:t>
            </w:r>
          </w:p>
        </w:tc>
      </w:tr>
    </w:tbl>
    <w:p>
      <w:pPr>
        <w:spacing w:after="160"/>
      </w:pPr>
    </w:p>
    <w:p>
      <w:pPr>
        <w:keepNext/>
        <w:spacing w:before="320" w:after="120"/>
      </w:pPr>
      <w:r>
        <w:rPr>
          <w:rFonts w:ascii="Calibri" w:hAnsi="Calibri"/>
          <w:b/>
          <w:color w:val="1A365D"/>
          <w:sz w:val="32"/>
        </w:rPr>
        <w:t>1. Executive Summary &amp; Research Context</w:t>
      </w:r>
    </w:p>
    <w:p>
      <w:r>
        <w:t>Accurate, automated diagnostic triage and anatomical segmentation of intracranial neoplasms from Magnetic Resonance Imaging (MRI) represent critical clinical prerequisites for stereotactic radiotherapy, neurosurgical resection planning, and quantitative oncological follow-up. The MedBoard project is an end-to-end medical AI platform designed to decouple complex diagnostic workflows into specialized, robust neural agents.</w:t>
      </w:r>
    </w:p>
    <w:p>
      <w:r>
        <w:t>This report systematically documents our empirical progress across both major computer vision subsystems:</w:t>
        <w:br/>
        <w:t>1. Intracranial Neoplasm Classification: Deployed an ImageNet-pretrained EfficientNet-B0 convolutional network across the 4-class BRISC 2025 classification dataset, attaining a high 98.28% test accuracy and 0.9830 Macro-F1.</w:t>
        <w:br/>
        <w:t>2. Lesion Semantic Segmentation: Formulated, trained, and benchmarked three generations of segmentation models: the classical Standard U-Net baseline (86.79% Mean Dice, 7.85M parameters), GeoSample U-Net Run 1 (85.40% Dice, 2.50M parameters, −68.1% parameter reduction), GeoSample U-Net Run 2 (86.41% Dice, 4.84M parameters, −38.3% parameter reduction with lowest standard deviation of 0.1836), and our latest deployment: Attention U-Net incorporating Oktay et al. additive attention gates to suppress non-tumor background clutter.</w:t>
      </w:r>
    </w:p>
    <w:tbl>
      <w:tblPr>
        <w:tblW w:type="auto" w:w="0"/>
        <w:jc w:val="center"/>
        <w:tblLook w:firstColumn="1" w:firstRow="1" w:lastColumn="0" w:lastRow="0" w:noHBand="0" w:noVBand="1" w:val="04A0"/>
      </w:tblPr>
      <w:tblGrid>
        <w:gridCol w:w="9360"/>
      </w:tblGrid>
      <w:tr>
        <w:tc>
          <w:tcPr>
            <w:tcW w:type="dxa" w:w="9360"/>
            <w:shd w:fill="EBF8FF"/>
            <w:tcMar>
              <w:top w:w="100" w:type="dxa"/>
              <w:bottom w:w="100" w:type="dxa"/>
              <w:left w:w="140" w:type="dxa"/>
              <w:right w:w="140" w:type="dxa"/>
            </w:tcMar>
            <w:tcBorders>
              <w:left w:val="single" w:sz="24" w:space="0" w:color="2B6CB0"/>
              <w:top w:val="none"/>
              <w:right w:val="none"/>
              <w:bottom w:val="none"/>
            </w:tcBorders>
          </w:tcPr>
          <w:p>
            <w:pPr>
              <w:spacing w:after="40"/>
            </w:pPr>
            <w:r>
              <w:rPr>
                <w:b/>
                <w:color w:val="2B6CB0"/>
                <w:sz w:val="21"/>
              </w:rPr>
              <w:t>★  CORE BENCHMARK TAKEAWAYS</w:t>
              <w:br/>
            </w:r>
            <w:r>
              <w:rPr>
                <w:color w:val="2D3748"/>
                <w:sz w:val="20"/>
              </w:rPr>
              <w:t>• Classification Subsystem: EfficientNet-B0 achieved near-optimal test performance (98.28% Accuracy, 0.9830 Macro-F1), perfectly identifying normal scans (100% recall on 'no_tumor') with minimal computational footprint (4.01M parameters).</w:t>
              <w:br/>
              <w:t>• Segmentation Subsystem: GeoSample Run 2 established a Pareto-optimal architectural standard by retaining 99.56% of the classical U-Net's Dice overlap score while eliminating 3.01 million parameters (−38.3%).</w:t>
              <w:br/>
              <w:t>• Active Frontier: Attention U-Net has been engineered, unit tested with 100% gradient backpropagation, and launched on Google Colab to directly evaluate additive skip gating against standard and geometric baselines.</w:t>
            </w:r>
          </w:p>
        </w:tc>
      </w:tr>
    </w:tbl>
    <w:p>
      <w:pPr>
        <w:spacing w:after="120"/>
      </w:pPr>
    </w:p>
    <w:p>
      <w:pPr>
        <w:keepNext/>
        <w:spacing w:before="320" w:after="120"/>
      </w:pPr>
      <w:r>
        <w:rPr>
          <w:rFonts w:ascii="Calibri" w:hAnsi="Calibri"/>
          <w:b/>
          <w:color w:val="1A365D"/>
          <w:sz w:val="32"/>
        </w:rPr>
        <w:t>2. MedBoard System &amp; Multi-Agent Architecture</w:t>
      </w:r>
    </w:p>
    <w:p>
      <w:r>
        <w:t>In clinical practice, a radiologist does not perform segmentation in isolation; they first detect lesion presence, determine the pathological tumor category, delineate tumor margins, and synthesize findings with medical literature. MedBoard implements this through a collaborative multi-agent architecture:</w:t>
      </w:r>
    </w:p>
    <w:p>
      <w:pPr>
        <w:pStyle w:val="ListBullet"/>
        <w:spacing w:after="60"/>
      </w:pPr>
      <w:r>
        <w:rPr>
          <w:b/>
          <w:color w:val="1A365D"/>
        </w:rPr>
        <w:t xml:space="preserve">Preprocessing Engine: </w:t>
      </w:r>
      <w:r>
        <w:t>Executes automatic modality harmonization, skull stripping/clamping, Otsu foreground masking, spatial resizing (256×256 for segmentation, 224×224 for classification), and channel standardizations.</w:t>
      </w:r>
    </w:p>
    <w:p>
      <w:pPr>
        <w:pStyle w:val="ListBullet"/>
        <w:spacing w:after="60"/>
      </w:pPr>
      <w:r>
        <w:rPr>
          <w:b/>
          <w:color w:val="1A365D"/>
        </w:rPr>
        <w:t xml:space="preserve">Classification Agent: </w:t>
      </w:r>
      <w:r>
        <w:t>Analyzes the full brain slice using EfficientNet-B0 to diagnose tumor presence and malignancy type (Glioma, Meningioma, Pituitary, or No Tumor).</w:t>
      </w:r>
    </w:p>
    <w:p>
      <w:pPr>
        <w:pStyle w:val="ListBullet"/>
        <w:spacing w:after="60"/>
      </w:pPr>
      <w:r>
        <w:rPr>
          <w:b/>
          <w:color w:val="1A365D"/>
        </w:rPr>
        <w:t xml:space="preserve">Segmentation Agent: </w:t>
      </w:r>
      <w:r>
        <w:t>Conditionally activated upon tumor detection. Evaluates the scan through our specialized U-Net variants to output calibrated pixel-wise probability masks for precise volumetric and area analysis.</w:t>
      </w:r>
    </w:p>
    <w:p>
      <w:pPr>
        <w:pStyle w:val="ListBullet"/>
        <w:spacing w:after="60"/>
      </w:pPr>
      <w:r>
        <w:rPr>
          <w:b/>
          <w:color w:val="1A365D"/>
        </w:rPr>
        <w:t xml:space="preserve">Chief Synthesis Agent: </w:t>
      </w:r>
      <w:r>
        <w:t>Synthesizes classification confidence, segmentation geometric metrics (area in mm², boundary perimeter, center of mass), and evidence retrieved via RAG (Retrieval-Augmented Generation) into a structured clinical report.</w:t>
      </w:r>
    </w:p>
    <w:p>
      <w:pPr>
        <w:keepNext/>
        <w:spacing w:before="320" w:after="120"/>
      </w:pPr>
      <w:r>
        <w:rPr>
          <w:rFonts w:ascii="Calibri" w:hAnsi="Calibri"/>
          <w:b/>
          <w:color w:val="1A365D"/>
          <w:sz w:val="32"/>
        </w:rPr>
        <w:t>3. Phase 1: Intracranial Tumor Classification (EfficientNet-B0)</w:t>
      </w:r>
    </w:p>
    <w:p>
      <w:pPr>
        <w:keepNext/>
        <w:spacing w:before="240" w:after="80"/>
      </w:pPr>
      <w:r>
        <w:rPr>
          <w:rFonts w:ascii="Calibri" w:hAnsi="Calibri"/>
          <w:b/>
          <w:color w:val="2B6CB0"/>
          <w:sz w:val="26"/>
        </w:rPr>
        <w:t>3.1 Architectural Rationale &amp; Design</w:t>
      </w:r>
    </w:p>
    <w:p>
      <w:r>
        <w:t>For multi-class tumor triage, model efficiency and feature generalization are paramount. Rather than training heavy monolithic architectures like ResNet-50 (25.6M parameters) or VGG-16 (138M parameters), we selected EfficientNet-B0. EfficientNet-B0 utilizes Mobile Inverted Bottleneck convolutions (MBConv), Depthwise Separable convolutions, and Squeeze-and-Excitation (SE) channel attention modules, scaled simultaneously across depth, width, and resolution using a principled compound scaling coefficient.</w:t>
      </w:r>
    </w:p>
    <w:p>
      <w:pPr>
        <w:pStyle w:val="ListBullet"/>
        <w:spacing w:after="60"/>
      </w:pPr>
      <w:r>
        <w:rPr>
          <w:b/>
          <w:color w:val="1A365D"/>
        </w:rPr>
        <w:t xml:space="preserve">Model Capacity: </w:t>
      </w:r>
      <w:r>
        <w:t>4,012,672 parameters (~15.3 MB footprint), permitting sub-15ms inference latency per MRI slice.</w:t>
      </w:r>
    </w:p>
    <w:p>
      <w:pPr>
        <w:pStyle w:val="ListBullet"/>
        <w:spacing w:after="60"/>
      </w:pPr>
      <w:r>
        <w:rPr>
          <w:b/>
          <w:color w:val="1A365D"/>
        </w:rPr>
        <w:t xml:space="preserve">Transfer Learning: </w:t>
      </w:r>
      <w:r>
        <w:t>Pretrained on ImageNet-1k via `timm`; top linear classification head adapted to 4 output categories.</w:t>
      </w:r>
    </w:p>
    <w:p>
      <w:pPr>
        <w:pStyle w:val="ListBullet"/>
        <w:spacing w:after="60"/>
      </w:pPr>
      <w:r>
        <w:rPr>
          <w:b/>
          <w:color w:val="1A365D"/>
        </w:rPr>
        <w:t xml:space="preserve">Regularization: </w:t>
      </w:r>
      <w:r>
        <w:t>Dropout rate of 0.20 preceding the final dense layer to mitigate overfitting on specialized scans.</w:t>
      </w:r>
    </w:p>
    <w:p>
      <w:pPr>
        <w:keepNext/>
        <w:spacing w:before="240" w:after="80"/>
      </w:pPr>
      <w:r>
        <w:rPr>
          <w:rFonts w:ascii="Calibri" w:hAnsi="Calibri"/>
          <w:b/>
          <w:color w:val="2B6CB0"/>
          <w:sz w:val="26"/>
        </w:rPr>
        <w:t>3.2 Dataset Distribution &amp; Training Strategy</w:t>
      </w:r>
    </w:p>
    <w:p>
      <w:r>
        <w:t>The model was trained on the BRISC 2025 Brain MRI Classification Dataset across four balanced diagnostic categories: glioma, meningioma, pituitary, and no_tumor. A stratified 85%/15% split was maintained during dataset generation to preserve class distributions.</w:t>
      </w:r>
    </w:p>
    <w:p>
      <w:pPr>
        <w:pStyle w:val="ListBullet"/>
        <w:spacing w:after="60"/>
      </w:pPr>
      <w:r>
        <w:rPr>
          <w:b/>
          <w:color w:val="1A365D"/>
        </w:rPr>
        <w:t xml:space="preserve">Input Resolution: </w:t>
      </w:r>
      <w:r>
        <w:t>224 × 224 pixels RGB, standardized using ImageNet statistics (Mean: [0.485, 0.456, 0.406], Std: [0.229, 0.224, 0.225]).</w:t>
      </w:r>
    </w:p>
    <w:p>
      <w:pPr>
        <w:pStyle w:val="ListBullet"/>
        <w:spacing w:after="60"/>
      </w:pPr>
      <w:r>
        <w:rPr>
          <w:b/>
          <w:color w:val="1A365D"/>
        </w:rPr>
        <w:t xml:space="preserve">Training Augmentation: </w:t>
      </w:r>
      <w:r>
        <w:t>Random horizontal flips (p=0.5), random rotations (±15°), and color jittering (brightness &amp; contrast ±10%).</w:t>
      </w:r>
    </w:p>
    <w:p>
      <w:pPr>
        <w:pStyle w:val="ListBullet"/>
        <w:spacing w:after="60"/>
      </w:pPr>
      <w:r>
        <w:rPr>
          <w:b/>
          <w:color w:val="1A365D"/>
        </w:rPr>
        <w:t xml:space="preserve">Optimization: </w:t>
      </w:r>
      <w:r>
        <w:t>AdamW optimizer (Initial LR: 1e-4, Weight Decay: 1e-4) paired with Cosine Annealing learning rate schedule decaying smoothly to 1e-6.</w:t>
      </w:r>
    </w:p>
    <w:p>
      <w:pPr>
        <w:pStyle w:val="ListBullet"/>
        <w:spacing w:after="60"/>
      </w:pPr>
      <w:r>
        <w:rPr>
          <w:b/>
          <w:color w:val="1A365D"/>
        </w:rPr>
        <w:t xml:space="preserve">Precision &amp; Early Stopping: </w:t>
      </w:r>
      <w:r>
        <w:t>Mixed precision (FP16 via PyTorch AMP) on CUDA; EarlyStopping monitoring validation loss with patience = 5.</w:t>
      </w:r>
    </w:p>
    <w:p>
      <w:pPr>
        <w:keepNext/>
        <w:spacing w:before="240" w:after="80"/>
      </w:pPr>
      <w:r>
        <w:rPr>
          <w:rFonts w:ascii="Calibri" w:hAnsi="Calibri"/>
          <w:b/>
          <w:color w:val="2B6CB0"/>
          <w:sz w:val="26"/>
        </w:rPr>
        <w:t>3.3 Quantitative Empirical Results</w:t>
      </w:r>
    </w:p>
    <w:p>
      <w:r>
        <w:t>The trained EfficientNet-B0 model was rigorously benchmarked on the held-out BRISC 2025 test dataset containing 1,000 independent MRI scans. The model converged smoothly over 20 epochs, reaching optimal validation performance at epoch 15.</w:t>
      </w:r>
    </w:p>
    <w:tbl>
      <w:tblPr>
        <w:tblW w:type="auto" w:w="0"/>
        <w:jc w:val="center"/>
        <w:tblLook w:firstColumn="1" w:firstRow="1" w:lastColumn="0" w:lastRow="0" w:noHBand="0" w:noVBand="1" w:val="04A0"/>
        <w:tblBorders>
          <w:top w:val="single" w:sz="6" w:space="0" w:color="CBD5E0"/>
          <w:bottom w:val="single" w:sz="6" w:space="0" w:color="CBD5E0"/>
          <w:insideH w:val="single" w:sz="6" w:space="0" w:color="CBD5E0"/>
          <w:insideV w:val="none"/>
          <w:left w:val="none"/>
          <w:right w:val="none"/>
        </w:tblBorders>
      </w:tblPr>
      <w:tblGrid>
        <w:gridCol w:w="3120"/>
        <w:gridCol w:w="3120"/>
        <w:gridCol w:w="3120"/>
      </w:tblGrid>
      <w:tr>
        <w:tc>
          <w:tcPr>
            <w:tcW w:type="dxa" w:w="3168"/>
            <w:shd w:fill="1A365D"/>
            <w:tcMar>
              <w:top w:w="80" w:type="dxa"/>
              <w:bottom w:w="80" w:type="dxa"/>
              <w:left w:w="90" w:type="dxa"/>
              <w:right w:w="90" w:type="dxa"/>
            </w:tcMar>
          </w:tcPr>
          <w:p>
            <w:pPr>
              <w:spacing w:after="0"/>
            </w:pPr>
            <w:r>
              <w:rPr>
                <w:b/>
                <w:color w:val="FFFFFF"/>
                <w:sz w:val="19"/>
              </w:rPr>
              <w:t>Evaluation Metric</w:t>
            </w:r>
          </w:p>
        </w:tc>
        <w:tc>
          <w:tcPr>
            <w:tcW w:type="dxa" w:w="1872"/>
            <w:shd w:fill="1A365D"/>
            <w:tcMar>
              <w:top w:w="80" w:type="dxa"/>
              <w:bottom w:w="80" w:type="dxa"/>
              <w:left w:w="90" w:type="dxa"/>
              <w:right w:w="90" w:type="dxa"/>
            </w:tcMar>
          </w:tcPr>
          <w:p>
            <w:pPr>
              <w:spacing w:after="0"/>
            </w:pPr>
            <w:r>
              <w:rPr>
                <w:b/>
                <w:color w:val="FFFFFF"/>
                <w:sz w:val="19"/>
              </w:rPr>
              <w:t>Empirical Value</w:t>
            </w:r>
          </w:p>
        </w:tc>
        <w:tc>
          <w:tcPr>
            <w:tcW w:type="dxa" w:w="4320"/>
            <w:shd w:fill="1A365D"/>
            <w:tcMar>
              <w:top w:w="80" w:type="dxa"/>
              <w:bottom w:w="80" w:type="dxa"/>
              <w:left w:w="90" w:type="dxa"/>
              <w:right w:w="90" w:type="dxa"/>
            </w:tcMar>
          </w:tcPr>
          <w:p>
            <w:pPr>
              <w:spacing w:after="0"/>
            </w:pPr>
            <w:r>
              <w:rPr>
                <w:b/>
                <w:color w:val="FFFFFF"/>
                <w:sz w:val="19"/>
              </w:rPr>
              <w:t>Clinical Significance</w:t>
            </w:r>
          </w:p>
        </w:tc>
      </w:tr>
      <w:tr>
        <w:tc>
          <w:tcPr>
            <w:tcW w:type="dxa" w:w="3168"/>
            <w:shd w:fill="FFFFFF"/>
            <w:tcMar>
              <w:top w:w="60" w:type="dxa"/>
              <w:bottom w:w="60" w:type="dxa"/>
              <w:left w:w="90" w:type="dxa"/>
              <w:right w:w="90" w:type="dxa"/>
            </w:tcMar>
          </w:tcPr>
          <w:p>
            <w:pPr>
              <w:spacing w:after="0"/>
            </w:pPr>
            <w:r>
              <w:rPr>
                <w:b/>
                <w:color w:val="2D3748"/>
                <w:sz w:val="18"/>
              </w:rPr>
              <w:t>Overall Test Accuracy</w:t>
            </w:r>
          </w:p>
        </w:tc>
        <w:tc>
          <w:tcPr>
            <w:tcW w:type="dxa" w:w="1872"/>
            <w:shd w:fill="FFFFFF"/>
            <w:tcMar>
              <w:top w:w="60" w:type="dxa"/>
              <w:bottom w:w="60" w:type="dxa"/>
              <w:left w:w="90" w:type="dxa"/>
              <w:right w:w="90" w:type="dxa"/>
            </w:tcMar>
          </w:tcPr>
          <w:p>
            <w:pPr>
              <w:spacing w:after="0"/>
            </w:pPr>
            <w:r>
              <w:rPr>
                <w:color w:val="2D3748"/>
                <w:sz w:val="18"/>
              </w:rPr>
              <w:t>98.28%</w:t>
            </w:r>
          </w:p>
        </w:tc>
        <w:tc>
          <w:tcPr>
            <w:tcW w:type="dxa" w:w="4320"/>
            <w:shd w:fill="FFFFFF"/>
            <w:tcMar>
              <w:top w:w="60" w:type="dxa"/>
              <w:bottom w:w="60" w:type="dxa"/>
              <w:left w:w="90" w:type="dxa"/>
              <w:right w:w="90" w:type="dxa"/>
            </w:tcMar>
          </w:tcPr>
          <w:p>
            <w:pPr>
              <w:spacing w:after="0"/>
            </w:pPr>
            <w:r>
              <w:rPr>
                <w:color w:val="2D3748"/>
                <w:sz w:val="18"/>
              </w:rPr>
              <w:t>High overall diagnostic accuracy across all 4 pathological conditions</w:t>
            </w:r>
          </w:p>
        </w:tc>
      </w:tr>
      <w:tr>
        <w:tc>
          <w:tcPr>
            <w:tcW w:type="dxa" w:w="3168"/>
            <w:shd w:fill="F7FAFC"/>
            <w:tcMar>
              <w:top w:w="60" w:type="dxa"/>
              <w:bottom w:w="60" w:type="dxa"/>
              <w:left w:w="90" w:type="dxa"/>
              <w:right w:w="90" w:type="dxa"/>
            </w:tcMar>
          </w:tcPr>
          <w:p>
            <w:pPr>
              <w:spacing w:after="0"/>
            </w:pPr>
            <w:r>
              <w:rPr>
                <w:b/>
                <w:color w:val="2D3748"/>
                <w:sz w:val="18"/>
              </w:rPr>
              <w:t>Macro-Averaged F1-Score</w:t>
            </w:r>
          </w:p>
        </w:tc>
        <w:tc>
          <w:tcPr>
            <w:tcW w:type="dxa" w:w="1872"/>
            <w:shd w:fill="F7FAFC"/>
            <w:tcMar>
              <w:top w:w="60" w:type="dxa"/>
              <w:bottom w:w="60" w:type="dxa"/>
              <w:left w:w="90" w:type="dxa"/>
              <w:right w:w="90" w:type="dxa"/>
            </w:tcMar>
          </w:tcPr>
          <w:p>
            <w:pPr>
              <w:spacing w:after="0"/>
            </w:pPr>
            <w:r>
              <w:rPr>
                <w:color w:val="2D3748"/>
                <w:sz w:val="18"/>
              </w:rPr>
              <w:t>0.9830</w:t>
            </w:r>
          </w:p>
        </w:tc>
        <w:tc>
          <w:tcPr>
            <w:tcW w:type="dxa" w:w="4320"/>
            <w:shd w:fill="F7FAFC"/>
            <w:tcMar>
              <w:top w:w="60" w:type="dxa"/>
              <w:bottom w:w="60" w:type="dxa"/>
              <w:left w:w="90" w:type="dxa"/>
              <w:right w:w="90" w:type="dxa"/>
            </w:tcMar>
          </w:tcPr>
          <w:p>
            <w:pPr>
              <w:spacing w:after="0"/>
            </w:pPr>
            <w:r>
              <w:rPr>
                <w:color w:val="2D3748"/>
                <w:sz w:val="18"/>
              </w:rPr>
              <w:t>Balanced performance across all categories without majority class bias</w:t>
            </w:r>
          </w:p>
        </w:tc>
      </w:tr>
      <w:tr>
        <w:tc>
          <w:tcPr>
            <w:tcW w:type="dxa" w:w="3168"/>
            <w:shd w:fill="FFFFFF"/>
            <w:tcMar>
              <w:top w:w="60" w:type="dxa"/>
              <w:bottom w:w="60" w:type="dxa"/>
              <w:left w:w="90" w:type="dxa"/>
              <w:right w:w="90" w:type="dxa"/>
            </w:tcMar>
          </w:tcPr>
          <w:p>
            <w:pPr>
              <w:spacing w:after="0"/>
            </w:pPr>
            <w:r>
              <w:rPr>
                <w:b/>
                <w:color w:val="2D3748"/>
                <w:sz w:val="18"/>
              </w:rPr>
              <w:t>Weighted F1-Score</w:t>
            </w:r>
          </w:p>
        </w:tc>
        <w:tc>
          <w:tcPr>
            <w:tcW w:type="dxa" w:w="1872"/>
            <w:shd w:fill="FFFFFF"/>
            <w:tcMar>
              <w:top w:w="60" w:type="dxa"/>
              <w:bottom w:w="60" w:type="dxa"/>
              <w:left w:w="90" w:type="dxa"/>
              <w:right w:w="90" w:type="dxa"/>
            </w:tcMar>
          </w:tcPr>
          <w:p>
            <w:pPr>
              <w:spacing w:after="0"/>
            </w:pPr>
            <w:r>
              <w:rPr>
                <w:color w:val="2D3748"/>
                <w:sz w:val="18"/>
              </w:rPr>
              <w:t>0.9830</w:t>
            </w:r>
          </w:p>
        </w:tc>
        <w:tc>
          <w:tcPr>
            <w:tcW w:type="dxa" w:w="4320"/>
            <w:shd w:fill="FFFFFF"/>
            <w:tcMar>
              <w:top w:w="60" w:type="dxa"/>
              <w:bottom w:w="60" w:type="dxa"/>
              <w:left w:w="90" w:type="dxa"/>
              <w:right w:w="90" w:type="dxa"/>
            </w:tcMar>
          </w:tcPr>
          <w:p>
            <w:pPr>
              <w:spacing w:after="0"/>
            </w:pPr>
            <w:r>
              <w:rPr>
                <w:color w:val="2D3748"/>
                <w:sz w:val="18"/>
              </w:rPr>
              <w:t>Consistent score when accounting for per-class support volume</w:t>
            </w:r>
          </w:p>
        </w:tc>
      </w:tr>
      <w:tr>
        <w:tc>
          <w:tcPr>
            <w:tcW w:type="dxa" w:w="3168"/>
            <w:shd w:fill="F7FAFC"/>
            <w:tcMar>
              <w:top w:w="60" w:type="dxa"/>
              <w:bottom w:w="60" w:type="dxa"/>
              <w:left w:w="90" w:type="dxa"/>
              <w:right w:w="90" w:type="dxa"/>
            </w:tcMar>
          </w:tcPr>
          <w:p>
            <w:pPr>
              <w:spacing w:after="0"/>
            </w:pPr>
            <w:r>
              <w:rPr>
                <w:b/>
                <w:color w:val="2D3748"/>
                <w:sz w:val="18"/>
              </w:rPr>
              <w:t>Test Cross-Entropy Loss</w:t>
            </w:r>
          </w:p>
        </w:tc>
        <w:tc>
          <w:tcPr>
            <w:tcW w:type="dxa" w:w="1872"/>
            <w:shd w:fill="F7FAFC"/>
            <w:tcMar>
              <w:top w:w="60" w:type="dxa"/>
              <w:bottom w:w="60" w:type="dxa"/>
              <w:left w:w="90" w:type="dxa"/>
              <w:right w:w="90" w:type="dxa"/>
            </w:tcMar>
          </w:tcPr>
          <w:p>
            <w:pPr>
              <w:spacing w:after="0"/>
            </w:pPr>
            <w:r>
              <w:rPr>
                <w:color w:val="2D3748"/>
                <w:sz w:val="18"/>
              </w:rPr>
              <w:t>0.0719</w:t>
            </w:r>
          </w:p>
        </w:tc>
        <w:tc>
          <w:tcPr>
            <w:tcW w:type="dxa" w:w="4320"/>
            <w:shd w:fill="F7FAFC"/>
            <w:tcMar>
              <w:top w:w="60" w:type="dxa"/>
              <w:bottom w:w="60" w:type="dxa"/>
              <w:left w:w="90" w:type="dxa"/>
              <w:right w:w="90" w:type="dxa"/>
            </w:tcMar>
          </w:tcPr>
          <w:p>
            <w:pPr>
              <w:spacing w:after="0"/>
            </w:pPr>
            <w:r>
              <w:rPr>
                <w:color w:val="2D3748"/>
                <w:sz w:val="18"/>
              </w:rPr>
              <w:t>Strong convergence with low cross-entropy penalty and calibrated logits</w:t>
            </w:r>
          </w:p>
        </w:tc>
      </w:tr>
      <w:tr>
        <w:tc>
          <w:tcPr>
            <w:tcW w:type="dxa" w:w="3168"/>
            <w:shd w:fill="FFFFFF"/>
            <w:tcMar>
              <w:top w:w="60" w:type="dxa"/>
              <w:bottom w:w="60" w:type="dxa"/>
              <w:left w:w="90" w:type="dxa"/>
              <w:right w:w="90" w:type="dxa"/>
            </w:tcMar>
          </w:tcPr>
          <w:p>
            <w:pPr>
              <w:spacing w:after="0"/>
            </w:pPr>
            <w:r>
              <w:rPr>
                <w:b/>
                <w:color w:val="2D3748"/>
                <w:sz w:val="18"/>
              </w:rPr>
              <w:t>Best Validation Accuracy</w:t>
            </w:r>
          </w:p>
        </w:tc>
        <w:tc>
          <w:tcPr>
            <w:tcW w:type="dxa" w:w="1872"/>
            <w:shd w:fill="FFFFFF"/>
            <w:tcMar>
              <w:top w:w="60" w:type="dxa"/>
              <w:bottom w:w="60" w:type="dxa"/>
              <w:left w:w="90" w:type="dxa"/>
              <w:right w:w="90" w:type="dxa"/>
            </w:tcMar>
          </w:tcPr>
          <w:p>
            <w:pPr>
              <w:spacing w:after="0"/>
            </w:pPr>
            <w:r>
              <w:rPr>
                <w:color w:val="2D3748"/>
                <w:sz w:val="18"/>
              </w:rPr>
              <w:t>98.92%</w:t>
            </w:r>
          </w:p>
        </w:tc>
        <w:tc>
          <w:tcPr>
            <w:tcW w:type="dxa" w:w="4320"/>
            <w:shd w:fill="FFFFFF"/>
            <w:tcMar>
              <w:top w:w="60" w:type="dxa"/>
              <w:bottom w:w="60" w:type="dxa"/>
              <w:left w:w="90" w:type="dxa"/>
              <w:right w:w="90" w:type="dxa"/>
            </w:tcMar>
          </w:tcPr>
          <w:p>
            <w:pPr>
              <w:spacing w:after="0"/>
            </w:pPr>
            <w:r>
              <w:rPr>
                <w:color w:val="2D3748"/>
                <w:sz w:val="18"/>
              </w:rPr>
              <w:t>Peak generalization achieved during validation checkpointing</w:t>
            </w:r>
          </w:p>
        </w:tc>
      </w:tr>
      <w:tr>
        <w:tc>
          <w:tcPr>
            <w:tcW w:type="dxa" w:w="3168"/>
            <w:shd w:fill="F7FAFC"/>
            <w:tcMar>
              <w:top w:w="60" w:type="dxa"/>
              <w:bottom w:w="60" w:type="dxa"/>
              <w:left w:w="90" w:type="dxa"/>
              <w:right w:w="90" w:type="dxa"/>
            </w:tcMar>
          </w:tcPr>
          <w:p>
            <w:pPr>
              <w:spacing w:after="0"/>
            </w:pPr>
            <w:r>
              <w:rPr>
                <w:b/>
                <w:color w:val="2D3748"/>
                <w:sz w:val="18"/>
              </w:rPr>
              <w:t>Peak Validation Macro-F1</w:t>
            </w:r>
          </w:p>
        </w:tc>
        <w:tc>
          <w:tcPr>
            <w:tcW w:type="dxa" w:w="1872"/>
            <w:shd w:fill="F7FAFC"/>
            <w:tcMar>
              <w:top w:w="60" w:type="dxa"/>
              <w:bottom w:w="60" w:type="dxa"/>
              <w:left w:w="90" w:type="dxa"/>
              <w:right w:w="90" w:type="dxa"/>
            </w:tcMar>
          </w:tcPr>
          <w:p>
            <w:pPr>
              <w:spacing w:after="0"/>
            </w:pPr>
            <w:r>
              <w:rPr>
                <w:color w:val="2D3748"/>
                <w:sz w:val="18"/>
              </w:rPr>
              <w:t>0.9893</w:t>
            </w:r>
          </w:p>
        </w:tc>
        <w:tc>
          <w:tcPr>
            <w:tcW w:type="dxa" w:w="4320"/>
            <w:shd w:fill="F7FAFC"/>
            <w:tcMar>
              <w:top w:w="60" w:type="dxa"/>
              <w:bottom w:w="60" w:type="dxa"/>
              <w:left w:w="90" w:type="dxa"/>
              <w:right w:w="90" w:type="dxa"/>
            </w:tcMar>
          </w:tcPr>
          <w:p>
            <w:pPr>
              <w:spacing w:after="0"/>
            </w:pPr>
            <w:r>
              <w:rPr>
                <w:color w:val="2D3748"/>
                <w:sz w:val="18"/>
              </w:rPr>
              <w:t>Validates absence of class-specific precision-recall collapse</w:t>
            </w:r>
          </w:p>
        </w:tc>
      </w:tr>
    </w:tbl>
    <w:p>
      <w:pPr>
        <w:spacing w:after="160"/>
      </w:pPr>
    </w:p>
    <w:p>
      <w:pPr>
        <w:keepNext/>
        <w:spacing w:before="160" w:after="40"/>
      </w:pPr>
      <w:r>
        <w:rPr>
          <w:rFonts w:ascii="Calibri" w:hAnsi="Calibri"/>
          <w:b/>
          <w:color w:val="1A365D"/>
          <w:sz w:val="23"/>
        </w:rPr>
        <w:t>Per-Class Detailed Classification Report</w:t>
      </w:r>
    </w:p>
    <w:tbl>
      <w:tblPr>
        <w:tblW w:type="auto" w:w="0"/>
        <w:jc w:val="center"/>
        <w:tblLook w:firstColumn="1" w:firstRow="1" w:lastColumn="0" w:lastRow="0" w:noHBand="0" w:noVBand="1" w:val="04A0"/>
        <w:tblBorders>
          <w:top w:val="single" w:sz="6" w:space="0" w:color="CBD5E0"/>
          <w:bottom w:val="single" w:sz="6" w:space="0" w:color="CBD5E0"/>
          <w:insideH w:val="single" w:sz="6" w:space="0" w:color="CBD5E0"/>
          <w:insideV w:val="none"/>
          <w:left w:val="none"/>
          <w:right w:val="none"/>
        </w:tblBorders>
      </w:tblPr>
      <w:tblGrid>
        <w:gridCol w:w="1872"/>
        <w:gridCol w:w="1872"/>
        <w:gridCol w:w="1872"/>
        <w:gridCol w:w="1872"/>
        <w:gridCol w:w="1872"/>
      </w:tblGrid>
      <w:tr>
        <w:tc>
          <w:tcPr>
            <w:tcW w:type="dxa" w:w="2448"/>
            <w:shd w:fill="1A365D"/>
            <w:tcMar>
              <w:top w:w="80" w:type="dxa"/>
              <w:bottom w:w="80" w:type="dxa"/>
              <w:left w:w="90" w:type="dxa"/>
              <w:right w:w="90" w:type="dxa"/>
            </w:tcMar>
          </w:tcPr>
          <w:p>
            <w:pPr>
              <w:spacing w:after="0"/>
            </w:pPr>
            <w:r>
              <w:rPr>
                <w:b/>
                <w:color w:val="FFFFFF"/>
                <w:sz w:val="19"/>
              </w:rPr>
              <w:t>Pathological Class</w:t>
            </w:r>
          </w:p>
        </w:tc>
        <w:tc>
          <w:tcPr>
            <w:tcW w:type="dxa" w:w="1728"/>
            <w:shd w:fill="1A365D"/>
            <w:tcMar>
              <w:top w:w="80" w:type="dxa"/>
              <w:bottom w:w="80" w:type="dxa"/>
              <w:left w:w="90" w:type="dxa"/>
              <w:right w:w="90" w:type="dxa"/>
            </w:tcMar>
          </w:tcPr>
          <w:p>
            <w:pPr>
              <w:spacing w:after="0"/>
            </w:pPr>
            <w:r>
              <w:rPr>
                <w:b/>
                <w:color w:val="FFFFFF"/>
                <w:sz w:val="19"/>
              </w:rPr>
              <w:t>Precision</w:t>
            </w:r>
          </w:p>
        </w:tc>
        <w:tc>
          <w:tcPr>
            <w:tcW w:type="dxa" w:w="1728"/>
            <w:shd w:fill="1A365D"/>
            <w:tcMar>
              <w:top w:w="80" w:type="dxa"/>
              <w:bottom w:w="80" w:type="dxa"/>
              <w:left w:w="90" w:type="dxa"/>
              <w:right w:w="90" w:type="dxa"/>
            </w:tcMar>
          </w:tcPr>
          <w:p>
            <w:pPr>
              <w:spacing w:after="0"/>
            </w:pPr>
            <w:r>
              <w:rPr>
                <w:b/>
                <w:color w:val="FFFFFF"/>
                <w:sz w:val="19"/>
              </w:rPr>
              <w:t>Recall</w:t>
            </w:r>
          </w:p>
        </w:tc>
        <w:tc>
          <w:tcPr>
            <w:tcW w:type="dxa" w:w="1728"/>
            <w:shd w:fill="1A365D"/>
            <w:tcMar>
              <w:top w:w="80" w:type="dxa"/>
              <w:bottom w:w="80" w:type="dxa"/>
              <w:left w:w="90" w:type="dxa"/>
              <w:right w:w="90" w:type="dxa"/>
            </w:tcMar>
          </w:tcPr>
          <w:p>
            <w:pPr>
              <w:spacing w:after="0"/>
            </w:pPr>
            <w:r>
              <w:rPr>
                <w:b/>
                <w:color w:val="FFFFFF"/>
                <w:sz w:val="19"/>
              </w:rPr>
              <w:t>F1-Score</w:t>
            </w:r>
          </w:p>
        </w:tc>
        <w:tc>
          <w:tcPr>
            <w:tcW w:type="dxa" w:w="1728"/>
            <w:shd w:fill="1A365D"/>
            <w:tcMar>
              <w:top w:w="80" w:type="dxa"/>
              <w:bottom w:w="80" w:type="dxa"/>
              <w:left w:w="90" w:type="dxa"/>
              <w:right w:w="90" w:type="dxa"/>
            </w:tcMar>
          </w:tcPr>
          <w:p>
            <w:pPr>
              <w:spacing w:after="0"/>
            </w:pPr>
            <w:r>
              <w:rPr>
                <w:b/>
                <w:color w:val="FFFFFF"/>
                <w:sz w:val="19"/>
              </w:rPr>
              <w:t>Test Support</w:t>
            </w:r>
          </w:p>
        </w:tc>
      </w:tr>
      <w:tr>
        <w:tc>
          <w:tcPr>
            <w:tcW w:type="dxa" w:w="2448"/>
            <w:shd w:fill="FFFFFF"/>
            <w:tcMar>
              <w:top w:w="60" w:type="dxa"/>
              <w:bottom w:w="60" w:type="dxa"/>
              <w:left w:w="90" w:type="dxa"/>
              <w:right w:w="90" w:type="dxa"/>
            </w:tcMar>
          </w:tcPr>
          <w:p>
            <w:pPr>
              <w:spacing w:after="0"/>
            </w:pPr>
            <w:r>
              <w:rPr>
                <w:b/>
                <w:color w:val="2D3748"/>
                <w:sz w:val="18"/>
              </w:rPr>
              <w:t>Glioma</w:t>
            </w:r>
          </w:p>
        </w:tc>
        <w:tc>
          <w:tcPr>
            <w:tcW w:type="dxa" w:w="1728"/>
            <w:shd w:fill="FFFFFF"/>
            <w:tcMar>
              <w:top w:w="60" w:type="dxa"/>
              <w:bottom w:w="60" w:type="dxa"/>
              <w:left w:w="90" w:type="dxa"/>
              <w:right w:w="90" w:type="dxa"/>
            </w:tcMar>
          </w:tcPr>
          <w:p>
            <w:pPr>
              <w:spacing w:after="0"/>
            </w:pPr>
            <w:r>
              <w:rPr>
                <w:color w:val="2D3748"/>
                <w:sz w:val="18"/>
              </w:rPr>
              <w:t>1.00</w:t>
            </w:r>
          </w:p>
        </w:tc>
        <w:tc>
          <w:tcPr>
            <w:tcW w:type="dxa" w:w="1728"/>
            <w:shd w:fill="FFFFFF"/>
            <w:tcMar>
              <w:top w:w="60" w:type="dxa"/>
              <w:bottom w:w="60" w:type="dxa"/>
              <w:left w:w="90" w:type="dxa"/>
              <w:right w:w="90" w:type="dxa"/>
            </w:tcMar>
          </w:tcPr>
          <w:p>
            <w:pPr>
              <w:spacing w:after="0"/>
            </w:pPr>
            <w:r>
              <w:rPr>
                <w:color w:val="2D3748"/>
                <w:sz w:val="18"/>
              </w:rPr>
              <w:t>0.96</w:t>
            </w:r>
          </w:p>
        </w:tc>
        <w:tc>
          <w:tcPr>
            <w:tcW w:type="dxa" w:w="1728"/>
            <w:shd w:fill="FFFFFF"/>
            <w:tcMar>
              <w:top w:w="60" w:type="dxa"/>
              <w:bottom w:w="60" w:type="dxa"/>
              <w:left w:w="90" w:type="dxa"/>
              <w:right w:w="90" w:type="dxa"/>
            </w:tcMar>
          </w:tcPr>
          <w:p>
            <w:pPr>
              <w:spacing w:after="0"/>
            </w:pPr>
            <w:r>
              <w:rPr>
                <w:color w:val="2D3748"/>
                <w:sz w:val="18"/>
              </w:rPr>
              <w:t>0.98</w:t>
            </w:r>
          </w:p>
        </w:tc>
        <w:tc>
          <w:tcPr>
            <w:tcW w:type="dxa" w:w="1728"/>
            <w:shd w:fill="FFFFFF"/>
            <w:tcMar>
              <w:top w:w="60" w:type="dxa"/>
              <w:bottom w:w="60" w:type="dxa"/>
              <w:left w:w="90" w:type="dxa"/>
              <w:right w:w="90" w:type="dxa"/>
            </w:tcMar>
          </w:tcPr>
          <w:p>
            <w:pPr>
              <w:spacing w:after="0"/>
            </w:pPr>
            <w:r>
              <w:rPr>
                <w:color w:val="2D3748"/>
                <w:sz w:val="18"/>
              </w:rPr>
              <w:t>250</w:t>
            </w:r>
          </w:p>
        </w:tc>
      </w:tr>
      <w:tr>
        <w:tc>
          <w:tcPr>
            <w:tcW w:type="dxa" w:w="2448"/>
            <w:shd w:fill="F7FAFC"/>
            <w:tcMar>
              <w:top w:w="60" w:type="dxa"/>
              <w:bottom w:w="60" w:type="dxa"/>
              <w:left w:w="90" w:type="dxa"/>
              <w:right w:w="90" w:type="dxa"/>
            </w:tcMar>
          </w:tcPr>
          <w:p>
            <w:pPr>
              <w:spacing w:after="0"/>
            </w:pPr>
            <w:r>
              <w:rPr>
                <w:b/>
                <w:color w:val="2D3748"/>
                <w:sz w:val="18"/>
              </w:rPr>
              <w:t>Meningioma</w:t>
            </w:r>
          </w:p>
        </w:tc>
        <w:tc>
          <w:tcPr>
            <w:tcW w:type="dxa" w:w="1728"/>
            <w:shd w:fill="F7FAFC"/>
            <w:tcMar>
              <w:top w:w="60" w:type="dxa"/>
              <w:bottom w:w="60" w:type="dxa"/>
              <w:left w:w="90" w:type="dxa"/>
              <w:right w:w="90" w:type="dxa"/>
            </w:tcMar>
          </w:tcPr>
          <w:p>
            <w:pPr>
              <w:spacing w:after="0"/>
            </w:pPr>
            <w:r>
              <w:rPr>
                <w:color w:val="2D3748"/>
                <w:sz w:val="18"/>
              </w:rPr>
              <w:t>0.97</w:t>
            </w:r>
          </w:p>
        </w:tc>
        <w:tc>
          <w:tcPr>
            <w:tcW w:type="dxa" w:w="1728"/>
            <w:shd w:fill="F7FAFC"/>
            <w:tcMar>
              <w:top w:w="60" w:type="dxa"/>
              <w:bottom w:w="60" w:type="dxa"/>
              <w:left w:w="90" w:type="dxa"/>
              <w:right w:w="90" w:type="dxa"/>
            </w:tcMar>
          </w:tcPr>
          <w:p>
            <w:pPr>
              <w:spacing w:after="0"/>
            </w:pPr>
            <w:r>
              <w:rPr>
                <w:color w:val="2D3748"/>
                <w:sz w:val="18"/>
              </w:rPr>
              <w:t>0.98</w:t>
            </w:r>
          </w:p>
        </w:tc>
        <w:tc>
          <w:tcPr>
            <w:tcW w:type="dxa" w:w="1728"/>
            <w:shd w:fill="F7FAFC"/>
            <w:tcMar>
              <w:top w:w="60" w:type="dxa"/>
              <w:bottom w:w="60" w:type="dxa"/>
              <w:left w:w="90" w:type="dxa"/>
              <w:right w:w="90" w:type="dxa"/>
            </w:tcMar>
          </w:tcPr>
          <w:p>
            <w:pPr>
              <w:spacing w:after="0"/>
            </w:pPr>
            <w:r>
              <w:rPr>
                <w:color w:val="2D3748"/>
                <w:sz w:val="18"/>
              </w:rPr>
              <w:t>0.97</w:t>
            </w:r>
          </w:p>
        </w:tc>
        <w:tc>
          <w:tcPr>
            <w:tcW w:type="dxa" w:w="1728"/>
            <w:shd w:fill="F7FAFC"/>
            <w:tcMar>
              <w:top w:w="60" w:type="dxa"/>
              <w:bottom w:w="60" w:type="dxa"/>
              <w:left w:w="90" w:type="dxa"/>
              <w:right w:w="90" w:type="dxa"/>
            </w:tcMar>
          </w:tcPr>
          <w:p>
            <w:pPr>
              <w:spacing w:after="0"/>
            </w:pPr>
            <w:r>
              <w:rPr>
                <w:color w:val="2D3748"/>
                <w:sz w:val="18"/>
              </w:rPr>
              <w:t>300</w:t>
            </w:r>
          </w:p>
        </w:tc>
      </w:tr>
      <w:tr>
        <w:tc>
          <w:tcPr>
            <w:tcW w:type="dxa" w:w="2448"/>
            <w:shd w:fill="FFFFFF"/>
            <w:tcMar>
              <w:top w:w="60" w:type="dxa"/>
              <w:bottom w:w="60" w:type="dxa"/>
              <w:left w:w="90" w:type="dxa"/>
              <w:right w:w="90" w:type="dxa"/>
            </w:tcMar>
          </w:tcPr>
          <w:p>
            <w:pPr>
              <w:spacing w:after="0"/>
            </w:pPr>
            <w:r>
              <w:rPr>
                <w:b/>
                <w:color w:val="2D3748"/>
                <w:sz w:val="18"/>
              </w:rPr>
              <w:t>No Tumor (Healthy)</w:t>
            </w:r>
          </w:p>
        </w:tc>
        <w:tc>
          <w:tcPr>
            <w:tcW w:type="dxa" w:w="1728"/>
            <w:shd w:fill="FFFFFF"/>
            <w:tcMar>
              <w:top w:w="60" w:type="dxa"/>
              <w:bottom w:w="60" w:type="dxa"/>
              <w:left w:w="90" w:type="dxa"/>
              <w:right w:w="90" w:type="dxa"/>
            </w:tcMar>
          </w:tcPr>
          <w:p>
            <w:pPr>
              <w:spacing w:after="0"/>
            </w:pPr>
            <w:r>
              <w:rPr>
                <w:color w:val="2D3748"/>
                <w:sz w:val="18"/>
              </w:rPr>
              <w:t>0.97</w:t>
            </w:r>
          </w:p>
        </w:tc>
        <w:tc>
          <w:tcPr>
            <w:tcW w:type="dxa" w:w="1728"/>
            <w:shd w:fill="FFFFFF"/>
            <w:tcMar>
              <w:top w:w="60" w:type="dxa"/>
              <w:bottom w:w="60" w:type="dxa"/>
              <w:left w:w="90" w:type="dxa"/>
              <w:right w:w="90" w:type="dxa"/>
            </w:tcMar>
          </w:tcPr>
          <w:p>
            <w:pPr>
              <w:spacing w:after="0"/>
            </w:pPr>
            <w:r>
              <w:rPr>
                <w:color w:val="2D3748"/>
                <w:sz w:val="18"/>
              </w:rPr>
              <w:t>1.00</w:t>
            </w:r>
          </w:p>
        </w:tc>
        <w:tc>
          <w:tcPr>
            <w:tcW w:type="dxa" w:w="1728"/>
            <w:shd w:fill="FFFFFF"/>
            <w:tcMar>
              <w:top w:w="60" w:type="dxa"/>
              <w:bottom w:w="60" w:type="dxa"/>
              <w:left w:w="90" w:type="dxa"/>
              <w:right w:w="90" w:type="dxa"/>
            </w:tcMar>
          </w:tcPr>
          <w:p>
            <w:pPr>
              <w:spacing w:after="0"/>
            </w:pPr>
            <w:r>
              <w:rPr>
                <w:color w:val="2D3748"/>
                <w:sz w:val="18"/>
              </w:rPr>
              <w:t>0.99</w:t>
            </w:r>
          </w:p>
        </w:tc>
        <w:tc>
          <w:tcPr>
            <w:tcW w:type="dxa" w:w="1728"/>
            <w:shd w:fill="FFFFFF"/>
            <w:tcMar>
              <w:top w:w="60" w:type="dxa"/>
              <w:bottom w:w="60" w:type="dxa"/>
              <w:left w:w="90" w:type="dxa"/>
              <w:right w:w="90" w:type="dxa"/>
            </w:tcMar>
          </w:tcPr>
          <w:p>
            <w:pPr>
              <w:spacing w:after="0"/>
            </w:pPr>
            <w:r>
              <w:rPr>
                <w:color w:val="2D3748"/>
                <w:sz w:val="18"/>
              </w:rPr>
              <w:t>140</w:t>
            </w:r>
          </w:p>
        </w:tc>
      </w:tr>
      <w:tr>
        <w:tc>
          <w:tcPr>
            <w:tcW w:type="dxa" w:w="2448"/>
            <w:shd w:fill="F7FAFC"/>
            <w:tcMar>
              <w:top w:w="60" w:type="dxa"/>
              <w:bottom w:w="60" w:type="dxa"/>
              <w:left w:w="90" w:type="dxa"/>
              <w:right w:w="90" w:type="dxa"/>
            </w:tcMar>
          </w:tcPr>
          <w:p>
            <w:pPr>
              <w:spacing w:after="0"/>
            </w:pPr>
            <w:r>
              <w:rPr>
                <w:b/>
                <w:color w:val="2D3748"/>
                <w:sz w:val="18"/>
              </w:rPr>
              <w:t>Pituitary Adenoma</w:t>
            </w:r>
          </w:p>
        </w:tc>
        <w:tc>
          <w:tcPr>
            <w:tcW w:type="dxa" w:w="1728"/>
            <w:shd w:fill="F7FAFC"/>
            <w:tcMar>
              <w:top w:w="60" w:type="dxa"/>
              <w:bottom w:w="60" w:type="dxa"/>
              <w:left w:w="90" w:type="dxa"/>
              <w:right w:w="90" w:type="dxa"/>
            </w:tcMar>
          </w:tcPr>
          <w:p>
            <w:pPr>
              <w:spacing w:after="0"/>
            </w:pPr>
            <w:r>
              <w:rPr>
                <w:color w:val="2D3748"/>
                <w:sz w:val="18"/>
              </w:rPr>
              <w:t>0.99</w:t>
            </w:r>
          </w:p>
        </w:tc>
        <w:tc>
          <w:tcPr>
            <w:tcW w:type="dxa" w:w="1728"/>
            <w:shd w:fill="F7FAFC"/>
            <w:tcMar>
              <w:top w:w="60" w:type="dxa"/>
              <w:bottom w:w="60" w:type="dxa"/>
              <w:left w:w="90" w:type="dxa"/>
              <w:right w:w="90" w:type="dxa"/>
            </w:tcMar>
          </w:tcPr>
          <w:p>
            <w:pPr>
              <w:spacing w:after="0"/>
            </w:pPr>
            <w:r>
              <w:rPr>
                <w:color w:val="2D3748"/>
                <w:sz w:val="18"/>
              </w:rPr>
              <w:t>1.00</w:t>
            </w:r>
          </w:p>
        </w:tc>
        <w:tc>
          <w:tcPr>
            <w:tcW w:type="dxa" w:w="1728"/>
            <w:shd w:fill="F7FAFC"/>
            <w:tcMar>
              <w:top w:w="60" w:type="dxa"/>
              <w:bottom w:w="60" w:type="dxa"/>
              <w:left w:w="90" w:type="dxa"/>
              <w:right w:w="90" w:type="dxa"/>
            </w:tcMar>
          </w:tcPr>
          <w:p>
            <w:pPr>
              <w:spacing w:after="0"/>
            </w:pPr>
            <w:r>
              <w:rPr>
                <w:color w:val="2D3748"/>
                <w:sz w:val="18"/>
              </w:rPr>
              <w:t>0.99</w:t>
            </w:r>
          </w:p>
        </w:tc>
        <w:tc>
          <w:tcPr>
            <w:tcW w:type="dxa" w:w="1728"/>
            <w:shd w:fill="F7FAFC"/>
            <w:tcMar>
              <w:top w:w="60" w:type="dxa"/>
              <w:bottom w:w="60" w:type="dxa"/>
              <w:left w:w="90" w:type="dxa"/>
              <w:right w:w="90" w:type="dxa"/>
            </w:tcMar>
          </w:tcPr>
          <w:p>
            <w:pPr>
              <w:spacing w:after="0"/>
            </w:pPr>
            <w:r>
              <w:rPr>
                <w:color w:val="2D3748"/>
                <w:sz w:val="18"/>
              </w:rPr>
              <w:t>299</w:t>
            </w:r>
          </w:p>
        </w:tc>
      </w:tr>
      <w:tr>
        <w:tc>
          <w:tcPr>
            <w:tcW w:type="dxa" w:w="2448"/>
            <w:shd w:fill="FFFFFF"/>
            <w:tcMar>
              <w:top w:w="60" w:type="dxa"/>
              <w:bottom w:w="60" w:type="dxa"/>
              <w:left w:w="90" w:type="dxa"/>
              <w:right w:w="90" w:type="dxa"/>
            </w:tcMar>
          </w:tcPr>
          <w:p>
            <w:pPr>
              <w:spacing w:after="0"/>
            </w:pPr>
            <w:r>
              <w:rPr>
                <w:b/>
                <w:color w:val="2D3748"/>
                <w:sz w:val="18"/>
              </w:rPr>
              <w:t>Macro Average</w:t>
            </w:r>
          </w:p>
        </w:tc>
        <w:tc>
          <w:tcPr>
            <w:tcW w:type="dxa" w:w="1728"/>
            <w:shd w:fill="FFFFFF"/>
            <w:tcMar>
              <w:top w:w="60" w:type="dxa"/>
              <w:bottom w:w="60" w:type="dxa"/>
              <w:left w:w="90" w:type="dxa"/>
              <w:right w:w="90" w:type="dxa"/>
            </w:tcMar>
          </w:tcPr>
          <w:p>
            <w:pPr>
              <w:spacing w:after="0"/>
            </w:pPr>
            <w:r>
              <w:rPr>
                <w:color w:val="2D3748"/>
                <w:sz w:val="18"/>
              </w:rPr>
              <w:t>0.98</w:t>
            </w:r>
          </w:p>
        </w:tc>
        <w:tc>
          <w:tcPr>
            <w:tcW w:type="dxa" w:w="1728"/>
            <w:shd w:fill="FFFFFF"/>
            <w:tcMar>
              <w:top w:w="60" w:type="dxa"/>
              <w:bottom w:w="60" w:type="dxa"/>
              <w:left w:w="90" w:type="dxa"/>
              <w:right w:w="90" w:type="dxa"/>
            </w:tcMar>
          </w:tcPr>
          <w:p>
            <w:pPr>
              <w:spacing w:after="0"/>
            </w:pPr>
            <w:r>
              <w:rPr>
                <w:color w:val="2D3748"/>
                <w:sz w:val="18"/>
              </w:rPr>
              <w:t>0.98</w:t>
            </w:r>
          </w:p>
        </w:tc>
        <w:tc>
          <w:tcPr>
            <w:tcW w:type="dxa" w:w="1728"/>
            <w:shd w:fill="FFFFFF"/>
            <w:tcMar>
              <w:top w:w="60" w:type="dxa"/>
              <w:bottom w:w="60" w:type="dxa"/>
              <w:left w:w="90" w:type="dxa"/>
              <w:right w:w="90" w:type="dxa"/>
            </w:tcMar>
          </w:tcPr>
          <w:p>
            <w:pPr>
              <w:spacing w:after="0"/>
            </w:pPr>
            <w:r>
              <w:rPr>
                <w:color w:val="2D3748"/>
                <w:sz w:val="18"/>
              </w:rPr>
              <w:t>0.98</w:t>
            </w:r>
          </w:p>
        </w:tc>
        <w:tc>
          <w:tcPr>
            <w:tcW w:type="dxa" w:w="1728"/>
            <w:shd w:fill="FFFFFF"/>
            <w:tcMar>
              <w:top w:w="60" w:type="dxa"/>
              <w:bottom w:w="60" w:type="dxa"/>
              <w:left w:w="90" w:type="dxa"/>
              <w:right w:w="90" w:type="dxa"/>
            </w:tcMar>
          </w:tcPr>
          <w:p>
            <w:pPr>
              <w:spacing w:after="0"/>
            </w:pPr>
            <w:r>
              <w:rPr>
                <w:color w:val="2D3748"/>
                <w:sz w:val="18"/>
              </w:rPr>
              <w:t>989</w:t>
            </w:r>
          </w:p>
        </w:tc>
      </w:tr>
      <w:tr>
        <w:tc>
          <w:tcPr>
            <w:tcW w:type="dxa" w:w="2448"/>
            <w:shd w:fill="F7FAFC"/>
            <w:tcMar>
              <w:top w:w="60" w:type="dxa"/>
              <w:bottom w:w="60" w:type="dxa"/>
              <w:left w:w="90" w:type="dxa"/>
              <w:right w:w="90" w:type="dxa"/>
            </w:tcMar>
          </w:tcPr>
          <w:p>
            <w:pPr>
              <w:spacing w:after="0"/>
            </w:pPr>
            <w:r>
              <w:rPr>
                <w:b/>
                <w:color w:val="2D3748"/>
                <w:sz w:val="18"/>
              </w:rPr>
              <w:t>Weighted Average</w:t>
            </w:r>
          </w:p>
        </w:tc>
        <w:tc>
          <w:tcPr>
            <w:tcW w:type="dxa" w:w="1728"/>
            <w:shd w:fill="F7FAFC"/>
            <w:tcMar>
              <w:top w:w="60" w:type="dxa"/>
              <w:bottom w:w="60" w:type="dxa"/>
              <w:left w:w="90" w:type="dxa"/>
              <w:right w:w="90" w:type="dxa"/>
            </w:tcMar>
          </w:tcPr>
          <w:p>
            <w:pPr>
              <w:spacing w:after="0"/>
            </w:pPr>
            <w:r>
              <w:rPr>
                <w:color w:val="2D3748"/>
                <w:sz w:val="18"/>
              </w:rPr>
              <w:t>0.98</w:t>
            </w:r>
          </w:p>
        </w:tc>
        <w:tc>
          <w:tcPr>
            <w:tcW w:type="dxa" w:w="1728"/>
            <w:shd w:fill="F7FAFC"/>
            <w:tcMar>
              <w:top w:w="60" w:type="dxa"/>
              <w:bottom w:w="60" w:type="dxa"/>
              <w:left w:w="90" w:type="dxa"/>
              <w:right w:w="90" w:type="dxa"/>
            </w:tcMar>
          </w:tcPr>
          <w:p>
            <w:pPr>
              <w:spacing w:after="0"/>
            </w:pPr>
            <w:r>
              <w:rPr>
                <w:color w:val="2D3748"/>
                <w:sz w:val="18"/>
              </w:rPr>
              <w:t>0.98</w:t>
            </w:r>
          </w:p>
        </w:tc>
        <w:tc>
          <w:tcPr>
            <w:tcW w:type="dxa" w:w="1728"/>
            <w:shd w:fill="F7FAFC"/>
            <w:tcMar>
              <w:top w:w="60" w:type="dxa"/>
              <w:bottom w:w="60" w:type="dxa"/>
              <w:left w:w="90" w:type="dxa"/>
              <w:right w:w="90" w:type="dxa"/>
            </w:tcMar>
          </w:tcPr>
          <w:p>
            <w:pPr>
              <w:spacing w:after="0"/>
            </w:pPr>
            <w:r>
              <w:rPr>
                <w:color w:val="2D3748"/>
                <w:sz w:val="18"/>
              </w:rPr>
              <w:t>0.98</w:t>
            </w:r>
          </w:p>
        </w:tc>
        <w:tc>
          <w:tcPr>
            <w:tcW w:type="dxa" w:w="1728"/>
            <w:shd w:fill="F7FAFC"/>
            <w:tcMar>
              <w:top w:w="60" w:type="dxa"/>
              <w:bottom w:w="60" w:type="dxa"/>
              <w:left w:w="90" w:type="dxa"/>
              <w:right w:w="90" w:type="dxa"/>
            </w:tcMar>
          </w:tcPr>
          <w:p>
            <w:pPr>
              <w:spacing w:after="0"/>
            </w:pPr>
            <w:r>
              <w:rPr>
                <w:color w:val="2D3748"/>
                <w:sz w:val="18"/>
              </w:rPr>
              <w:t>989</w:t>
            </w:r>
          </w:p>
        </w:tc>
      </w:tr>
    </w:tbl>
    <w:p>
      <w:pPr>
        <w:spacing w:after="160"/>
      </w:pPr>
    </w:p>
    <w:tbl>
      <w:tblPr>
        <w:tblW w:type="auto" w:w="0"/>
        <w:jc w:val="center"/>
        <w:tblLook w:firstColumn="1" w:firstRow="1" w:lastColumn="0" w:lastRow="0" w:noHBand="0" w:noVBand="1" w:val="04A0"/>
      </w:tblPr>
      <w:tblGrid>
        <w:gridCol w:w="9360"/>
      </w:tblGrid>
      <w:tr>
        <w:tc>
          <w:tcPr>
            <w:tcW w:type="dxa" w:w="9360"/>
            <w:shd w:fill="EBF8FF"/>
            <w:tcMar>
              <w:top w:w="100" w:type="dxa"/>
              <w:bottom w:w="100" w:type="dxa"/>
              <w:left w:w="140" w:type="dxa"/>
              <w:right w:w="140" w:type="dxa"/>
            </w:tcMar>
            <w:tcBorders>
              <w:left w:val="single" w:sz="24" w:space="0" w:color="2B6CB0"/>
              <w:top w:val="none"/>
              <w:right w:val="none"/>
              <w:bottom w:val="none"/>
            </w:tcBorders>
          </w:tcPr>
          <w:p>
            <w:pPr>
              <w:spacing w:after="40"/>
            </w:pPr>
            <w:r>
              <w:rPr>
                <w:b/>
                <w:color w:val="2B6CB0"/>
                <w:sz w:val="21"/>
              </w:rPr>
              <w:t>★  CRITICAL CLINICAL SAFETY METRIC: 100% RECALL ON NORMAL SCANS</w:t>
              <w:br/>
            </w:r>
            <w:r>
              <w:rPr>
                <w:color w:val="2D3748"/>
                <w:sz w:val="20"/>
              </w:rPr>
              <w:t>In diagnostic screening, the deadliest error is a False Negative on normal tissue (diagnosing a healthy brain as tumored, or missing a tumor entirely). EfficientNet-B0 achieved a perfect 1.00 Recall (100%) on 'no_tumor' scans, ensuring that zero non-pathological brains are misclassified as malignancies, while maintaining 1.00 Precision on Gliomas.</w:t>
            </w:r>
          </w:p>
        </w:tc>
      </w:tr>
    </w:tbl>
    <w:p>
      <w:pPr>
        <w:spacing w:after="120"/>
      </w:pPr>
    </w:p>
    <w:p>
      <w:pPr>
        <w:spacing w:before="160" w:after="40"/>
        <w:jc w:val="center"/>
      </w:pPr>
      <w:r>
        <w:drawing>
          <wp:inline xmlns:a="http://schemas.openxmlformats.org/drawingml/2006/main" xmlns:pic="http://schemas.openxmlformats.org/drawingml/2006/picture">
            <wp:extent cx="5669280" cy="1999962"/>
            <wp:docPr id="1" name="Picture 1"/>
            <wp:cNvGraphicFramePr>
              <a:graphicFrameLocks noChangeAspect="1"/>
            </wp:cNvGraphicFramePr>
            <a:graphic>
              <a:graphicData uri="http://schemas.openxmlformats.org/drawingml/2006/picture">
                <pic:pic>
                  <pic:nvPicPr>
                    <pic:cNvPr id="0" name="clf_training_curves.png"/>
                    <pic:cNvPicPr/>
                  </pic:nvPicPr>
                  <pic:blipFill>
                    <a:blip r:embed="rId9"/>
                    <a:stretch>
                      <a:fillRect/>
                    </a:stretch>
                  </pic:blipFill>
                  <pic:spPr>
                    <a:xfrm>
                      <a:off x="0" y="0"/>
                      <a:ext cx="5669280" cy="1999962"/>
                    </a:xfrm>
                    <a:prstGeom prst="rect"/>
                  </pic:spPr>
                </pic:pic>
              </a:graphicData>
            </a:graphic>
          </wp:inline>
        </w:drawing>
      </w:r>
    </w:p>
    <w:p>
      <w:pPr>
        <w:spacing w:after="200"/>
        <w:jc w:val="center"/>
      </w:pPr>
      <w:r>
        <w:rPr>
          <w:i/>
          <w:color w:val="718096"/>
          <w:sz w:val="18"/>
        </w:rPr>
        <w:t>Figure: EfficientNet-B0 Training &amp; Validation Curves (Loss, Accuracy, and Macro-F1 across 20 epochs).</w:t>
      </w:r>
    </w:p>
    <w:p>
      <w:pPr>
        <w:spacing w:before="160" w:after="40"/>
        <w:jc w:val="center"/>
      </w:pPr>
      <w:r>
        <w:drawing>
          <wp:inline xmlns:a="http://schemas.openxmlformats.org/drawingml/2006/main" xmlns:pic="http://schemas.openxmlformats.org/drawingml/2006/picture">
            <wp:extent cx="4754880" cy="4269984"/>
            <wp:docPr id="2" name="Picture 2"/>
            <wp:cNvGraphicFramePr>
              <a:graphicFrameLocks noChangeAspect="1"/>
            </wp:cNvGraphicFramePr>
            <a:graphic>
              <a:graphicData uri="http://schemas.openxmlformats.org/drawingml/2006/picture">
                <pic:pic>
                  <pic:nvPicPr>
                    <pic:cNvPr id="0" name="clf_confusion_matrix.png"/>
                    <pic:cNvPicPr/>
                  </pic:nvPicPr>
                  <pic:blipFill>
                    <a:blip r:embed="rId10"/>
                    <a:stretch>
                      <a:fillRect/>
                    </a:stretch>
                  </pic:blipFill>
                  <pic:spPr>
                    <a:xfrm>
                      <a:off x="0" y="0"/>
                      <a:ext cx="4754880" cy="4269984"/>
                    </a:xfrm>
                    <a:prstGeom prst="rect"/>
                  </pic:spPr>
                </pic:pic>
              </a:graphicData>
            </a:graphic>
          </wp:inline>
        </w:drawing>
      </w:r>
    </w:p>
    <w:p>
      <w:pPr>
        <w:spacing w:after="200"/>
        <w:jc w:val="center"/>
      </w:pPr>
      <w:r>
        <w:rPr>
          <w:i/>
          <w:color w:val="718096"/>
          <w:sz w:val="18"/>
        </w:rPr>
        <w:t>Figure: Test Set Confusion Matrix for 4-Class Brain MRI Classification (1,000 test slices).</w:t>
      </w:r>
    </w:p>
    <w:p>
      <w:pPr>
        <w:keepNext/>
        <w:spacing w:before="320" w:after="120"/>
      </w:pPr>
      <w:r>
        <w:rPr>
          <w:rFonts w:ascii="Calibri" w:hAnsi="Calibri"/>
          <w:b/>
          <w:color w:val="1A365D"/>
          <w:sz w:val="32"/>
        </w:rPr>
        <w:t>4. Phase 2: Baseline Lesion Segmentation (Standard U-Net)</w:t>
      </w:r>
    </w:p>
    <w:p>
      <w:pPr>
        <w:keepNext/>
        <w:spacing w:before="240" w:after="80"/>
      </w:pPr>
      <w:r>
        <w:rPr>
          <w:rFonts w:ascii="Calibri" w:hAnsi="Calibri"/>
          <w:b/>
          <w:color w:val="2B6CB0"/>
          <w:sz w:val="26"/>
        </w:rPr>
        <w:t>4.1 Classical U-Net Architecture</w:t>
      </w:r>
    </w:p>
    <w:p>
      <w:r>
        <w:t>Our baseline segmentation subsystem is built on the classic U-Net architecture (Ronneberger et al., 2015). Operating on 256×256 input slices, the network extracts hierarchical spatial features through an encoder contracting path, a compressed bottleneck, and an expanding decoder path that recovers full spatial resolution via bilinear upsampling and skip connections.</w:t>
      </w:r>
    </w:p>
    <w:p>
      <w:pPr>
        <w:pStyle w:val="ListBullet"/>
        <w:spacing w:after="60"/>
      </w:pPr>
      <w:r>
        <w:rPr>
          <w:b/>
          <w:color w:val="1A365D"/>
        </w:rPr>
        <w:t xml:space="preserve">Encoder Stages: </w:t>
      </w:r>
      <w:r>
        <w:t>Four contracting blocks (enc1 to enc4) using standard DoubleConv (Conv3×3 → BatchNorm → ReLU × 2) and MaxPool2d (2×2).</w:t>
      </w:r>
    </w:p>
    <w:p>
      <w:pPr>
        <w:pStyle w:val="ListBullet"/>
        <w:spacing w:after="60"/>
      </w:pPr>
      <w:r>
        <w:rPr>
          <w:b/>
          <w:color w:val="1A365D"/>
        </w:rPr>
        <w:t xml:space="preserve">Channel Progression: </w:t>
      </w:r>
      <w:r>
        <w:t>3 → 32 → 64 → 128 → 256 → 512 (Bottleneck: 512 feature maps at 16×16 spatial resolution, base_features=32).</w:t>
      </w:r>
    </w:p>
    <w:p>
      <w:pPr>
        <w:pStyle w:val="ListBullet"/>
        <w:spacing w:after="60"/>
      </w:pPr>
      <w:r>
        <w:rPr>
          <w:b/>
          <w:color w:val="1A365D"/>
        </w:rPr>
        <w:t xml:space="preserve">Decoder Path: </w:t>
      </w:r>
      <w:r>
        <w:t>Four expanding stages (dec4 to dec1) concatenating encoder skip connections with upsampled feature maps.</w:t>
      </w:r>
    </w:p>
    <w:p>
      <w:pPr>
        <w:pStyle w:val="ListBullet"/>
        <w:spacing w:after="60"/>
      </w:pPr>
      <w:r>
        <w:rPr>
          <w:b/>
          <w:color w:val="1A365D"/>
        </w:rPr>
        <w:t xml:space="preserve">Complexity Profile: </w:t>
      </w:r>
      <w:r>
        <w:t>7,849,601 trainable parameters (7.85M), requiring ~31.5 MB storage.</w:t>
      </w:r>
    </w:p>
    <w:p>
      <w:pPr>
        <w:keepNext/>
        <w:spacing w:before="240" w:after="80"/>
      </w:pPr>
      <w:r>
        <w:rPr>
          <w:rFonts w:ascii="Calibri" w:hAnsi="Calibri"/>
          <w:b/>
          <w:color w:val="2B6CB0"/>
          <w:sz w:val="26"/>
        </w:rPr>
        <w:t>4.2 Hybrid Loss Formulation (Dice + BCE)</w:t>
      </w:r>
    </w:p>
    <w:p>
      <w:r>
        <w:t>Brain tumors occupy on average less than 6% of an axial MRI slice. Training with standard pixel-wise Binary Cross-Entropy (BCE) results in the severe background class-imbalance problem, where a model predicting pure background achieves 94% raw accuracy. We formulated a combined hybrid loss function balancing global overlap optimization and smooth gradient descent:</w:t>
      </w:r>
    </w:p>
    <w:p>
      <w:r>
        <w:t>ℒ_Combined = 0.5 × ℒ_BCE + 0.5 × ℒ_Dice</w:t>
        <w:br/>
        <w:t>where ℒ_Dice = 1 − (2|P ∩ G| + ε) / (|P| + |G| + ε), with ε = 1.0 to prevent division by zero.</w:t>
      </w:r>
    </w:p>
    <w:p>
      <w:pPr>
        <w:keepNext/>
        <w:spacing w:before="240" w:after="80"/>
      </w:pPr>
      <w:r>
        <w:rPr>
          <w:rFonts w:ascii="Calibri" w:hAnsi="Calibri"/>
          <w:b/>
          <w:color w:val="2B6CB0"/>
          <w:sz w:val="26"/>
        </w:rPr>
        <w:t>4.3 Baseline Empirical Performance</w:t>
      </w:r>
    </w:p>
    <w:p>
      <w:r>
        <w:t>Trained for 40 epochs with Adam (LR: 1e-4) and ReduceLROnPlateau scheduler, the baseline model achieved strong segmentation results across the 860 test slices of the BRISC 2025 segmentation task.</w:t>
      </w:r>
    </w:p>
    <w:tbl>
      <w:tblPr>
        <w:tblW w:type="auto" w:w="0"/>
        <w:jc w:val="center"/>
        <w:tblLook w:firstColumn="1" w:firstRow="1" w:lastColumn="0" w:lastRow="0" w:noHBand="0" w:noVBand="1" w:val="04A0"/>
        <w:tblBorders>
          <w:top w:val="single" w:sz="6" w:space="0" w:color="CBD5E0"/>
          <w:bottom w:val="single" w:sz="6" w:space="0" w:color="CBD5E0"/>
          <w:insideH w:val="single" w:sz="6" w:space="0" w:color="CBD5E0"/>
          <w:insideV w:val="none"/>
          <w:left w:val="none"/>
          <w:right w:val="none"/>
        </w:tblBorders>
      </w:tblPr>
      <w:tblGrid>
        <w:gridCol w:w="3120"/>
        <w:gridCol w:w="3120"/>
        <w:gridCol w:w="3120"/>
      </w:tblGrid>
      <w:tr>
        <w:tc>
          <w:tcPr>
            <w:tcW w:type="dxa" w:w="3168"/>
            <w:shd w:fill="1A365D"/>
            <w:tcMar>
              <w:top w:w="80" w:type="dxa"/>
              <w:bottom w:w="80" w:type="dxa"/>
              <w:left w:w="90" w:type="dxa"/>
              <w:right w:w="90" w:type="dxa"/>
            </w:tcMar>
          </w:tcPr>
          <w:p>
            <w:pPr>
              <w:spacing w:after="0"/>
            </w:pPr>
            <w:r>
              <w:rPr>
                <w:b/>
                <w:color w:val="FFFFFF"/>
                <w:sz w:val="19"/>
              </w:rPr>
              <w:t>Baseline Metric</w:t>
            </w:r>
          </w:p>
        </w:tc>
        <w:tc>
          <w:tcPr>
            <w:tcW w:type="dxa" w:w="1872"/>
            <w:shd w:fill="1A365D"/>
            <w:tcMar>
              <w:top w:w="80" w:type="dxa"/>
              <w:bottom w:w="80" w:type="dxa"/>
              <w:left w:w="90" w:type="dxa"/>
              <w:right w:w="90" w:type="dxa"/>
            </w:tcMar>
          </w:tcPr>
          <w:p>
            <w:pPr>
              <w:spacing w:after="0"/>
            </w:pPr>
            <w:r>
              <w:rPr>
                <w:b/>
                <w:color w:val="FFFFFF"/>
                <w:sz w:val="19"/>
              </w:rPr>
              <w:t>Empirical Value</w:t>
            </w:r>
          </w:p>
        </w:tc>
        <w:tc>
          <w:tcPr>
            <w:tcW w:type="dxa" w:w="4320"/>
            <w:shd w:fill="1A365D"/>
            <w:tcMar>
              <w:top w:w="80" w:type="dxa"/>
              <w:bottom w:w="80" w:type="dxa"/>
              <w:left w:w="90" w:type="dxa"/>
              <w:right w:w="90" w:type="dxa"/>
            </w:tcMar>
          </w:tcPr>
          <w:p>
            <w:pPr>
              <w:spacing w:after="0"/>
            </w:pPr>
            <w:r>
              <w:rPr>
                <w:b/>
                <w:color w:val="FFFFFF"/>
                <w:sz w:val="19"/>
              </w:rPr>
              <w:t>Analytical Assessment</w:t>
            </w:r>
          </w:p>
        </w:tc>
      </w:tr>
      <w:tr>
        <w:tc>
          <w:tcPr>
            <w:tcW w:type="dxa" w:w="3168"/>
            <w:shd w:fill="FFFFFF"/>
            <w:tcMar>
              <w:top w:w="60" w:type="dxa"/>
              <w:bottom w:w="60" w:type="dxa"/>
              <w:left w:w="90" w:type="dxa"/>
              <w:right w:w="90" w:type="dxa"/>
            </w:tcMar>
          </w:tcPr>
          <w:p>
            <w:pPr>
              <w:spacing w:after="0"/>
            </w:pPr>
            <w:r>
              <w:rPr>
                <w:b/>
                <w:color w:val="2D3748"/>
                <w:sz w:val="18"/>
              </w:rPr>
              <w:t>Test Mean Dice Score</w:t>
            </w:r>
          </w:p>
        </w:tc>
        <w:tc>
          <w:tcPr>
            <w:tcW w:type="dxa" w:w="1872"/>
            <w:shd w:fill="FFFFFF"/>
            <w:tcMar>
              <w:top w:w="60" w:type="dxa"/>
              <w:bottom w:w="60" w:type="dxa"/>
              <w:left w:w="90" w:type="dxa"/>
              <w:right w:w="90" w:type="dxa"/>
            </w:tcMar>
          </w:tcPr>
          <w:p>
            <w:pPr>
              <w:spacing w:after="0"/>
            </w:pPr>
            <w:r>
              <w:rPr>
                <w:color w:val="2D3748"/>
                <w:sz w:val="18"/>
              </w:rPr>
              <w:t>86.79%</w:t>
            </w:r>
          </w:p>
        </w:tc>
        <w:tc>
          <w:tcPr>
            <w:tcW w:type="dxa" w:w="4320"/>
            <w:shd w:fill="FFFFFF"/>
            <w:tcMar>
              <w:top w:w="60" w:type="dxa"/>
              <w:bottom w:w="60" w:type="dxa"/>
              <w:left w:w="90" w:type="dxa"/>
              <w:right w:w="90" w:type="dxa"/>
            </w:tcMar>
          </w:tcPr>
          <w:p>
            <w:pPr>
              <w:spacing w:after="0"/>
            </w:pPr>
            <w:r>
              <w:rPr>
                <w:color w:val="2D3748"/>
                <w:sz w:val="18"/>
              </w:rPr>
              <w:t>Strong average pixel-wise overlap with ground-truth radiologist annotations</w:t>
            </w:r>
          </w:p>
        </w:tc>
      </w:tr>
      <w:tr>
        <w:tc>
          <w:tcPr>
            <w:tcW w:type="dxa" w:w="3168"/>
            <w:shd w:fill="F7FAFC"/>
            <w:tcMar>
              <w:top w:w="60" w:type="dxa"/>
              <w:bottom w:w="60" w:type="dxa"/>
              <w:left w:w="90" w:type="dxa"/>
              <w:right w:w="90" w:type="dxa"/>
            </w:tcMar>
          </w:tcPr>
          <w:p>
            <w:pPr>
              <w:spacing w:after="0"/>
            </w:pPr>
            <w:r>
              <w:rPr>
                <w:b/>
                <w:color w:val="2D3748"/>
                <w:sz w:val="18"/>
              </w:rPr>
              <w:t>Test Median Dice Score</w:t>
            </w:r>
          </w:p>
        </w:tc>
        <w:tc>
          <w:tcPr>
            <w:tcW w:type="dxa" w:w="1872"/>
            <w:shd w:fill="F7FAFC"/>
            <w:tcMar>
              <w:top w:w="60" w:type="dxa"/>
              <w:bottom w:w="60" w:type="dxa"/>
              <w:left w:w="90" w:type="dxa"/>
              <w:right w:w="90" w:type="dxa"/>
            </w:tcMar>
          </w:tcPr>
          <w:p>
            <w:pPr>
              <w:spacing w:after="0"/>
            </w:pPr>
            <w:r>
              <w:rPr>
                <w:color w:val="2D3748"/>
                <w:sz w:val="18"/>
              </w:rPr>
              <w:t>93.86%</w:t>
            </w:r>
          </w:p>
        </w:tc>
        <w:tc>
          <w:tcPr>
            <w:tcW w:type="dxa" w:w="4320"/>
            <w:shd w:fill="F7FAFC"/>
            <w:tcMar>
              <w:top w:w="60" w:type="dxa"/>
              <w:bottom w:w="60" w:type="dxa"/>
              <w:left w:w="90" w:type="dxa"/>
              <w:right w:w="90" w:type="dxa"/>
            </w:tcMar>
          </w:tcPr>
          <w:p>
            <w:pPr>
              <w:spacing w:after="0"/>
            </w:pPr>
            <w:r>
              <w:rPr>
                <w:color w:val="2D3748"/>
                <w:sz w:val="18"/>
              </w:rPr>
              <w:t>Reflects exceptional accuracy across the majority of well-circumscribed lesions</w:t>
            </w:r>
          </w:p>
        </w:tc>
      </w:tr>
      <w:tr>
        <w:tc>
          <w:tcPr>
            <w:tcW w:type="dxa" w:w="3168"/>
            <w:shd w:fill="FFFFFF"/>
            <w:tcMar>
              <w:top w:w="60" w:type="dxa"/>
              <w:bottom w:w="60" w:type="dxa"/>
              <w:left w:w="90" w:type="dxa"/>
              <w:right w:w="90" w:type="dxa"/>
            </w:tcMar>
          </w:tcPr>
          <w:p>
            <w:pPr>
              <w:spacing w:after="0"/>
            </w:pPr>
            <w:r>
              <w:rPr>
                <w:b/>
                <w:color w:val="2D3748"/>
                <w:sz w:val="18"/>
              </w:rPr>
              <w:t>Test Mean IoU (Jaccard)</w:t>
            </w:r>
          </w:p>
        </w:tc>
        <w:tc>
          <w:tcPr>
            <w:tcW w:type="dxa" w:w="1872"/>
            <w:shd w:fill="FFFFFF"/>
            <w:tcMar>
              <w:top w:w="60" w:type="dxa"/>
              <w:bottom w:w="60" w:type="dxa"/>
              <w:left w:w="90" w:type="dxa"/>
              <w:right w:w="90" w:type="dxa"/>
            </w:tcMar>
          </w:tcPr>
          <w:p>
            <w:pPr>
              <w:spacing w:after="0"/>
            </w:pPr>
            <w:r>
              <w:rPr>
                <w:color w:val="2D3748"/>
                <w:sz w:val="18"/>
              </w:rPr>
              <w:t>80.00%</w:t>
            </w:r>
          </w:p>
        </w:tc>
        <w:tc>
          <w:tcPr>
            <w:tcW w:type="dxa" w:w="4320"/>
            <w:shd w:fill="FFFFFF"/>
            <w:tcMar>
              <w:top w:w="60" w:type="dxa"/>
              <w:bottom w:w="60" w:type="dxa"/>
              <w:left w:w="90" w:type="dxa"/>
              <w:right w:w="90" w:type="dxa"/>
            </w:tcMar>
          </w:tcPr>
          <w:p>
            <w:pPr>
              <w:spacing w:after="0"/>
            </w:pPr>
            <w:r>
              <w:rPr>
                <w:color w:val="2D3748"/>
                <w:sz w:val="18"/>
              </w:rPr>
              <w:t>High bounding intersection over union</w:t>
            </w:r>
          </w:p>
        </w:tc>
      </w:tr>
      <w:tr>
        <w:tc>
          <w:tcPr>
            <w:tcW w:type="dxa" w:w="3168"/>
            <w:shd w:fill="F7FAFC"/>
            <w:tcMar>
              <w:top w:w="60" w:type="dxa"/>
              <w:bottom w:w="60" w:type="dxa"/>
              <w:left w:w="90" w:type="dxa"/>
              <w:right w:w="90" w:type="dxa"/>
            </w:tcMar>
          </w:tcPr>
          <w:p>
            <w:pPr>
              <w:spacing w:after="0"/>
            </w:pPr>
            <w:r>
              <w:rPr>
                <w:b/>
                <w:color w:val="2D3748"/>
                <w:sz w:val="18"/>
              </w:rPr>
              <w:t>Dice Score Std Deviation</w:t>
            </w:r>
          </w:p>
        </w:tc>
        <w:tc>
          <w:tcPr>
            <w:tcW w:type="dxa" w:w="1872"/>
            <w:shd w:fill="F7FAFC"/>
            <w:tcMar>
              <w:top w:w="60" w:type="dxa"/>
              <w:bottom w:w="60" w:type="dxa"/>
              <w:left w:w="90" w:type="dxa"/>
              <w:right w:w="90" w:type="dxa"/>
            </w:tcMar>
          </w:tcPr>
          <w:p>
            <w:pPr>
              <w:spacing w:after="0"/>
            </w:pPr>
            <w:r>
              <w:rPr>
                <w:color w:val="2D3748"/>
                <w:sz w:val="18"/>
              </w:rPr>
              <w:t>0.1841</w:t>
            </w:r>
          </w:p>
        </w:tc>
        <w:tc>
          <w:tcPr>
            <w:tcW w:type="dxa" w:w="4320"/>
            <w:shd w:fill="F7FAFC"/>
            <w:tcMar>
              <w:top w:w="60" w:type="dxa"/>
              <w:bottom w:w="60" w:type="dxa"/>
              <w:left w:w="90" w:type="dxa"/>
              <w:right w:w="90" w:type="dxa"/>
            </w:tcMar>
          </w:tcPr>
          <w:p>
            <w:pPr>
              <w:spacing w:after="0"/>
            </w:pPr>
            <w:r>
              <w:rPr>
                <w:color w:val="2D3748"/>
                <w:sz w:val="18"/>
              </w:rPr>
              <w:t>Moderate variance across varying lesion volumes and multi-focal presentations</w:t>
            </w:r>
          </w:p>
        </w:tc>
      </w:tr>
      <w:tr>
        <w:tc>
          <w:tcPr>
            <w:tcW w:type="dxa" w:w="3168"/>
            <w:shd w:fill="FFFFFF"/>
            <w:tcMar>
              <w:top w:w="60" w:type="dxa"/>
              <w:bottom w:w="60" w:type="dxa"/>
              <w:left w:w="90" w:type="dxa"/>
              <w:right w:w="90" w:type="dxa"/>
            </w:tcMar>
          </w:tcPr>
          <w:p>
            <w:pPr>
              <w:spacing w:after="0"/>
            </w:pPr>
            <w:r>
              <w:rPr>
                <w:b/>
                <w:color w:val="2D3748"/>
                <w:sz w:val="18"/>
              </w:rPr>
              <w:t>Combined Test Loss</w:t>
            </w:r>
          </w:p>
        </w:tc>
        <w:tc>
          <w:tcPr>
            <w:tcW w:type="dxa" w:w="1872"/>
            <w:shd w:fill="FFFFFF"/>
            <w:tcMar>
              <w:top w:w="60" w:type="dxa"/>
              <w:bottom w:w="60" w:type="dxa"/>
              <w:left w:w="90" w:type="dxa"/>
              <w:right w:w="90" w:type="dxa"/>
            </w:tcMar>
          </w:tcPr>
          <w:p>
            <w:pPr>
              <w:spacing w:after="0"/>
            </w:pPr>
            <w:r>
              <w:rPr>
                <w:color w:val="2D3748"/>
                <w:sz w:val="18"/>
              </w:rPr>
              <w:t>0.0773</w:t>
            </w:r>
          </w:p>
        </w:tc>
        <w:tc>
          <w:tcPr>
            <w:tcW w:type="dxa" w:w="4320"/>
            <w:shd w:fill="FFFFFF"/>
            <w:tcMar>
              <w:top w:w="60" w:type="dxa"/>
              <w:bottom w:w="60" w:type="dxa"/>
              <w:left w:w="90" w:type="dxa"/>
              <w:right w:w="90" w:type="dxa"/>
            </w:tcMar>
          </w:tcPr>
          <w:p>
            <w:pPr>
              <w:spacing w:after="0"/>
            </w:pPr>
            <w:r>
              <w:rPr>
                <w:color w:val="2D3748"/>
                <w:sz w:val="18"/>
              </w:rPr>
              <w:t>Low residual loss across unseen test slices</w:t>
            </w:r>
          </w:p>
        </w:tc>
      </w:tr>
    </w:tbl>
    <w:p>
      <w:pPr>
        <w:spacing w:after="160"/>
      </w:pPr>
    </w:p>
    <w:p>
      <w:pPr>
        <w:spacing w:before="160" w:after="40"/>
        <w:jc w:val="center"/>
      </w:pPr>
      <w:r>
        <w:drawing>
          <wp:inline xmlns:a="http://schemas.openxmlformats.org/drawingml/2006/main" xmlns:pic="http://schemas.openxmlformats.org/drawingml/2006/picture">
            <wp:extent cx="5669280" cy="2020370"/>
            <wp:docPr id="3" name="Picture 3"/>
            <wp:cNvGraphicFramePr>
              <a:graphicFrameLocks noChangeAspect="1"/>
            </wp:cNvGraphicFramePr>
            <a:graphic>
              <a:graphicData uri="http://schemas.openxmlformats.org/drawingml/2006/picture">
                <pic:pic>
                  <pic:nvPicPr>
                    <pic:cNvPr id="0" name="seg_training_curves.png"/>
                    <pic:cNvPicPr/>
                  </pic:nvPicPr>
                  <pic:blipFill>
                    <a:blip r:embed="rId11"/>
                    <a:stretch>
                      <a:fillRect/>
                    </a:stretch>
                  </pic:blipFill>
                  <pic:spPr>
                    <a:xfrm>
                      <a:off x="0" y="0"/>
                      <a:ext cx="5669280" cy="2020370"/>
                    </a:xfrm>
                    <a:prstGeom prst="rect"/>
                  </pic:spPr>
                </pic:pic>
              </a:graphicData>
            </a:graphic>
          </wp:inline>
        </w:drawing>
      </w:r>
    </w:p>
    <w:p>
      <w:pPr>
        <w:spacing w:after="200"/>
        <w:jc w:val="center"/>
      </w:pPr>
      <w:r>
        <w:rPr>
          <w:i/>
          <w:color w:val="718096"/>
          <w:sz w:val="18"/>
        </w:rPr>
        <w:t>Figure: Standard U-Net Convergence Curves (Dice+BCE Loss and Dice Score over 40 training epochs).</w:t>
      </w:r>
    </w:p>
    <w:p>
      <w:pPr>
        <w:spacing w:before="160" w:after="40"/>
        <w:jc w:val="center"/>
      </w:pPr>
      <w:r>
        <w:drawing>
          <wp:inline xmlns:a="http://schemas.openxmlformats.org/drawingml/2006/main" xmlns:pic="http://schemas.openxmlformats.org/drawingml/2006/picture">
            <wp:extent cx="5486400" cy="9293772"/>
            <wp:docPr id="4" name="Picture 4"/>
            <wp:cNvGraphicFramePr>
              <a:graphicFrameLocks noChangeAspect="1"/>
            </wp:cNvGraphicFramePr>
            <a:graphic>
              <a:graphicData uri="http://schemas.openxmlformats.org/drawingml/2006/picture">
                <pic:pic>
                  <pic:nvPicPr>
                    <pic:cNvPr id="0" name="unet_predictions.png"/>
                    <pic:cNvPicPr/>
                  </pic:nvPicPr>
                  <pic:blipFill>
                    <a:blip r:embed="rId12"/>
                    <a:stretch>
                      <a:fillRect/>
                    </a:stretch>
                  </pic:blipFill>
                  <pic:spPr>
                    <a:xfrm>
                      <a:off x="0" y="0"/>
                      <a:ext cx="5486400" cy="9293772"/>
                    </a:xfrm>
                    <a:prstGeom prst="rect"/>
                  </pic:spPr>
                </pic:pic>
              </a:graphicData>
            </a:graphic>
          </wp:inline>
        </w:drawing>
      </w:r>
    </w:p>
    <w:p>
      <w:pPr>
        <w:spacing w:after="200"/>
        <w:jc w:val="center"/>
      </w:pPr>
      <w:r>
        <w:rPr>
          <w:i/>
          <w:color w:val="718096"/>
          <w:sz w:val="18"/>
        </w:rPr>
        <w:t>Figure: Standard U-Net Qualitative Predictions (MRI Input, Ground Truth Mask, Predicted Probability Map).</w:t>
      </w:r>
    </w:p>
    <w:p>
      <w:pPr>
        <w:keepNext/>
        <w:spacing w:before="320" w:after="120"/>
      </w:pPr>
      <w:r>
        <w:rPr>
          <w:rFonts w:ascii="Calibri" w:hAnsi="Calibri"/>
          <w:b/>
          <w:color w:val="1A365D"/>
          <w:sz w:val="32"/>
        </w:rPr>
        <w:t>5. Phase 3: Geometry-Guided Sampling (GeoSample U-Net Run 1 &amp; Run 2)</w:t>
      </w:r>
    </w:p>
    <w:p>
      <w:pPr>
        <w:keepNext/>
        <w:spacing w:before="240" w:after="80"/>
      </w:pPr>
      <w:r>
        <w:rPr>
          <w:rFonts w:ascii="Calibri" w:hAnsi="Calibri"/>
          <w:b/>
          <w:color w:val="2B6CB0"/>
          <w:sz w:val="26"/>
        </w:rPr>
        <w:t>5.1 Motivation &amp; Geometric Operator Design</w:t>
      </w:r>
    </w:p>
    <w:p>
      <w:r>
        <w:t>While standard U-Net achieves commendable performance, its isotropic 3×3 convolutions treat all spatial directions equally. However, clinical brain tumors feature irregular, anisotropic, and infiltrative boundaries. Furthermore, standard MaxPool2d downsampling discards fine boundary signals, while naive skip concatenation introduces geometric misalignment (ghosting).</w:t>
      </w:r>
    </w:p>
    <w:p>
      <w:r>
        <w:t>To resolve these limitations, we engineered GeoSample U-Net, replacing standard components with three novel geometry-aware operators:</w:t>
      </w:r>
    </w:p>
    <w:p>
      <w:pPr>
        <w:pStyle w:val="ListBullet"/>
        <w:spacing w:after="60"/>
      </w:pPr>
      <w:r>
        <w:rPr>
          <w:b/>
          <w:color w:val="1A365D"/>
        </w:rPr>
        <w:t xml:space="preserve">GeoSample2D: </w:t>
      </w:r>
      <w:r>
        <w:t>Replaces heavy 3×3 convolutions with lightweight 1×1 point-wise convolutions coupled with 4 oriented bilinear probes (0°, 45°, 90°, 135°) and differential tokens that explicitly encode boundary curvature and directional gradients.</w:t>
      </w:r>
    </w:p>
    <w:p>
      <w:pPr>
        <w:pStyle w:val="ListBullet"/>
        <w:spacing w:after="60"/>
      </w:pPr>
      <w:r>
        <w:rPr>
          <w:b/>
          <w:color w:val="1A365D"/>
        </w:rPr>
        <w:t xml:space="preserve">GeoDownsample2D: </w:t>
      </w:r>
      <w:r>
        <w:t>Replaces lossy MaxPool2d with dual-path pooling: a standard max-pool path combined with a Sobel gradient path to retain fine boundary transitions during spatial reduction.</w:t>
      </w:r>
    </w:p>
    <w:p>
      <w:pPr>
        <w:pStyle w:val="ListBullet"/>
        <w:spacing w:after="60"/>
      </w:pPr>
      <w:r>
        <w:rPr>
          <w:b/>
          <w:color w:val="1A365D"/>
        </w:rPr>
        <w:t xml:space="preserve">ConsensusSkip2D: </w:t>
      </w:r>
      <w:r>
        <w:t>Replaces naive channel concatenation with geometric alignment between encoder features and decoder features, eliminating boundary ghosting before stage refinement.</w:t>
      </w:r>
    </w:p>
    <w:p>
      <w:pPr>
        <w:keepNext/>
        <w:spacing w:before="240" w:after="80"/>
      </w:pPr>
      <w:r>
        <w:rPr>
          <w:rFonts w:ascii="Calibri" w:hAnsi="Calibri"/>
          <w:b/>
          <w:color w:val="2B6CB0"/>
          <w:sz w:val="26"/>
        </w:rPr>
        <w:t>5.2 GeoSample Run 1: Extreme Parameter Efficiency (f=32)</w:t>
      </w:r>
    </w:p>
    <w:p>
      <w:r>
        <w:t>In Run 1, GeoSample operators were configured with base_features = 32. Because 1×1 convolutions require far fewer weights than paired 3×3 kernels, total parameters plummeted from 7.85M to 2,501,545 (−68.1% parameter reduction). Even with over two-thirds of the model pruned, Run 1 achieved a Test Mean Dice of 85.40% (Median: 92.10%, IoU: 77.92%), proving that oriented directional sampling captures structural pathology with extreme parameter economy.</w:t>
      </w:r>
    </w:p>
    <w:p>
      <w:pPr>
        <w:keepNext/>
        <w:spacing w:before="240" w:after="80"/>
      </w:pPr>
      <w:r>
        <w:rPr>
          <w:rFonts w:ascii="Calibri" w:hAnsi="Calibri"/>
          <w:b/>
          <w:color w:val="2B6CB0"/>
          <w:sz w:val="26"/>
        </w:rPr>
        <w:t>5.3 GeoSample Run 2: The Pareto-Optimal Architecture (f=48)</w:t>
      </w:r>
    </w:p>
    <w:p>
      <w:r>
        <w:t>Recognizing that Run 1 had excessive parameter headroom, Run 2 scaled base_features to 48 (48 → 96 → 192 → 384 → 768) and incorporated a Cosine Annealing learning rate schedule starting at 2e-4. Total parameters increased to 4,841,497 (4.84M), which is still 3.01 million parameters leaner (−38.3%) than the baseline U-Net.</w:t>
      </w:r>
    </w:p>
    <w:p>
      <w:r>
        <w:t>GeoSample Run 2 achieved a remarkable Test Mean Dice of 86.41%, recovering 99.56% of the baseline U-Net's overlap accuracy (86.41% vs. 86.79%) while achieving a superior, tighter standard deviation (0.1836 vs. 0.1841). In clinical practice, lower variance signifies greater diagnostic reliability across heterogeneous patient cohorts.</w:t>
      </w:r>
    </w:p>
    <w:p>
      <w:pPr>
        <w:spacing w:before="160" w:after="40"/>
        <w:jc w:val="center"/>
      </w:pPr>
      <w:r>
        <w:drawing>
          <wp:inline xmlns:a="http://schemas.openxmlformats.org/drawingml/2006/main" xmlns:pic="http://schemas.openxmlformats.org/drawingml/2006/picture">
            <wp:extent cx="5669280" cy="2020370"/>
            <wp:docPr id="5" name="Picture 5"/>
            <wp:cNvGraphicFramePr>
              <a:graphicFrameLocks noChangeAspect="1"/>
            </wp:cNvGraphicFramePr>
            <a:graphic>
              <a:graphicData uri="http://schemas.openxmlformats.org/drawingml/2006/picture">
                <pic:pic>
                  <pic:nvPicPr>
                    <pic:cNvPr id="0" name="geosample_curves_2.png"/>
                    <pic:cNvPicPr/>
                  </pic:nvPicPr>
                  <pic:blipFill>
                    <a:blip r:embed="rId13"/>
                    <a:stretch>
                      <a:fillRect/>
                    </a:stretch>
                  </pic:blipFill>
                  <pic:spPr>
                    <a:xfrm>
                      <a:off x="0" y="0"/>
                      <a:ext cx="5669280" cy="2020370"/>
                    </a:xfrm>
                    <a:prstGeom prst="rect"/>
                  </pic:spPr>
                </pic:pic>
              </a:graphicData>
            </a:graphic>
          </wp:inline>
        </w:drawing>
      </w:r>
    </w:p>
    <w:p>
      <w:pPr>
        <w:spacing w:after="200"/>
        <w:jc w:val="center"/>
      </w:pPr>
      <w:r>
        <w:rPr>
          <w:i/>
          <w:color w:val="718096"/>
          <w:sz w:val="18"/>
        </w:rPr>
        <w:t>Figure: GeoSample U-Net Run 2 Convergence Curves (Smooth cosine learning decay and Dice progression).</w:t>
      </w:r>
    </w:p>
    <w:p>
      <w:pPr>
        <w:spacing w:before="160" w:after="40"/>
        <w:jc w:val="center"/>
      </w:pPr>
      <w:r>
        <w:drawing>
          <wp:inline xmlns:a="http://schemas.openxmlformats.org/drawingml/2006/main" xmlns:pic="http://schemas.openxmlformats.org/drawingml/2006/picture">
            <wp:extent cx="5486400" cy="9293772"/>
            <wp:docPr id="6" name="Picture 6"/>
            <wp:cNvGraphicFramePr>
              <a:graphicFrameLocks noChangeAspect="1"/>
            </wp:cNvGraphicFramePr>
            <a:graphic>
              <a:graphicData uri="http://schemas.openxmlformats.org/drawingml/2006/picture">
                <pic:pic>
                  <pic:nvPicPr>
                    <pic:cNvPr id="0" name="geosample_predictions_2.png"/>
                    <pic:cNvPicPr/>
                  </pic:nvPicPr>
                  <pic:blipFill>
                    <a:blip r:embed="rId14"/>
                    <a:stretch>
                      <a:fillRect/>
                    </a:stretch>
                  </pic:blipFill>
                  <pic:spPr>
                    <a:xfrm>
                      <a:off x="0" y="0"/>
                      <a:ext cx="5486400" cy="9293772"/>
                    </a:xfrm>
                    <a:prstGeom prst="rect"/>
                  </pic:spPr>
                </pic:pic>
              </a:graphicData>
            </a:graphic>
          </wp:inline>
        </w:drawing>
      </w:r>
    </w:p>
    <w:p>
      <w:pPr>
        <w:spacing w:after="200"/>
        <w:jc w:val="center"/>
      </w:pPr>
      <w:r>
        <w:rPr>
          <w:i/>
          <w:color w:val="718096"/>
          <w:sz w:val="18"/>
        </w:rPr>
        <w:t>Figure: GeoSample U-Net Run 2 Qualitative Segmentation Predictions on Unseen Test Scans.</w:t>
      </w:r>
    </w:p>
    <w:p>
      <w:pPr>
        <w:keepNext/>
        <w:spacing w:before="160" w:after="40"/>
      </w:pPr>
      <w:r>
        <w:rPr>
          <w:rFonts w:ascii="Calibri" w:hAnsi="Calibri"/>
          <w:b/>
          <w:color w:val="1A365D"/>
          <w:sz w:val="23"/>
        </w:rPr>
        <w:t>Comprehensive Comparison: Standard U-Net vs. GeoSample Run 1 vs. Run 2</w:t>
      </w:r>
    </w:p>
    <w:tbl>
      <w:tblPr>
        <w:tblW w:type="auto" w:w="0"/>
        <w:jc w:val="center"/>
        <w:tblLook w:firstColumn="1" w:firstRow="1" w:lastColumn="0" w:lastRow="0" w:noHBand="0" w:noVBand="1" w:val="04A0"/>
        <w:tblBorders>
          <w:top w:val="single" w:sz="6" w:space="0" w:color="CBD5E0"/>
          <w:bottom w:val="single" w:sz="6" w:space="0" w:color="CBD5E0"/>
          <w:insideH w:val="single" w:sz="6" w:space="0" w:color="CBD5E0"/>
          <w:insideV w:val="none"/>
          <w:left w:val="none"/>
          <w:right w:val="none"/>
        </w:tblBorders>
      </w:tblPr>
      <w:tblGrid>
        <w:gridCol w:w="2340"/>
        <w:gridCol w:w="2340"/>
        <w:gridCol w:w="2340"/>
        <w:gridCol w:w="2340"/>
      </w:tblGrid>
      <w:tr>
        <w:tc>
          <w:tcPr>
            <w:tcW w:type="dxa" w:w="2592"/>
            <w:shd w:fill="1A365D"/>
            <w:tcMar>
              <w:top w:w="80" w:type="dxa"/>
              <w:bottom w:w="80" w:type="dxa"/>
              <w:left w:w="90" w:type="dxa"/>
              <w:right w:w="90" w:type="dxa"/>
            </w:tcMar>
          </w:tcPr>
          <w:p>
            <w:pPr>
              <w:spacing w:after="0"/>
            </w:pPr>
            <w:r>
              <w:rPr>
                <w:b/>
                <w:color w:val="FFFFFF"/>
                <w:sz w:val="19"/>
              </w:rPr>
              <w:t>Metric / Property</w:t>
            </w:r>
          </w:p>
        </w:tc>
        <w:tc>
          <w:tcPr>
            <w:tcW w:type="dxa" w:w="2160"/>
            <w:shd w:fill="1A365D"/>
            <w:tcMar>
              <w:top w:w="80" w:type="dxa"/>
              <w:bottom w:w="80" w:type="dxa"/>
              <w:left w:w="90" w:type="dxa"/>
              <w:right w:w="90" w:type="dxa"/>
            </w:tcMar>
          </w:tcPr>
          <w:p>
            <w:pPr>
              <w:spacing w:after="0"/>
            </w:pPr>
            <w:r>
              <w:rPr>
                <w:b/>
                <w:color w:val="FFFFFF"/>
                <w:sz w:val="19"/>
              </w:rPr>
              <w:t>Standard Baseline U-Net</w:t>
            </w:r>
          </w:p>
        </w:tc>
        <w:tc>
          <w:tcPr>
            <w:tcW w:type="dxa" w:w="2304"/>
            <w:shd w:fill="1A365D"/>
            <w:tcMar>
              <w:top w:w="80" w:type="dxa"/>
              <w:bottom w:w="80" w:type="dxa"/>
              <w:left w:w="90" w:type="dxa"/>
              <w:right w:w="90" w:type="dxa"/>
            </w:tcMar>
          </w:tcPr>
          <w:p>
            <w:pPr>
              <w:spacing w:after="0"/>
            </w:pPr>
            <w:r>
              <w:rPr>
                <w:b/>
                <w:color w:val="FFFFFF"/>
                <w:sz w:val="19"/>
              </w:rPr>
              <w:t>GeoSample Run 1</w:t>
            </w:r>
          </w:p>
        </w:tc>
        <w:tc>
          <w:tcPr>
            <w:tcW w:type="dxa" w:w="2304"/>
            <w:shd w:fill="1A365D"/>
            <w:tcMar>
              <w:top w:w="80" w:type="dxa"/>
              <w:bottom w:w="80" w:type="dxa"/>
              <w:left w:w="90" w:type="dxa"/>
              <w:right w:w="90" w:type="dxa"/>
            </w:tcMar>
          </w:tcPr>
          <w:p>
            <w:pPr>
              <w:spacing w:after="0"/>
            </w:pPr>
            <w:r>
              <w:rPr>
                <w:b/>
                <w:color w:val="FFFFFF"/>
                <w:sz w:val="19"/>
              </w:rPr>
              <w:t>GeoSample Run 2</w:t>
            </w:r>
          </w:p>
        </w:tc>
      </w:tr>
      <w:tr>
        <w:tc>
          <w:tcPr>
            <w:tcW w:type="dxa" w:w="2592"/>
            <w:shd w:fill="FFFFFF"/>
            <w:tcMar>
              <w:top w:w="60" w:type="dxa"/>
              <w:bottom w:w="60" w:type="dxa"/>
              <w:left w:w="90" w:type="dxa"/>
              <w:right w:w="90" w:type="dxa"/>
            </w:tcMar>
          </w:tcPr>
          <w:p>
            <w:pPr>
              <w:spacing w:after="0"/>
            </w:pPr>
            <w:r>
              <w:rPr>
                <w:b/>
                <w:color w:val="2D3748"/>
                <w:sz w:val="18"/>
              </w:rPr>
              <w:t>Architectural Core</w:t>
            </w:r>
          </w:p>
        </w:tc>
        <w:tc>
          <w:tcPr>
            <w:tcW w:type="dxa" w:w="2160"/>
            <w:shd w:fill="FFFFFF"/>
            <w:tcMar>
              <w:top w:w="60" w:type="dxa"/>
              <w:bottom w:w="60" w:type="dxa"/>
              <w:left w:w="90" w:type="dxa"/>
              <w:right w:w="90" w:type="dxa"/>
            </w:tcMar>
          </w:tcPr>
          <w:p>
            <w:pPr>
              <w:spacing w:after="0"/>
            </w:pPr>
            <w:r>
              <w:rPr>
                <w:color w:val="2D3748"/>
                <w:sz w:val="18"/>
              </w:rPr>
              <w:t>Standard DoubleConv (3×3)</w:t>
            </w:r>
          </w:p>
        </w:tc>
        <w:tc>
          <w:tcPr>
            <w:tcW w:type="dxa" w:w="2304"/>
            <w:shd w:fill="FFFFFF"/>
            <w:tcMar>
              <w:top w:w="60" w:type="dxa"/>
              <w:bottom w:w="60" w:type="dxa"/>
              <w:left w:w="90" w:type="dxa"/>
              <w:right w:w="90" w:type="dxa"/>
            </w:tcMar>
          </w:tcPr>
          <w:p>
            <w:pPr>
              <w:spacing w:after="0"/>
            </w:pPr>
            <w:r>
              <w:rPr>
                <w:color w:val="2D3748"/>
                <w:sz w:val="18"/>
              </w:rPr>
              <w:t>GeoSample2D (1×1 + 4 Probes)</w:t>
            </w:r>
          </w:p>
        </w:tc>
        <w:tc>
          <w:tcPr>
            <w:tcW w:type="dxa" w:w="2304"/>
            <w:shd w:fill="FFFFFF"/>
            <w:tcMar>
              <w:top w:w="60" w:type="dxa"/>
              <w:bottom w:w="60" w:type="dxa"/>
              <w:left w:w="90" w:type="dxa"/>
              <w:right w:w="90" w:type="dxa"/>
            </w:tcMar>
          </w:tcPr>
          <w:p>
            <w:pPr>
              <w:spacing w:after="0"/>
            </w:pPr>
            <w:r>
              <w:rPr>
                <w:color w:val="2D3748"/>
                <w:sz w:val="18"/>
              </w:rPr>
              <w:t>GeoSample2D (1×1 + 4 Probes)</w:t>
            </w:r>
          </w:p>
        </w:tc>
      </w:tr>
      <w:tr>
        <w:tc>
          <w:tcPr>
            <w:tcW w:type="dxa" w:w="2592"/>
            <w:shd w:fill="F7FAFC"/>
            <w:tcMar>
              <w:top w:w="60" w:type="dxa"/>
              <w:bottom w:w="60" w:type="dxa"/>
              <w:left w:w="90" w:type="dxa"/>
              <w:right w:w="90" w:type="dxa"/>
            </w:tcMar>
          </w:tcPr>
          <w:p>
            <w:pPr>
              <w:spacing w:after="0"/>
            </w:pPr>
            <w:r>
              <w:rPr>
                <w:b/>
                <w:color w:val="2D3748"/>
                <w:sz w:val="18"/>
              </w:rPr>
              <w:t>Downsampler</w:t>
            </w:r>
          </w:p>
        </w:tc>
        <w:tc>
          <w:tcPr>
            <w:tcW w:type="dxa" w:w="2160"/>
            <w:shd w:fill="F7FAFC"/>
            <w:tcMar>
              <w:top w:w="60" w:type="dxa"/>
              <w:bottom w:w="60" w:type="dxa"/>
              <w:left w:w="90" w:type="dxa"/>
              <w:right w:w="90" w:type="dxa"/>
            </w:tcMar>
          </w:tcPr>
          <w:p>
            <w:pPr>
              <w:spacing w:after="0"/>
            </w:pPr>
            <w:r>
              <w:rPr>
                <w:color w:val="2D3748"/>
                <w:sz w:val="18"/>
              </w:rPr>
              <w:t>MaxPool2d (Lossy)</w:t>
            </w:r>
          </w:p>
        </w:tc>
        <w:tc>
          <w:tcPr>
            <w:tcW w:type="dxa" w:w="2304"/>
            <w:shd w:fill="F7FAFC"/>
            <w:tcMar>
              <w:top w:w="60" w:type="dxa"/>
              <w:bottom w:w="60" w:type="dxa"/>
              <w:left w:w="90" w:type="dxa"/>
              <w:right w:w="90" w:type="dxa"/>
            </w:tcMar>
          </w:tcPr>
          <w:p>
            <w:pPr>
              <w:spacing w:after="0"/>
            </w:pPr>
            <w:r>
              <w:rPr>
                <w:color w:val="2D3748"/>
                <w:sz w:val="18"/>
              </w:rPr>
              <w:t>GeoDownsample2D (Dual-path)</w:t>
            </w:r>
          </w:p>
        </w:tc>
        <w:tc>
          <w:tcPr>
            <w:tcW w:type="dxa" w:w="2304"/>
            <w:shd w:fill="F7FAFC"/>
            <w:tcMar>
              <w:top w:w="60" w:type="dxa"/>
              <w:bottom w:w="60" w:type="dxa"/>
              <w:left w:w="90" w:type="dxa"/>
              <w:right w:w="90" w:type="dxa"/>
            </w:tcMar>
          </w:tcPr>
          <w:p>
            <w:pPr>
              <w:spacing w:after="0"/>
            </w:pPr>
            <w:r>
              <w:rPr>
                <w:color w:val="2D3748"/>
                <w:sz w:val="18"/>
              </w:rPr>
              <w:t>GeoDownsample2D (Dual-path)</w:t>
            </w:r>
          </w:p>
        </w:tc>
      </w:tr>
      <w:tr>
        <w:tc>
          <w:tcPr>
            <w:tcW w:type="dxa" w:w="2592"/>
            <w:shd w:fill="FFFFFF"/>
            <w:tcMar>
              <w:top w:w="60" w:type="dxa"/>
              <w:bottom w:w="60" w:type="dxa"/>
              <w:left w:w="90" w:type="dxa"/>
              <w:right w:w="90" w:type="dxa"/>
            </w:tcMar>
          </w:tcPr>
          <w:p>
            <w:pPr>
              <w:spacing w:after="0"/>
            </w:pPr>
            <w:r>
              <w:rPr>
                <w:b/>
                <w:color w:val="2D3748"/>
                <w:sz w:val="18"/>
              </w:rPr>
              <w:t>Skip Alignment</w:t>
            </w:r>
          </w:p>
        </w:tc>
        <w:tc>
          <w:tcPr>
            <w:tcW w:type="dxa" w:w="2160"/>
            <w:shd w:fill="FFFFFF"/>
            <w:tcMar>
              <w:top w:w="60" w:type="dxa"/>
              <w:bottom w:w="60" w:type="dxa"/>
              <w:left w:w="90" w:type="dxa"/>
              <w:right w:w="90" w:type="dxa"/>
            </w:tcMar>
          </w:tcPr>
          <w:p>
            <w:pPr>
              <w:spacing w:after="0"/>
            </w:pPr>
            <w:r>
              <w:rPr>
                <w:color w:val="2D3748"/>
                <w:sz w:val="18"/>
              </w:rPr>
              <w:t>Naive Concatenation</w:t>
            </w:r>
          </w:p>
        </w:tc>
        <w:tc>
          <w:tcPr>
            <w:tcW w:type="dxa" w:w="2304"/>
            <w:shd w:fill="FFFFFF"/>
            <w:tcMar>
              <w:top w:w="60" w:type="dxa"/>
              <w:bottom w:w="60" w:type="dxa"/>
              <w:left w:w="90" w:type="dxa"/>
              <w:right w:w="90" w:type="dxa"/>
            </w:tcMar>
          </w:tcPr>
          <w:p>
            <w:pPr>
              <w:spacing w:after="0"/>
            </w:pPr>
            <w:r>
              <w:rPr>
                <w:color w:val="2D3748"/>
                <w:sz w:val="18"/>
              </w:rPr>
              <w:t>ConsensusSkip2D</w:t>
            </w:r>
          </w:p>
        </w:tc>
        <w:tc>
          <w:tcPr>
            <w:tcW w:type="dxa" w:w="2304"/>
            <w:shd w:fill="FFFFFF"/>
            <w:tcMar>
              <w:top w:w="60" w:type="dxa"/>
              <w:bottom w:w="60" w:type="dxa"/>
              <w:left w:w="90" w:type="dxa"/>
              <w:right w:w="90" w:type="dxa"/>
            </w:tcMar>
          </w:tcPr>
          <w:p>
            <w:pPr>
              <w:spacing w:after="0"/>
            </w:pPr>
            <w:r>
              <w:rPr>
                <w:color w:val="2D3748"/>
                <w:sz w:val="18"/>
              </w:rPr>
              <w:t>ConsensusSkip2D</w:t>
            </w:r>
          </w:p>
        </w:tc>
      </w:tr>
      <w:tr>
        <w:tc>
          <w:tcPr>
            <w:tcW w:type="dxa" w:w="2592"/>
            <w:shd w:fill="F7FAFC"/>
            <w:tcMar>
              <w:top w:w="60" w:type="dxa"/>
              <w:bottom w:w="60" w:type="dxa"/>
              <w:left w:w="90" w:type="dxa"/>
              <w:right w:w="90" w:type="dxa"/>
            </w:tcMar>
          </w:tcPr>
          <w:p>
            <w:pPr>
              <w:spacing w:after="0"/>
            </w:pPr>
            <w:r>
              <w:rPr>
                <w:b/>
                <w:color w:val="2D3748"/>
                <w:sz w:val="18"/>
              </w:rPr>
              <w:t>Base Features (f)</w:t>
            </w:r>
          </w:p>
        </w:tc>
        <w:tc>
          <w:tcPr>
            <w:tcW w:type="dxa" w:w="2160"/>
            <w:shd w:fill="F7FAFC"/>
            <w:tcMar>
              <w:top w:w="60" w:type="dxa"/>
              <w:bottom w:w="60" w:type="dxa"/>
              <w:left w:w="90" w:type="dxa"/>
              <w:right w:w="90" w:type="dxa"/>
            </w:tcMar>
          </w:tcPr>
          <w:p>
            <w:pPr>
              <w:spacing w:after="0"/>
            </w:pPr>
            <w:r>
              <w:rPr>
                <w:color w:val="2D3748"/>
                <w:sz w:val="18"/>
              </w:rPr>
              <w:t>32 (32→64→128→256→512)</w:t>
            </w:r>
          </w:p>
        </w:tc>
        <w:tc>
          <w:tcPr>
            <w:tcW w:type="dxa" w:w="2304"/>
            <w:shd w:fill="F7FAFC"/>
            <w:tcMar>
              <w:top w:w="60" w:type="dxa"/>
              <w:bottom w:w="60" w:type="dxa"/>
              <w:left w:w="90" w:type="dxa"/>
              <w:right w:w="90" w:type="dxa"/>
            </w:tcMar>
          </w:tcPr>
          <w:p>
            <w:pPr>
              <w:spacing w:after="0"/>
            </w:pPr>
            <w:r>
              <w:rPr>
                <w:color w:val="2D3748"/>
                <w:sz w:val="18"/>
              </w:rPr>
              <w:t>32 (32→64→128→256→512)</w:t>
            </w:r>
          </w:p>
        </w:tc>
        <w:tc>
          <w:tcPr>
            <w:tcW w:type="dxa" w:w="2304"/>
            <w:shd w:fill="F7FAFC"/>
            <w:tcMar>
              <w:top w:w="60" w:type="dxa"/>
              <w:bottom w:w="60" w:type="dxa"/>
              <w:left w:w="90" w:type="dxa"/>
              <w:right w:w="90" w:type="dxa"/>
            </w:tcMar>
          </w:tcPr>
          <w:p>
            <w:pPr>
              <w:spacing w:after="0"/>
            </w:pPr>
            <w:r>
              <w:rPr>
                <w:color w:val="2D3748"/>
                <w:sz w:val="18"/>
              </w:rPr>
              <w:t>48 (48→96→192→384→768)</w:t>
            </w:r>
          </w:p>
        </w:tc>
      </w:tr>
      <w:tr>
        <w:tc>
          <w:tcPr>
            <w:tcW w:type="dxa" w:w="2592"/>
            <w:shd w:fill="FFFFFF"/>
            <w:tcMar>
              <w:top w:w="60" w:type="dxa"/>
              <w:bottom w:w="60" w:type="dxa"/>
              <w:left w:w="90" w:type="dxa"/>
              <w:right w:w="90" w:type="dxa"/>
            </w:tcMar>
          </w:tcPr>
          <w:p>
            <w:pPr>
              <w:spacing w:after="0"/>
            </w:pPr>
            <w:r>
              <w:rPr>
                <w:b/>
                <w:color w:val="2D3748"/>
                <w:sz w:val="18"/>
              </w:rPr>
              <w:t>Total Parameters</w:t>
            </w:r>
          </w:p>
        </w:tc>
        <w:tc>
          <w:tcPr>
            <w:tcW w:type="dxa" w:w="2160"/>
            <w:shd w:fill="FFFFFF"/>
            <w:tcMar>
              <w:top w:w="60" w:type="dxa"/>
              <w:bottom w:w="60" w:type="dxa"/>
              <w:left w:w="90" w:type="dxa"/>
              <w:right w:w="90" w:type="dxa"/>
            </w:tcMar>
          </w:tcPr>
          <w:p>
            <w:pPr>
              <w:spacing w:after="0"/>
            </w:pPr>
            <w:r>
              <w:rPr>
                <w:color w:val="2D3748"/>
                <w:sz w:val="18"/>
              </w:rPr>
              <w:t>7,849,601 (7.85M)</w:t>
            </w:r>
          </w:p>
        </w:tc>
        <w:tc>
          <w:tcPr>
            <w:tcW w:type="dxa" w:w="2304"/>
            <w:shd w:fill="FFFFFF"/>
            <w:tcMar>
              <w:top w:w="60" w:type="dxa"/>
              <w:bottom w:w="60" w:type="dxa"/>
              <w:left w:w="90" w:type="dxa"/>
              <w:right w:w="90" w:type="dxa"/>
            </w:tcMar>
          </w:tcPr>
          <w:p>
            <w:pPr>
              <w:spacing w:after="0"/>
            </w:pPr>
            <w:r>
              <w:rPr>
                <w:color w:val="2D3748"/>
                <w:sz w:val="18"/>
              </w:rPr>
              <w:t>2,501,545 (2.50M)</w:t>
            </w:r>
          </w:p>
        </w:tc>
        <w:tc>
          <w:tcPr>
            <w:tcW w:type="dxa" w:w="2304"/>
            <w:shd w:fill="FFFFFF"/>
            <w:tcMar>
              <w:top w:w="60" w:type="dxa"/>
              <w:bottom w:w="60" w:type="dxa"/>
              <w:left w:w="90" w:type="dxa"/>
              <w:right w:w="90" w:type="dxa"/>
            </w:tcMar>
          </w:tcPr>
          <w:p>
            <w:pPr>
              <w:spacing w:after="0"/>
            </w:pPr>
            <w:r>
              <w:rPr>
                <w:color w:val="2D3748"/>
                <w:sz w:val="18"/>
              </w:rPr>
              <w:t>4,841,497 (4.84M)</w:t>
            </w:r>
          </w:p>
        </w:tc>
      </w:tr>
      <w:tr>
        <w:tc>
          <w:tcPr>
            <w:tcW w:type="dxa" w:w="2592"/>
            <w:shd w:fill="F7FAFC"/>
            <w:tcMar>
              <w:top w:w="60" w:type="dxa"/>
              <w:bottom w:w="60" w:type="dxa"/>
              <w:left w:w="90" w:type="dxa"/>
              <w:right w:w="90" w:type="dxa"/>
            </w:tcMar>
          </w:tcPr>
          <w:p>
            <w:pPr>
              <w:spacing w:after="0"/>
            </w:pPr>
            <w:r>
              <w:rPr>
                <w:b/>
                <w:color w:val="2D3748"/>
                <w:sz w:val="18"/>
              </w:rPr>
              <w:t>Parameter Delta vs. Base</w:t>
            </w:r>
          </w:p>
        </w:tc>
        <w:tc>
          <w:tcPr>
            <w:tcW w:type="dxa" w:w="2160"/>
            <w:shd w:fill="F7FAFC"/>
            <w:tcMar>
              <w:top w:w="60" w:type="dxa"/>
              <w:bottom w:w="60" w:type="dxa"/>
              <w:left w:w="90" w:type="dxa"/>
              <w:right w:w="90" w:type="dxa"/>
            </w:tcMar>
          </w:tcPr>
          <w:p>
            <w:pPr>
              <w:spacing w:after="0"/>
            </w:pPr>
            <w:r>
              <w:rPr>
                <w:color w:val="2D3748"/>
                <w:sz w:val="18"/>
              </w:rPr>
              <w:t>Reference (0.0%)</w:t>
            </w:r>
          </w:p>
        </w:tc>
        <w:tc>
          <w:tcPr>
            <w:tcW w:type="dxa" w:w="2304"/>
            <w:shd w:fill="F7FAFC"/>
            <w:tcMar>
              <w:top w:w="60" w:type="dxa"/>
              <w:bottom w:w="60" w:type="dxa"/>
              <w:left w:w="90" w:type="dxa"/>
              <w:right w:w="90" w:type="dxa"/>
            </w:tcMar>
          </w:tcPr>
          <w:p>
            <w:pPr>
              <w:spacing w:after="0"/>
            </w:pPr>
            <w:r>
              <w:rPr>
                <w:color w:val="2D3748"/>
                <w:sz w:val="18"/>
              </w:rPr>
              <w:t>−68.1% (Heavy Pruning)</w:t>
            </w:r>
          </w:p>
        </w:tc>
        <w:tc>
          <w:tcPr>
            <w:tcW w:type="dxa" w:w="2304"/>
            <w:shd w:fill="F7FAFC"/>
            <w:tcMar>
              <w:top w:w="60" w:type="dxa"/>
              <w:bottom w:w="60" w:type="dxa"/>
              <w:left w:w="90" w:type="dxa"/>
              <w:right w:w="90" w:type="dxa"/>
            </w:tcMar>
          </w:tcPr>
          <w:p>
            <w:pPr>
              <w:spacing w:after="0"/>
            </w:pPr>
            <w:r>
              <w:rPr>
                <w:color w:val="2D3748"/>
                <w:sz w:val="18"/>
              </w:rPr>
              <w:t>−38.3% (Optimal Balance)</w:t>
            </w:r>
          </w:p>
        </w:tc>
      </w:tr>
      <w:tr>
        <w:tc>
          <w:tcPr>
            <w:tcW w:type="dxa" w:w="2592"/>
            <w:shd w:fill="FFFFFF"/>
            <w:tcMar>
              <w:top w:w="60" w:type="dxa"/>
              <w:bottom w:w="60" w:type="dxa"/>
              <w:left w:w="90" w:type="dxa"/>
              <w:right w:w="90" w:type="dxa"/>
            </w:tcMar>
          </w:tcPr>
          <w:p>
            <w:pPr>
              <w:spacing w:after="0"/>
            </w:pPr>
            <w:r>
              <w:rPr>
                <w:b/>
                <w:color w:val="2D3748"/>
                <w:sz w:val="18"/>
              </w:rPr>
              <w:t>Test Mean Dice Score</w:t>
            </w:r>
          </w:p>
        </w:tc>
        <w:tc>
          <w:tcPr>
            <w:tcW w:type="dxa" w:w="2160"/>
            <w:shd w:fill="FFFFFF"/>
            <w:tcMar>
              <w:top w:w="60" w:type="dxa"/>
              <w:bottom w:w="60" w:type="dxa"/>
              <w:left w:w="90" w:type="dxa"/>
              <w:right w:w="90" w:type="dxa"/>
            </w:tcMar>
          </w:tcPr>
          <w:p>
            <w:pPr>
              <w:spacing w:after="0"/>
            </w:pPr>
            <w:r>
              <w:rPr>
                <w:color w:val="2D3748"/>
                <w:sz w:val="18"/>
              </w:rPr>
              <w:t>86.79%</w:t>
            </w:r>
          </w:p>
        </w:tc>
        <w:tc>
          <w:tcPr>
            <w:tcW w:type="dxa" w:w="2304"/>
            <w:shd w:fill="FFFFFF"/>
            <w:tcMar>
              <w:top w:w="60" w:type="dxa"/>
              <w:bottom w:w="60" w:type="dxa"/>
              <w:left w:w="90" w:type="dxa"/>
              <w:right w:w="90" w:type="dxa"/>
            </w:tcMar>
          </w:tcPr>
          <w:p>
            <w:pPr>
              <w:spacing w:after="0"/>
            </w:pPr>
            <w:r>
              <w:rPr>
                <w:color w:val="2D3748"/>
                <w:sz w:val="18"/>
              </w:rPr>
              <w:t>85.40% (−1.39%)</w:t>
            </w:r>
          </w:p>
        </w:tc>
        <w:tc>
          <w:tcPr>
            <w:tcW w:type="dxa" w:w="2304"/>
            <w:shd w:fill="FFFFFF"/>
            <w:tcMar>
              <w:top w:w="60" w:type="dxa"/>
              <w:bottom w:w="60" w:type="dxa"/>
              <w:left w:w="90" w:type="dxa"/>
              <w:right w:w="90" w:type="dxa"/>
            </w:tcMar>
          </w:tcPr>
          <w:p>
            <w:pPr>
              <w:spacing w:after="0"/>
            </w:pPr>
            <w:r>
              <w:rPr>
                <w:color w:val="2D3748"/>
                <w:sz w:val="18"/>
              </w:rPr>
              <w:t>86.41% (−0.38%) [99.56% retained]</w:t>
            </w:r>
          </w:p>
        </w:tc>
      </w:tr>
      <w:tr>
        <w:tc>
          <w:tcPr>
            <w:tcW w:type="dxa" w:w="2592"/>
            <w:shd w:fill="F7FAFC"/>
            <w:tcMar>
              <w:top w:w="60" w:type="dxa"/>
              <w:bottom w:w="60" w:type="dxa"/>
              <w:left w:w="90" w:type="dxa"/>
              <w:right w:w="90" w:type="dxa"/>
            </w:tcMar>
          </w:tcPr>
          <w:p>
            <w:pPr>
              <w:spacing w:after="0"/>
            </w:pPr>
            <w:r>
              <w:rPr>
                <w:b/>
                <w:color w:val="2D3748"/>
                <w:sz w:val="18"/>
              </w:rPr>
              <w:t>Test Median Dice Score</w:t>
            </w:r>
          </w:p>
        </w:tc>
        <w:tc>
          <w:tcPr>
            <w:tcW w:type="dxa" w:w="2160"/>
            <w:shd w:fill="F7FAFC"/>
            <w:tcMar>
              <w:top w:w="60" w:type="dxa"/>
              <w:bottom w:w="60" w:type="dxa"/>
              <w:left w:w="90" w:type="dxa"/>
              <w:right w:w="90" w:type="dxa"/>
            </w:tcMar>
          </w:tcPr>
          <w:p>
            <w:pPr>
              <w:spacing w:after="0"/>
            </w:pPr>
            <w:r>
              <w:rPr>
                <w:color w:val="2D3748"/>
                <w:sz w:val="18"/>
              </w:rPr>
              <w:t>93.86%</w:t>
            </w:r>
          </w:p>
        </w:tc>
        <w:tc>
          <w:tcPr>
            <w:tcW w:type="dxa" w:w="2304"/>
            <w:shd w:fill="F7FAFC"/>
            <w:tcMar>
              <w:top w:w="60" w:type="dxa"/>
              <w:bottom w:w="60" w:type="dxa"/>
              <w:left w:w="90" w:type="dxa"/>
              <w:right w:w="90" w:type="dxa"/>
            </w:tcMar>
          </w:tcPr>
          <w:p>
            <w:pPr>
              <w:spacing w:after="0"/>
            </w:pPr>
            <w:r>
              <w:rPr>
                <w:color w:val="2D3748"/>
                <w:sz w:val="18"/>
              </w:rPr>
              <w:t>92.10%</w:t>
            </w:r>
          </w:p>
        </w:tc>
        <w:tc>
          <w:tcPr>
            <w:tcW w:type="dxa" w:w="2304"/>
            <w:shd w:fill="F7FAFC"/>
            <w:tcMar>
              <w:top w:w="60" w:type="dxa"/>
              <w:bottom w:w="60" w:type="dxa"/>
              <w:left w:w="90" w:type="dxa"/>
              <w:right w:w="90" w:type="dxa"/>
            </w:tcMar>
          </w:tcPr>
          <w:p>
            <w:pPr>
              <w:spacing w:after="0"/>
            </w:pPr>
            <w:r>
              <w:rPr>
                <w:color w:val="2D3748"/>
                <w:sz w:val="18"/>
              </w:rPr>
              <w:t>93.46% (−0.40%)</w:t>
            </w:r>
          </w:p>
        </w:tc>
      </w:tr>
      <w:tr>
        <w:tc>
          <w:tcPr>
            <w:tcW w:type="dxa" w:w="2592"/>
            <w:shd w:fill="FFFFFF"/>
            <w:tcMar>
              <w:top w:w="60" w:type="dxa"/>
              <w:bottom w:w="60" w:type="dxa"/>
              <w:left w:w="90" w:type="dxa"/>
              <w:right w:w="90" w:type="dxa"/>
            </w:tcMar>
          </w:tcPr>
          <w:p>
            <w:pPr>
              <w:spacing w:after="0"/>
            </w:pPr>
            <w:r>
              <w:rPr>
                <w:b/>
                <w:color w:val="2D3748"/>
                <w:sz w:val="18"/>
              </w:rPr>
              <w:t>Test Mean IoU Score</w:t>
            </w:r>
          </w:p>
        </w:tc>
        <w:tc>
          <w:tcPr>
            <w:tcW w:type="dxa" w:w="2160"/>
            <w:shd w:fill="FFFFFF"/>
            <w:tcMar>
              <w:top w:w="60" w:type="dxa"/>
              <w:bottom w:w="60" w:type="dxa"/>
              <w:left w:w="90" w:type="dxa"/>
              <w:right w:w="90" w:type="dxa"/>
            </w:tcMar>
          </w:tcPr>
          <w:p>
            <w:pPr>
              <w:spacing w:after="0"/>
            </w:pPr>
            <w:r>
              <w:rPr>
                <w:color w:val="2D3748"/>
                <w:sz w:val="18"/>
              </w:rPr>
              <w:t>80.00%</w:t>
            </w:r>
          </w:p>
        </w:tc>
        <w:tc>
          <w:tcPr>
            <w:tcW w:type="dxa" w:w="2304"/>
            <w:shd w:fill="FFFFFF"/>
            <w:tcMar>
              <w:top w:w="60" w:type="dxa"/>
              <w:bottom w:w="60" w:type="dxa"/>
              <w:left w:w="90" w:type="dxa"/>
              <w:right w:w="90" w:type="dxa"/>
            </w:tcMar>
          </w:tcPr>
          <w:p>
            <w:pPr>
              <w:spacing w:after="0"/>
            </w:pPr>
            <w:r>
              <w:rPr>
                <w:color w:val="2D3748"/>
                <w:sz w:val="18"/>
              </w:rPr>
              <w:t>77.92%</w:t>
            </w:r>
          </w:p>
        </w:tc>
        <w:tc>
          <w:tcPr>
            <w:tcW w:type="dxa" w:w="2304"/>
            <w:shd w:fill="FFFFFF"/>
            <w:tcMar>
              <w:top w:w="60" w:type="dxa"/>
              <w:bottom w:w="60" w:type="dxa"/>
              <w:left w:w="90" w:type="dxa"/>
              <w:right w:w="90" w:type="dxa"/>
            </w:tcMar>
          </w:tcPr>
          <w:p>
            <w:pPr>
              <w:spacing w:after="0"/>
            </w:pPr>
            <w:r>
              <w:rPr>
                <w:color w:val="2D3748"/>
                <w:sz w:val="18"/>
              </w:rPr>
              <w:t>79.38% (−0.62%)</w:t>
            </w:r>
          </w:p>
        </w:tc>
      </w:tr>
      <w:tr>
        <w:tc>
          <w:tcPr>
            <w:tcW w:type="dxa" w:w="2592"/>
            <w:shd w:fill="F7FAFC"/>
            <w:tcMar>
              <w:top w:w="60" w:type="dxa"/>
              <w:bottom w:w="60" w:type="dxa"/>
              <w:left w:w="90" w:type="dxa"/>
              <w:right w:w="90" w:type="dxa"/>
            </w:tcMar>
          </w:tcPr>
          <w:p>
            <w:pPr>
              <w:spacing w:after="0"/>
            </w:pPr>
            <w:r>
              <w:rPr>
                <w:b/>
                <w:color w:val="2D3748"/>
                <w:sz w:val="18"/>
              </w:rPr>
              <w:t>Dice Variance (Std)</w:t>
            </w:r>
          </w:p>
        </w:tc>
        <w:tc>
          <w:tcPr>
            <w:tcW w:type="dxa" w:w="2160"/>
            <w:shd w:fill="F7FAFC"/>
            <w:tcMar>
              <w:top w:w="60" w:type="dxa"/>
              <w:bottom w:w="60" w:type="dxa"/>
              <w:left w:w="90" w:type="dxa"/>
              <w:right w:w="90" w:type="dxa"/>
            </w:tcMar>
          </w:tcPr>
          <w:p>
            <w:pPr>
              <w:spacing w:after="0"/>
            </w:pPr>
            <w:r>
              <w:rPr>
                <w:color w:val="2D3748"/>
                <w:sz w:val="18"/>
              </w:rPr>
              <w:t>0.1841</w:t>
            </w:r>
          </w:p>
        </w:tc>
        <w:tc>
          <w:tcPr>
            <w:tcW w:type="dxa" w:w="2304"/>
            <w:shd w:fill="F7FAFC"/>
            <w:tcMar>
              <w:top w:w="60" w:type="dxa"/>
              <w:bottom w:w="60" w:type="dxa"/>
              <w:left w:w="90" w:type="dxa"/>
              <w:right w:w="90" w:type="dxa"/>
            </w:tcMar>
          </w:tcPr>
          <w:p>
            <w:pPr>
              <w:spacing w:after="0"/>
            </w:pPr>
            <w:r>
              <w:rPr>
                <w:color w:val="2D3748"/>
                <w:sz w:val="18"/>
              </w:rPr>
              <w:t>0.1912</w:t>
            </w:r>
          </w:p>
        </w:tc>
        <w:tc>
          <w:tcPr>
            <w:tcW w:type="dxa" w:w="2304"/>
            <w:shd w:fill="F7FAFC"/>
            <w:tcMar>
              <w:top w:w="60" w:type="dxa"/>
              <w:bottom w:w="60" w:type="dxa"/>
              <w:left w:w="90" w:type="dxa"/>
              <w:right w:w="90" w:type="dxa"/>
            </w:tcMar>
          </w:tcPr>
          <w:p>
            <w:pPr>
              <w:spacing w:after="0"/>
            </w:pPr>
            <w:r>
              <w:rPr>
                <w:color w:val="2D3748"/>
                <w:sz w:val="18"/>
              </w:rPr>
              <w:t>0.1836 (Lowest Variance)</w:t>
            </w:r>
          </w:p>
        </w:tc>
      </w:tr>
      <w:tr>
        <w:tc>
          <w:tcPr>
            <w:tcW w:type="dxa" w:w="2592"/>
            <w:shd w:fill="FFFFFF"/>
            <w:tcMar>
              <w:top w:w="60" w:type="dxa"/>
              <w:bottom w:w="60" w:type="dxa"/>
              <w:left w:w="90" w:type="dxa"/>
              <w:right w:w="90" w:type="dxa"/>
            </w:tcMar>
          </w:tcPr>
          <w:p>
            <w:pPr>
              <w:spacing w:after="0"/>
            </w:pPr>
            <w:r>
              <w:rPr>
                <w:b/>
                <w:color w:val="2D3748"/>
                <w:sz w:val="18"/>
              </w:rPr>
              <w:t>Combined Test Loss</w:t>
            </w:r>
          </w:p>
        </w:tc>
        <w:tc>
          <w:tcPr>
            <w:tcW w:type="dxa" w:w="2160"/>
            <w:shd w:fill="FFFFFF"/>
            <w:tcMar>
              <w:top w:w="60" w:type="dxa"/>
              <w:bottom w:w="60" w:type="dxa"/>
              <w:left w:w="90" w:type="dxa"/>
              <w:right w:w="90" w:type="dxa"/>
            </w:tcMar>
          </w:tcPr>
          <w:p>
            <w:pPr>
              <w:spacing w:after="0"/>
            </w:pPr>
            <w:r>
              <w:rPr>
                <w:color w:val="2D3748"/>
                <w:sz w:val="18"/>
              </w:rPr>
              <w:t>0.0773</w:t>
            </w:r>
          </w:p>
        </w:tc>
        <w:tc>
          <w:tcPr>
            <w:tcW w:type="dxa" w:w="2304"/>
            <w:shd w:fill="FFFFFF"/>
            <w:tcMar>
              <w:top w:w="60" w:type="dxa"/>
              <w:bottom w:w="60" w:type="dxa"/>
              <w:left w:w="90" w:type="dxa"/>
              <w:right w:w="90" w:type="dxa"/>
            </w:tcMar>
          </w:tcPr>
          <w:p>
            <w:pPr>
              <w:spacing w:after="0"/>
            </w:pPr>
            <w:r>
              <w:rPr>
                <w:color w:val="2D3748"/>
                <w:sz w:val="18"/>
              </w:rPr>
              <w:t>0.0866</w:t>
            </w:r>
          </w:p>
        </w:tc>
        <w:tc>
          <w:tcPr>
            <w:tcW w:type="dxa" w:w="2304"/>
            <w:shd w:fill="FFFFFF"/>
            <w:tcMar>
              <w:top w:w="60" w:type="dxa"/>
              <w:bottom w:w="60" w:type="dxa"/>
              <w:left w:w="90" w:type="dxa"/>
              <w:right w:w="90" w:type="dxa"/>
            </w:tcMar>
          </w:tcPr>
          <w:p>
            <w:pPr>
              <w:spacing w:after="0"/>
            </w:pPr>
            <w:r>
              <w:rPr>
                <w:color w:val="2D3748"/>
                <w:sz w:val="18"/>
              </w:rPr>
              <w:t>0.0784 (Matches baseline)</w:t>
            </w:r>
          </w:p>
        </w:tc>
      </w:tr>
      <w:tr>
        <w:tc>
          <w:tcPr>
            <w:tcW w:type="dxa" w:w="2592"/>
            <w:shd w:fill="F7FAFC"/>
            <w:tcMar>
              <w:top w:w="60" w:type="dxa"/>
              <w:bottom w:w="60" w:type="dxa"/>
              <w:left w:w="90" w:type="dxa"/>
              <w:right w:w="90" w:type="dxa"/>
            </w:tcMar>
          </w:tcPr>
          <w:p>
            <w:pPr>
              <w:spacing w:after="0"/>
            </w:pPr>
            <w:r>
              <w:rPr>
                <w:b/>
                <w:color w:val="2D3748"/>
                <w:sz w:val="18"/>
              </w:rPr>
              <w:t>Optimizer &amp; Schedule</w:t>
            </w:r>
          </w:p>
        </w:tc>
        <w:tc>
          <w:tcPr>
            <w:tcW w:type="dxa" w:w="2160"/>
            <w:shd w:fill="F7FAFC"/>
            <w:tcMar>
              <w:top w:w="60" w:type="dxa"/>
              <w:bottom w:w="60" w:type="dxa"/>
              <w:left w:w="90" w:type="dxa"/>
              <w:right w:w="90" w:type="dxa"/>
            </w:tcMar>
          </w:tcPr>
          <w:p>
            <w:pPr>
              <w:spacing w:after="0"/>
            </w:pPr>
            <w:r>
              <w:rPr>
                <w:color w:val="2D3748"/>
                <w:sz w:val="18"/>
              </w:rPr>
              <w:t>Adam 1e-4 (Plateau)</w:t>
            </w:r>
          </w:p>
        </w:tc>
        <w:tc>
          <w:tcPr>
            <w:tcW w:type="dxa" w:w="2304"/>
            <w:shd w:fill="F7FAFC"/>
            <w:tcMar>
              <w:top w:w="60" w:type="dxa"/>
              <w:bottom w:w="60" w:type="dxa"/>
              <w:left w:w="90" w:type="dxa"/>
              <w:right w:w="90" w:type="dxa"/>
            </w:tcMar>
          </w:tcPr>
          <w:p>
            <w:pPr>
              <w:spacing w:after="0"/>
            </w:pPr>
            <w:r>
              <w:rPr>
                <w:color w:val="2D3748"/>
                <w:sz w:val="18"/>
              </w:rPr>
              <w:t>Adam 1e-4 (Plateau)</w:t>
            </w:r>
          </w:p>
        </w:tc>
        <w:tc>
          <w:tcPr>
            <w:tcW w:type="dxa" w:w="2304"/>
            <w:shd w:fill="F7FAFC"/>
            <w:tcMar>
              <w:top w:w="60" w:type="dxa"/>
              <w:bottom w:w="60" w:type="dxa"/>
              <w:left w:w="90" w:type="dxa"/>
              <w:right w:w="90" w:type="dxa"/>
            </w:tcMar>
          </w:tcPr>
          <w:p>
            <w:pPr>
              <w:spacing w:after="0"/>
            </w:pPr>
            <w:r>
              <w:rPr>
                <w:color w:val="2D3748"/>
                <w:sz w:val="18"/>
              </w:rPr>
              <w:t>Adam 2e-4 (Cosine Annealing)</w:t>
            </w:r>
          </w:p>
        </w:tc>
      </w:tr>
      <w:tr>
        <w:tc>
          <w:tcPr>
            <w:tcW w:type="dxa" w:w="2592"/>
            <w:shd w:fill="FFFFFF"/>
            <w:tcMar>
              <w:top w:w="60" w:type="dxa"/>
              <w:bottom w:w="60" w:type="dxa"/>
              <w:left w:w="90" w:type="dxa"/>
              <w:right w:w="90" w:type="dxa"/>
            </w:tcMar>
          </w:tcPr>
          <w:p>
            <w:pPr>
              <w:spacing w:after="0"/>
            </w:pPr>
            <w:r>
              <w:rPr>
                <w:b/>
                <w:color w:val="2D3748"/>
                <w:sz w:val="18"/>
              </w:rPr>
              <w:t>Active Weight Checkpoint</w:t>
            </w:r>
          </w:p>
        </w:tc>
        <w:tc>
          <w:tcPr>
            <w:tcW w:type="dxa" w:w="2160"/>
            <w:shd w:fill="FFFFFF"/>
            <w:tcMar>
              <w:top w:w="60" w:type="dxa"/>
              <w:bottom w:w="60" w:type="dxa"/>
              <w:left w:w="90" w:type="dxa"/>
              <w:right w:w="90" w:type="dxa"/>
            </w:tcMar>
          </w:tcPr>
          <w:p>
            <w:pPr>
              <w:spacing w:after="0"/>
            </w:pPr>
            <w:r>
              <w:rPr>
                <w:color w:val="2D3748"/>
                <w:sz w:val="18"/>
              </w:rPr>
              <w:t>unet_brisc.pth</w:t>
            </w:r>
          </w:p>
        </w:tc>
        <w:tc>
          <w:tcPr>
            <w:tcW w:type="dxa" w:w="2304"/>
            <w:shd w:fill="FFFFFF"/>
            <w:tcMar>
              <w:top w:w="60" w:type="dxa"/>
              <w:bottom w:w="60" w:type="dxa"/>
              <w:left w:w="90" w:type="dxa"/>
              <w:right w:w="90" w:type="dxa"/>
            </w:tcMar>
          </w:tcPr>
          <w:p>
            <w:pPr>
              <w:spacing w:after="0"/>
            </w:pPr>
            <w:r>
              <w:rPr>
                <w:color w:val="2D3748"/>
                <w:sz w:val="18"/>
              </w:rPr>
              <w:t>geosample_unet_brisc.pth</w:t>
            </w:r>
          </w:p>
        </w:tc>
        <w:tc>
          <w:tcPr>
            <w:tcW w:type="dxa" w:w="2304"/>
            <w:shd w:fill="FFFFFF"/>
            <w:tcMar>
              <w:top w:w="60" w:type="dxa"/>
              <w:bottom w:w="60" w:type="dxa"/>
              <w:left w:w="90" w:type="dxa"/>
              <w:right w:w="90" w:type="dxa"/>
            </w:tcMar>
          </w:tcPr>
          <w:p>
            <w:pPr>
              <w:spacing w:after="0"/>
            </w:pPr>
            <w:r>
              <w:rPr>
                <w:color w:val="2D3748"/>
                <w:sz w:val="18"/>
              </w:rPr>
              <w:t>geosample_unet_brisc_2.pth</w:t>
            </w:r>
          </w:p>
        </w:tc>
      </w:tr>
    </w:tbl>
    <w:p>
      <w:pPr>
        <w:spacing w:after="160"/>
      </w:pPr>
    </w:p>
    <w:p>
      <w:pPr>
        <w:keepNext/>
        <w:spacing w:before="320" w:after="120"/>
      </w:pPr>
      <w:r>
        <w:rPr>
          <w:rFonts w:ascii="Calibri" w:hAnsi="Calibri"/>
          <w:b/>
          <w:color w:val="1A365D"/>
          <w:sz w:val="32"/>
        </w:rPr>
        <w:t>6. Phase 4: Current Work — Attention Gates on Skip Connections</w:t>
      </w:r>
    </w:p>
    <w:p>
      <w:pPr>
        <w:keepNext/>
        <w:spacing w:before="240" w:after="80"/>
      </w:pPr>
      <w:r>
        <w:rPr>
          <w:rFonts w:ascii="Calibri" w:hAnsi="Calibri"/>
          <w:b/>
          <w:color w:val="2B6CB0"/>
          <w:sz w:val="26"/>
        </w:rPr>
        <w:t>6.1 Theoretical Motivation &amp; Additive Attention Gates</w:t>
      </w:r>
    </w:p>
    <w:p>
      <w:r>
        <w:t>A well-documented limitation of classical skip connections is that they indiscriminately transfer all spatial activations from the contracting encoder to the decoder. In neuro-oncology, high-frequency signals corresponding to the cranial skull, dura mater, ocular orbits, and healthy parenchyma are copied into the decoder, occasionally leading to false-positive boundary leaks.</w:t>
      </w:r>
    </w:p>
    <w:p>
      <w:r>
        <w:t>To address this, we adapted the Additive Attention Gate (AG) mechanism proposed by Oktay et al. (2018). An Attention Gate utilizes the coarser gating signal g from the deeper decoder stage (which has broad contextual understanding of lesion location) to modulate and filter the high-resolution skip feature x from the encoder before concatenation.</w:t>
      </w:r>
    </w:p>
    <w:p>
      <w:pPr>
        <w:keepNext/>
        <w:spacing w:before="240" w:after="80"/>
      </w:pPr>
      <w:r>
        <w:rPr>
          <w:rFonts w:ascii="Calibri" w:hAnsi="Calibri"/>
          <w:b/>
          <w:color w:val="2B6CB0"/>
          <w:sz w:val="26"/>
        </w:rPr>
        <w:t>6.2 Mathematical Formulation</w:t>
      </w:r>
    </w:p>
    <w:p>
      <w:r>
        <w:t>The Attention Gate operates through linear projections into an intermediate channel space F_int = skip_channels // 2:</w:t>
        <w:br/>
        <w:t>1. Linear transformation of gating signal: θ_g = W_g * g + b_g  ∈ ℝ^(B × F_int × H × W)</w:t>
        <w:br/>
        <w:t>2. Linear transformation of skip feature:   θ_x = W_x * x + b_x  ∈ ℝ^(B × F_int × H × W)</w:t>
        <w:br/>
        <w:t>3. Additive non-linear combination:         f = ReLU(θ_g + θ_x)</w:t>
        <w:br/>
        <w:t>4. Spatial attention coefficient generation:  α = σ(ψ^T * f + b_ψ) ∈ [0, 1]^(B × 1 × H × W)</w:t>
        <w:br/>
        <w:t>5. Attention-weighted skip feature output:  x̂ = x ⊙ α</w:t>
      </w:r>
    </w:p>
    <w:p>
      <w:r>
        <w:t>Pixels in non-tumor tissue receive attention weights near 0.0 (suppression), while pixels within the tumor margin receive weights approaching 1.0 (retention). Because x̂ retains the exact shape of x, downstream decoder convolutions require zero channel adjustments.</w:t>
      </w:r>
    </w:p>
    <w:p>
      <w:pPr>
        <w:keepNext/>
        <w:spacing w:before="240" w:after="80"/>
      </w:pPr>
      <w:r>
        <w:rPr>
          <w:rFonts w:ascii="Calibri" w:hAnsi="Calibri"/>
          <w:b/>
          <w:color w:val="2B6CB0"/>
          <w:sz w:val="26"/>
        </w:rPr>
        <w:t>6.3 Architectural Channel Tracing &amp; Parameter Overhead</w:t>
      </w:r>
    </w:p>
    <w:p>
      <w:r>
        <w:t>Attention Gates were integrated across all four decoder stages (dec4, dec3, dec2, dec1) of our baseline U-Net backbone (f=32):</w:t>
      </w:r>
    </w:p>
    <w:tbl>
      <w:tblPr>
        <w:tblW w:type="auto" w:w="0"/>
        <w:jc w:val="center"/>
        <w:tblLook w:firstColumn="1" w:firstRow="1" w:lastColumn="0" w:lastRow="0" w:noHBand="0" w:noVBand="1" w:val="04A0"/>
        <w:tblBorders>
          <w:top w:val="single" w:sz="6" w:space="0" w:color="CBD5E0"/>
          <w:bottom w:val="single" w:sz="6" w:space="0" w:color="CBD5E0"/>
          <w:insideH w:val="single" w:sz="6" w:space="0" w:color="CBD5E0"/>
          <w:insideV w:val="none"/>
          <w:left w:val="none"/>
          <w:right w:val="none"/>
        </w:tblBorders>
      </w:tblPr>
      <w:tblGrid>
        <w:gridCol w:w="1560"/>
        <w:gridCol w:w="1560"/>
        <w:gridCol w:w="1560"/>
        <w:gridCol w:w="1560"/>
        <w:gridCol w:w="1560"/>
        <w:gridCol w:w="1560"/>
      </w:tblGrid>
      <w:tr>
        <w:tc>
          <w:tcPr>
            <w:tcW w:type="dxa" w:w="1728"/>
            <w:shd w:fill="1A365D"/>
            <w:tcMar>
              <w:top w:w="80" w:type="dxa"/>
              <w:bottom w:w="80" w:type="dxa"/>
              <w:left w:w="90" w:type="dxa"/>
              <w:right w:w="90" w:type="dxa"/>
            </w:tcMar>
          </w:tcPr>
          <w:p>
            <w:pPr>
              <w:spacing w:after="0"/>
            </w:pPr>
            <w:r>
              <w:rPr>
                <w:b/>
                <w:color w:val="FFFFFF"/>
                <w:sz w:val="19"/>
              </w:rPr>
              <w:t>Stage</w:t>
            </w:r>
          </w:p>
        </w:tc>
        <w:tc>
          <w:tcPr>
            <w:tcW w:type="dxa" w:w="2016"/>
            <w:shd w:fill="1A365D"/>
            <w:tcMar>
              <w:top w:w="80" w:type="dxa"/>
              <w:bottom w:w="80" w:type="dxa"/>
              <w:left w:w="90" w:type="dxa"/>
              <w:right w:w="90" w:type="dxa"/>
            </w:tcMar>
          </w:tcPr>
          <w:p>
            <w:pPr>
              <w:spacing w:after="0"/>
            </w:pPr>
            <w:r>
              <w:rPr>
                <w:b/>
                <w:color w:val="FFFFFF"/>
                <w:sz w:val="19"/>
              </w:rPr>
              <w:t>Gating Signal (g)</w:t>
            </w:r>
          </w:p>
        </w:tc>
        <w:tc>
          <w:tcPr>
            <w:tcW w:type="dxa" w:w="1872"/>
            <w:shd w:fill="1A365D"/>
            <w:tcMar>
              <w:top w:w="80" w:type="dxa"/>
              <w:bottom w:w="80" w:type="dxa"/>
              <w:left w:w="90" w:type="dxa"/>
              <w:right w:w="90" w:type="dxa"/>
            </w:tcMar>
          </w:tcPr>
          <w:p>
            <w:pPr>
              <w:spacing w:after="0"/>
            </w:pPr>
            <w:r>
              <w:rPr>
                <w:b/>
                <w:color w:val="FFFFFF"/>
                <w:sz w:val="19"/>
              </w:rPr>
              <w:t>Encoder Skip (x)</w:t>
            </w:r>
          </w:p>
        </w:tc>
        <w:tc>
          <w:tcPr>
            <w:tcW w:type="dxa" w:w="1152"/>
            <w:shd w:fill="1A365D"/>
            <w:tcMar>
              <w:top w:w="80" w:type="dxa"/>
              <w:bottom w:w="80" w:type="dxa"/>
              <w:left w:w="90" w:type="dxa"/>
              <w:right w:w="90" w:type="dxa"/>
            </w:tcMar>
          </w:tcPr>
          <w:p>
            <w:pPr>
              <w:spacing w:after="0"/>
            </w:pPr>
            <w:r>
              <w:rPr>
                <w:b/>
                <w:color w:val="FFFFFF"/>
                <w:sz w:val="19"/>
              </w:rPr>
              <w:t>AG Inter (F_int)</w:t>
            </w:r>
          </w:p>
        </w:tc>
        <w:tc>
          <w:tcPr>
            <w:tcW w:type="dxa" w:w="1440"/>
            <w:shd w:fill="1A365D"/>
            <w:tcMar>
              <w:top w:w="80" w:type="dxa"/>
              <w:bottom w:w="80" w:type="dxa"/>
              <w:left w:w="90" w:type="dxa"/>
              <w:right w:w="90" w:type="dxa"/>
            </w:tcMar>
          </w:tcPr>
          <w:p>
            <w:pPr>
              <w:spacing w:after="0"/>
            </w:pPr>
            <w:r>
              <w:rPr>
                <w:b/>
                <w:color w:val="FFFFFF"/>
                <w:sz w:val="19"/>
              </w:rPr>
              <w:t>Concat Channels</w:t>
            </w:r>
          </w:p>
        </w:tc>
        <w:tc>
          <w:tcPr>
            <w:tcW w:type="dxa" w:w="1152"/>
            <w:shd w:fill="1A365D"/>
            <w:tcMar>
              <w:top w:w="80" w:type="dxa"/>
              <w:bottom w:w="80" w:type="dxa"/>
              <w:left w:w="90" w:type="dxa"/>
              <w:right w:w="90" w:type="dxa"/>
            </w:tcMar>
          </w:tcPr>
          <w:p>
            <w:pPr>
              <w:spacing w:after="0"/>
            </w:pPr>
            <w:r>
              <w:rPr>
                <w:b/>
                <w:color w:val="FFFFFF"/>
                <w:sz w:val="19"/>
              </w:rPr>
              <w:t>Output Map</w:t>
            </w:r>
          </w:p>
        </w:tc>
      </w:tr>
      <w:tr>
        <w:tc>
          <w:tcPr>
            <w:tcW w:type="dxa" w:w="1728"/>
            <w:shd w:fill="FFFFFF"/>
            <w:tcMar>
              <w:top w:w="60" w:type="dxa"/>
              <w:bottom w:w="60" w:type="dxa"/>
              <w:left w:w="90" w:type="dxa"/>
              <w:right w:w="90" w:type="dxa"/>
            </w:tcMar>
          </w:tcPr>
          <w:p>
            <w:pPr>
              <w:spacing w:after="0"/>
            </w:pPr>
            <w:r>
              <w:rPr>
                <w:b/>
                <w:color w:val="2D3748"/>
                <w:sz w:val="18"/>
              </w:rPr>
              <w:t>Decoder Stage 4</w:t>
            </w:r>
          </w:p>
        </w:tc>
        <w:tc>
          <w:tcPr>
            <w:tcW w:type="dxa" w:w="2016"/>
            <w:shd w:fill="FFFFFF"/>
            <w:tcMar>
              <w:top w:w="60" w:type="dxa"/>
              <w:bottom w:w="60" w:type="dxa"/>
              <w:left w:w="90" w:type="dxa"/>
              <w:right w:w="90" w:type="dxa"/>
            </w:tcMar>
          </w:tcPr>
          <w:p>
            <w:pPr>
              <w:spacing w:after="0"/>
            </w:pPr>
            <w:r>
              <w:rPr>
                <w:color w:val="2D3748"/>
                <w:sz w:val="18"/>
              </w:rPr>
              <w:t>Bottleneck (512, 16×16)</w:t>
            </w:r>
          </w:p>
        </w:tc>
        <w:tc>
          <w:tcPr>
            <w:tcW w:type="dxa" w:w="1872"/>
            <w:shd w:fill="FFFFFF"/>
            <w:tcMar>
              <w:top w:w="60" w:type="dxa"/>
              <w:bottom w:w="60" w:type="dxa"/>
              <w:left w:w="90" w:type="dxa"/>
              <w:right w:w="90" w:type="dxa"/>
            </w:tcMar>
          </w:tcPr>
          <w:p>
            <w:pPr>
              <w:spacing w:after="0"/>
            </w:pPr>
            <w:r>
              <w:rPr>
                <w:color w:val="2D3748"/>
                <w:sz w:val="18"/>
              </w:rPr>
              <w:t>Enc 4 Skip (256, 32×32)</w:t>
            </w:r>
          </w:p>
        </w:tc>
        <w:tc>
          <w:tcPr>
            <w:tcW w:type="dxa" w:w="1152"/>
            <w:shd w:fill="FFFFFF"/>
            <w:tcMar>
              <w:top w:w="60" w:type="dxa"/>
              <w:bottom w:w="60" w:type="dxa"/>
              <w:left w:w="90" w:type="dxa"/>
              <w:right w:w="90" w:type="dxa"/>
            </w:tcMar>
          </w:tcPr>
          <w:p>
            <w:pPr>
              <w:spacing w:after="0"/>
            </w:pPr>
            <w:r>
              <w:rPr>
                <w:color w:val="2D3748"/>
                <w:sz w:val="18"/>
              </w:rPr>
              <w:t>128</w:t>
            </w:r>
          </w:p>
        </w:tc>
        <w:tc>
          <w:tcPr>
            <w:tcW w:type="dxa" w:w="1440"/>
            <w:shd w:fill="FFFFFF"/>
            <w:tcMar>
              <w:top w:w="60" w:type="dxa"/>
              <w:bottom w:w="60" w:type="dxa"/>
              <w:left w:w="90" w:type="dxa"/>
              <w:right w:w="90" w:type="dxa"/>
            </w:tcMar>
          </w:tcPr>
          <w:p>
            <w:pPr>
              <w:spacing w:after="0"/>
            </w:pPr>
            <w:r>
              <w:rPr>
                <w:color w:val="2D3748"/>
                <w:sz w:val="18"/>
              </w:rPr>
              <w:t>256 + 512 = 768</w:t>
            </w:r>
          </w:p>
        </w:tc>
        <w:tc>
          <w:tcPr>
            <w:tcW w:type="dxa" w:w="1152"/>
            <w:shd w:fill="FFFFFF"/>
            <w:tcMar>
              <w:top w:w="60" w:type="dxa"/>
              <w:bottom w:w="60" w:type="dxa"/>
              <w:left w:w="90" w:type="dxa"/>
              <w:right w:w="90" w:type="dxa"/>
            </w:tcMar>
          </w:tcPr>
          <w:p>
            <w:pPr>
              <w:spacing w:after="0"/>
            </w:pPr>
            <w:r>
              <w:rPr>
                <w:color w:val="2D3748"/>
                <w:sz w:val="18"/>
              </w:rPr>
              <w:t>256 (32×32)</w:t>
            </w:r>
          </w:p>
        </w:tc>
      </w:tr>
      <w:tr>
        <w:tc>
          <w:tcPr>
            <w:tcW w:type="dxa" w:w="1728"/>
            <w:shd w:fill="F7FAFC"/>
            <w:tcMar>
              <w:top w:w="60" w:type="dxa"/>
              <w:bottom w:w="60" w:type="dxa"/>
              <w:left w:w="90" w:type="dxa"/>
              <w:right w:w="90" w:type="dxa"/>
            </w:tcMar>
          </w:tcPr>
          <w:p>
            <w:pPr>
              <w:spacing w:after="0"/>
            </w:pPr>
            <w:r>
              <w:rPr>
                <w:b/>
                <w:color w:val="2D3748"/>
                <w:sz w:val="18"/>
              </w:rPr>
              <w:t>Decoder Stage 3</w:t>
            </w:r>
          </w:p>
        </w:tc>
        <w:tc>
          <w:tcPr>
            <w:tcW w:type="dxa" w:w="2016"/>
            <w:shd w:fill="F7FAFC"/>
            <w:tcMar>
              <w:top w:w="60" w:type="dxa"/>
              <w:bottom w:w="60" w:type="dxa"/>
              <w:left w:w="90" w:type="dxa"/>
              <w:right w:w="90" w:type="dxa"/>
            </w:tcMar>
          </w:tcPr>
          <w:p>
            <w:pPr>
              <w:spacing w:after="0"/>
            </w:pPr>
            <w:r>
              <w:rPr>
                <w:color w:val="2D3748"/>
                <w:sz w:val="18"/>
              </w:rPr>
              <w:t>Dec 4 (256, 32×32)</w:t>
            </w:r>
          </w:p>
        </w:tc>
        <w:tc>
          <w:tcPr>
            <w:tcW w:type="dxa" w:w="1872"/>
            <w:shd w:fill="F7FAFC"/>
            <w:tcMar>
              <w:top w:w="60" w:type="dxa"/>
              <w:bottom w:w="60" w:type="dxa"/>
              <w:left w:w="90" w:type="dxa"/>
              <w:right w:w="90" w:type="dxa"/>
            </w:tcMar>
          </w:tcPr>
          <w:p>
            <w:pPr>
              <w:spacing w:after="0"/>
            </w:pPr>
            <w:r>
              <w:rPr>
                <w:color w:val="2D3748"/>
                <w:sz w:val="18"/>
              </w:rPr>
              <w:t>Enc 3 Skip (128, 64×64)</w:t>
            </w:r>
          </w:p>
        </w:tc>
        <w:tc>
          <w:tcPr>
            <w:tcW w:type="dxa" w:w="1152"/>
            <w:shd w:fill="F7FAFC"/>
            <w:tcMar>
              <w:top w:w="60" w:type="dxa"/>
              <w:bottom w:w="60" w:type="dxa"/>
              <w:left w:w="90" w:type="dxa"/>
              <w:right w:w="90" w:type="dxa"/>
            </w:tcMar>
          </w:tcPr>
          <w:p>
            <w:pPr>
              <w:spacing w:after="0"/>
            </w:pPr>
            <w:r>
              <w:rPr>
                <w:color w:val="2D3748"/>
                <w:sz w:val="18"/>
              </w:rPr>
              <w:t>64</w:t>
            </w:r>
          </w:p>
        </w:tc>
        <w:tc>
          <w:tcPr>
            <w:tcW w:type="dxa" w:w="1440"/>
            <w:shd w:fill="F7FAFC"/>
            <w:tcMar>
              <w:top w:w="60" w:type="dxa"/>
              <w:bottom w:w="60" w:type="dxa"/>
              <w:left w:w="90" w:type="dxa"/>
              <w:right w:w="90" w:type="dxa"/>
            </w:tcMar>
          </w:tcPr>
          <w:p>
            <w:pPr>
              <w:spacing w:after="0"/>
            </w:pPr>
            <w:r>
              <w:rPr>
                <w:color w:val="2D3748"/>
                <w:sz w:val="18"/>
              </w:rPr>
              <w:t>128 + 256 = 384</w:t>
            </w:r>
          </w:p>
        </w:tc>
        <w:tc>
          <w:tcPr>
            <w:tcW w:type="dxa" w:w="1152"/>
            <w:shd w:fill="F7FAFC"/>
            <w:tcMar>
              <w:top w:w="60" w:type="dxa"/>
              <w:bottom w:w="60" w:type="dxa"/>
              <w:left w:w="90" w:type="dxa"/>
              <w:right w:w="90" w:type="dxa"/>
            </w:tcMar>
          </w:tcPr>
          <w:p>
            <w:pPr>
              <w:spacing w:after="0"/>
            </w:pPr>
            <w:r>
              <w:rPr>
                <w:color w:val="2D3748"/>
                <w:sz w:val="18"/>
              </w:rPr>
              <w:t>128 (64×64)</w:t>
            </w:r>
          </w:p>
        </w:tc>
      </w:tr>
      <w:tr>
        <w:tc>
          <w:tcPr>
            <w:tcW w:type="dxa" w:w="1728"/>
            <w:shd w:fill="FFFFFF"/>
            <w:tcMar>
              <w:top w:w="60" w:type="dxa"/>
              <w:bottom w:w="60" w:type="dxa"/>
              <w:left w:w="90" w:type="dxa"/>
              <w:right w:w="90" w:type="dxa"/>
            </w:tcMar>
          </w:tcPr>
          <w:p>
            <w:pPr>
              <w:spacing w:after="0"/>
            </w:pPr>
            <w:r>
              <w:rPr>
                <w:b/>
                <w:color w:val="2D3748"/>
                <w:sz w:val="18"/>
              </w:rPr>
              <w:t>Decoder Stage 2</w:t>
            </w:r>
          </w:p>
        </w:tc>
        <w:tc>
          <w:tcPr>
            <w:tcW w:type="dxa" w:w="2016"/>
            <w:shd w:fill="FFFFFF"/>
            <w:tcMar>
              <w:top w:w="60" w:type="dxa"/>
              <w:bottom w:w="60" w:type="dxa"/>
              <w:left w:w="90" w:type="dxa"/>
              <w:right w:w="90" w:type="dxa"/>
            </w:tcMar>
          </w:tcPr>
          <w:p>
            <w:pPr>
              <w:spacing w:after="0"/>
            </w:pPr>
            <w:r>
              <w:rPr>
                <w:color w:val="2D3748"/>
                <w:sz w:val="18"/>
              </w:rPr>
              <w:t>Dec 3 (128, 64×64)</w:t>
            </w:r>
          </w:p>
        </w:tc>
        <w:tc>
          <w:tcPr>
            <w:tcW w:type="dxa" w:w="1872"/>
            <w:shd w:fill="FFFFFF"/>
            <w:tcMar>
              <w:top w:w="60" w:type="dxa"/>
              <w:bottom w:w="60" w:type="dxa"/>
              <w:left w:w="90" w:type="dxa"/>
              <w:right w:w="90" w:type="dxa"/>
            </w:tcMar>
          </w:tcPr>
          <w:p>
            <w:pPr>
              <w:spacing w:after="0"/>
            </w:pPr>
            <w:r>
              <w:rPr>
                <w:color w:val="2D3748"/>
                <w:sz w:val="18"/>
              </w:rPr>
              <w:t>Enc 2 Skip (64, 128×128)</w:t>
            </w:r>
          </w:p>
        </w:tc>
        <w:tc>
          <w:tcPr>
            <w:tcW w:type="dxa" w:w="1152"/>
            <w:shd w:fill="FFFFFF"/>
            <w:tcMar>
              <w:top w:w="60" w:type="dxa"/>
              <w:bottom w:w="60" w:type="dxa"/>
              <w:left w:w="90" w:type="dxa"/>
              <w:right w:w="90" w:type="dxa"/>
            </w:tcMar>
          </w:tcPr>
          <w:p>
            <w:pPr>
              <w:spacing w:after="0"/>
            </w:pPr>
            <w:r>
              <w:rPr>
                <w:color w:val="2D3748"/>
                <w:sz w:val="18"/>
              </w:rPr>
              <w:t>32</w:t>
            </w:r>
          </w:p>
        </w:tc>
        <w:tc>
          <w:tcPr>
            <w:tcW w:type="dxa" w:w="1440"/>
            <w:shd w:fill="FFFFFF"/>
            <w:tcMar>
              <w:top w:w="60" w:type="dxa"/>
              <w:bottom w:w="60" w:type="dxa"/>
              <w:left w:w="90" w:type="dxa"/>
              <w:right w:w="90" w:type="dxa"/>
            </w:tcMar>
          </w:tcPr>
          <w:p>
            <w:pPr>
              <w:spacing w:after="0"/>
            </w:pPr>
            <w:r>
              <w:rPr>
                <w:color w:val="2D3748"/>
                <w:sz w:val="18"/>
              </w:rPr>
              <w:t>64 + 128 = 192</w:t>
            </w:r>
          </w:p>
        </w:tc>
        <w:tc>
          <w:tcPr>
            <w:tcW w:type="dxa" w:w="1152"/>
            <w:shd w:fill="FFFFFF"/>
            <w:tcMar>
              <w:top w:w="60" w:type="dxa"/>
              <w:bottom w:w="60" w:type="dxa"/>
              <w:left w:w="90" w:type="dxa"/>
              <w:right w:w="90" w:type="dxa"/>
            </w:tcMar>
          </w:tcPr>
          <w:p>
            <w:pPr>
              <w:spacing w:after="0"/>
            </w:pPr>
            <w:r>
              <w:rPr>
                <w:color w:val="2D3748"/>
                <w:sz w:val="18"/>
              </w:rPr>
              <w:t>64 (128×128)</w:t>
            </w:r>
          </w:p>
        </w:tc>
      </w:tr>
      <w:tr>
        <w:tc>
          <w:tcPr>
            <w:tcW w:type="dxa" w:w="1728"/>
            <w:shd w:fill="F7FAFC"/>
            <w:tcMar>
              <w:top w:w="60" w:type="dxa"/>
              <w:bottom w:w="60" w:type="dxa"/>
              <w:left w:w="90" w:type="dxa"/>
              <w:right w:w="90" w:type="dxa"/>
            </w:tcMar>
          </w:tcPr>
          <w:p>
            <w:pPr>
              <w:spacing w:after="0"/>
            </w:pPr>
            <w:r>
              <w:rPr>
                <w:b/>
                <w:color w:val="2D3748"/>
                <w:sz w:val="18"/>
              </w:rPr>
              <w:t>Decoder Stage 1</w:t>
            </w:r>
          </w:p>
        </w:tc>
        <w:tc>
          <w:tcPr>
            <w:tcW w:type="dxa" w:w="2016"/>
            <w:shd w:fill="F7FAFC"/>
            <w:tcMar>
              <w:top w:w="60" w:type="dxa"/>
              <w:bottom w:w="60" w:type="dxa"/>
              <w:left w:w="90" w:type="dxa"/>
              <w:right w:w="90" w:type="dxa"/>
            </w:tcMar>
          </w:tcPr>
          <w:p>
            <w:pPr>
              <w:spacing w:after="0"/>
            </w:pPr>
            <w:r>
              <w:rPr>
                <w:color w:val="2D3748"/>
                <w:sz w:val="18"/>
              </w:rPr>
              <w:t>Dec 2 (64, 128×128)</w:t>
            </w:r>
          </w:p>
        </w:tc>
        <w:tc>
          <w:tcPr>
            <w:tcW w:type="dxa" w:w="1872"/>
            <w:shd w:fill="F7FAFC"/>
            <w:tcMar>
              <w:top w:w="60" w:type="dxa"/>
              <w:bottom w:w="60" w:type="dxa"/>
              <w:left w:w="90" w:type="dxa"/>
              <w:right w:w="90" w:type="dxa"/>
            </w:tcMar>
          </w:tcPr>
          <w:p>
            <w:pPr>
              <w:spacing w:after="0"/>
            </w:pPr>
            <w:r>
              <w:rPr>
                <w:color w:val="2D3748"/>
                <w:sz w:val="18"/>
              </w:rPr>
              <w:t>Enc 1 Skip (32, 256×256)</w:t>
            </w:r>
          </w:p>
        </w:tc>
        <w:tc>
          <w:tcPr>
            <w:tcW w:type="dxa" w:w="1152"/>
            <w:shd w:fill="F7FAFC"/>
            <w:tcMar>
              <w:top w:w="60" w:type="dxa"/>
              <w:bottom w:w="60" w:type="dxa"/>
              <w:left w:w="90" w:type="dxa"/>
              <w:right w:w="90" w:type="dxa"/>
            </w:tcMar>
          </w:tcPr>
          <w:p>
            <w:pPr>
              <w:spacing w:after="0"/>
            </w:pPr>
            <w:r>
              <w:rPr>
                <w:color w:val="2D3748"/>
                <w:sz w:val="18"/>
              </w:rPr>
              <w:t>16</w:t>
            </w:r>
          </w:p>
        </w:tc>
        <w:tc>
          <w:tcPr>
            <w:tcW w:type="dxa" w:w="1440"/>
            <w:shd w:fill="F7FAFC"/>
            <w:tcMar>
              <w:top w:w="60" w:type="dxa"/>
              <w:bottom w:w="60" w:type="dxa"/>
              <w:left w:w="90" w:type="dxa"/>
              <w:right w:w="90" w:type="dxa"/>
            </w:tcMar>
          </w:tcPr>
          <w:p>
            <w:pPr>
              <w:spacing w:after="0"/>
            </w:pPr>
            <w:r>
              <w:rPr>
                <w:color w:val="2D3748"/>
                <w:sz w:val="18"/>
              </w:rPr>
              <w:t>32 + 64 = 96</w:t>
            </w:r>
          </w:p>
        </w:tc>
        <w:tc>
          <w:tcPr>
            <w:tcW w:type="dxa" w:w="1152"/>
            <w:shd w:fill="F7FAFC"/>
            <w:tcMar>
              <w:top w:w="60" w:type="dxa"/>
              <w:bottom w:w="60" w:type="dxa"/>
              <w:left w:w="90" w:type="dxa"/>
              <w:right w:w="90" w:type="dxa"/>
            </w:tcMar>
          </w:tcPr>
          <w:p>
            <w:pPr>
              <w:spacing w:after="0"/>
            </w:pPr>
            <w:r>
              <w:rPr>
                <w:color w:val="2D3748"/>
                <w:sz w:val="18"/>
              </w:rPr>
              <w:t>32 (256×256)</w:t>
            </w:r>
          </w:p>
        </w:tc>
      </w:tr>
    </w:tbl>
    <w:p>
      <w:pPr>
        <w:spacing w:after="160"/>
      </w:pPr>
    </w:p>
    <w:p>
      <w:r>
        <w:t>Total parameter impact is extraordinarily lightweight:</w:t>
        <w:br/>
        <w:t>• Standard Baseline U-Net:  7,849,601 parameters</w:t>
        <w:br/>
        <w:t>• Attention U-Net:          7,981,853 parameters</w:t>
        <w:br/>
        <w:t>• Total Attention Gate Addition: +132,252 parameters (+1.68% overhead)</w:t>
      </w:r>
    </w:p>
    <w:p>
      <w:pPr>
        <w:keepNext/>
        <w:spacing w:before="240" w:after="80"/>
      </w:pPr>
      <w:r>
        <w:rPr>
          <w:rFonts w:ascii="Calibri" w:hAnsi="Calibri"/>
          <w:b/>
          <w:color w:val="2B6CB0"/>
          <w:sz w:val="26"/>
        </w:rPr>
        <w:t>6.4 Implementation Integrity &amp; Rigorous Unit Testing</w:t>
      </w:r>
    </w:p>
    <w:p>
      <w:r>
        <w:t>Prior to initiating high-performance training, a dedicated test suite (tests/test_attention_unet.py) was executed locally to verify structural and numerical correctness. All 5 test suites passed with zero errors:</w:t>
      </w:r>
    </w:p>
    <w:p>
      <w:pPr>
        <w:pStyle w:val="ListBullet"/>
        <w:spacing w:after="60"/>
      </w:pPr>
      <w:r>
        <w:rPr>
          <w:b/>
          <w:color w:val="1A365D"/>
        </w:rPr>
        <w:t xml:space="preserve">AttentionGate Shape &amp; Range: </w:t>
      </w:r>
      <w:r>
        <w:t>Verified output shape (B, C_x, H, W); attention coefficients α strictly bounded in [0, 1].</w:t>
      </w:r>
    </w:p>
    <w:p>
      <w:pPr>
        <w:pStyle w:val="ListBullet"/>
        <w:spacing w:after="60"/>
      </w:pPr>
      <w:r>
        <w:rPr>
          <w:b/>
          <w:color w:val="1A365D"/>
        </w:rPr>
        <w:t xml:space="preserve">AttentionDecoderBlock: </w:t>
      </w:r>
      <w:r>
        <w:t>Verified seamless bilinear upsampling and gated concatenation.</w:t>
      </w:r>
    </w:p>
    <w:p>
      <w:pPr>
        <w:pStyle w:val="ListBullet"/>
        <w:spacing w:after="60"/>
      </w:pPr>
      <w:r>
        <w:rPr>
          <w:b/>
          <w:color w:val="1A365D"/>
        </w:rPr>
        <w:t xml:space="preserve">Forward Pass: </w:t>
      </w:r>
      <w:r>
        <w:t>Validated exact tensor mapping: (2, 3, 256, 256) → (2, 1, 256, 256).</w:t>
      </w:r>
    </w:p>
    <w:p>
      <w:pPr>
        <w:pStyle w:val="ListBullet"/>
        <w:spacing w:after="60"/>
      </w:pPr>
      <w:r>
        <w:rPr>
          <w:b/>
          <w:color w:val="1A365D"/>
        </w:rPr>
        <w:t xml:space="preserve">Full Gradient Backpropagation: </w:t>
      </w:r>
      <w:r>
        <w:t>Asserted non-zero gradients on W_g, W_x, and ψ across all four gates (dec1 to dec4), confirming zero gradient vanishing.</w:t>
      </w:r>
    </w:p>
    <w:p>
      <w:pPr>
        <w:pStyle w:val="ListBullet"/>
        <w:spacing w:after="60"/>
      </w:pPr>
      <w:r>
        <w:rPr>
          <w:b/>
          <w:color w:val="1A365D"/>
        </w:rPr>
        <w:t xml:space="preserve">Dynamic Config Routing: </w:t>
      </w:r>
      <w:r>
        <w:t>Verified build_attention_unet() and build_unet(config) dynamically instantiate the correct model class based on config.yaml.</w:t>
      </w:r>
    </w:p>
    <w:p>
      <w:pPr>
        <w:keepNext/>
        <w:spacing w:before="240" w:after="80"/>
      </w:pPr>
      <w:r>
        <w:rPr>
          <w:rFonts w:ascii="Calibri" w:hAnsi="Calibri"/>
          <w:b/>
          <w:color w:val="2B6CB0"/>
          <w:sz w:val="26"/>
        </w:rPr>
        <w:t>6.5 Dedicated Google Colab Training Notebook &amp; Status</w:t>
      </w:r>
    </w:p>
    <w:p>
      <w:r>
        <w:t>To train Attention U-Net on Google Colab with NVIDIA Tesla T4 GPU acceleration, we created a specialized training notebook (notebooks/train_attention_unet.ipynb). The notebook implements:</w:t>
      </w:r>
    </w:p>
    <w:p>
      <w:pPr>
        <w:pStyle w:val="ListBullet"/>
        <w:spacing w:after="60"/>
      </w:pPr>
      <w:r>
        <w:rPr>
          <w:b/>
          <w:color w:val="1A365D"/>
        </w:rPr>
        <w:t xml:space="preserve">Isolated Checkpointing: </w:t>
      </w:r>
      <w:r>
        <w:t>Saves weights to attention_unet_best.pth and attention_unet_brisc.pth to avoid overwriting existing models.</w:t>
      </w:r>
    </w:p>
    <w:p>
      <w:pPr>
        <w:pStyle w:val="ListBullet"/>
        <w:spacing w:after="60"/>
      </w:pPr>
      <w:r>
        <w:rPr>
          <w:b/>
          <w:color w:val="1A365D"/>
        </w:rPr>
        <w:t xml:space="preserve">Cosine Annealing Schedule: </w:t>
      </w:r>
      <w:r>
        <w:t>Trains with learning rate 2e-4 decaying to 1e-6 over 40 epochs with patience = 10.</w:t>
      </w:r>
    </w:p>
    <w:p>
      <w:pPr>
        <w:pStyle w:val="ListBullet"/>
        <w:spacing w:after="60"/>
      </w:pPr>
      <w:r>
        <w:rPr>
          <w:b/>
          <w:color w:val="1A365D"/>
        </w:rPr>
        <w:t xml:space="preserve">Attention Map Visualization: </w:t>
      </w:r>
      <w:r>
        <w:t>Features a dedicated visualization module (Cell 9) that extracts the learned attention maps α from the highest-resolution gate (dec1) and overlays them with raw MRI inputs and ground truth masks.</w:t>
      </w:r>
    </w:p>
    <w:p>
      <w:pPr>
        <w:pStyle w:val="ListBullet"/>
        <w:spacing w:after="60"/>
      </w:pPr>
      <w:r>
        <w:rPr>
          <w:b/>
          <w:color w:val="1A365D"/>
        </w:rPr>
        <w:t xml:space="preserve">Repository Status: </w:t>
      </w:r>
      <w:r>
        <w:t>All model definitions, tests, and notebooks have been committed and pushed to origin/main on GitHub.</w:t>
      </w:r>
    </w:p>
    <w:p>
      <w:pPr>
        <w:keepNext/>
        <w:spacing w:before="320" w:after="120"/>
      </w:pPr>
      <w:r>
        <w:rPr>
          <w:rFonts w:ascii="Calibri" w:hAnsi="Calibri"/>
          <w:b/>
          <w:color w:val="1A365D"/>
          <w:sz w:val="32"/>
        </w:rPr>
        <w:t>7. Master Synthesis: Cross-Model Benchmark Matrix</w:t>
      </w:r>
    </w:p>
    <w:p>
      <w:r>
        <w:t>The following master matrix synthesizes all experimental models developed within the MedBoard platform to date:</w:t>
      </w:r>
    </w:p>
    <w:tbl>
      <w:tblPr>
        <w:tblW w:type="auto" w:w="0"/>
        <w:jc w:val="center"/>
        <w:tblLook w:firstColumn="1" w:firstRow="1" w:lastColumn="0" w:lastRow="0" w:noHBand="0" w:noVBand="1" w:val="04A0"/>
        <w:tblBorders>
          <w:top w:val="single" w:sz="6" w:space="0" w:color="CBD5E0"/>
          <w:bottom w:val="single" w:sz="6" w:space="0" w:color="CBD5E0"/>
          <w:insideH w:val="single" w:sz="6" w:space="0" w:color="CBD5E0"/>
          <w:insideV w:val="none"/>
          <w:left w:val="none"/>
          <w:right w:val="none"/>
        </w:tblBorders>
      </w:tblPr>
      <w:tblGrid>
        <w:gridCol w:w="1560"/>
        <w:gridCol w:w="1560"/>
        <w:gridCol w:w="1560"/>
        <w:gridCol w:w="1560"/>
        <w:gridCol w:w="1560"/>
        <w:gridCol w:w="1560"/>
      </w:tblGrid>
      <w:tr>
        <w:tc>
          <w:tcPr>
            <w:tcW w:type="dxa" w:w="2448"/>
            <w:shd w:fill="1A365D"/>
            <w:tcMar>
              <w:top w:w="80" w:type="dxa"/>
              <w:bottom w:w="80" w:type="dxa"/>
              <w:left w:w="90" w:type="dxa"/>
              <w:right w:w="90" w:type="dxa"/>
            </w:tcMar>
          </w:tcPr>
          <w:p>
            <w:pPr>
              <w:spacing w:after="0"/>
            </w:pPr>
            <w:r>
              <w:rPr>
                <w:b/>
                <w:color w:val="FFFFFF"/>
                <w:sz w:val="19"/>
              </w:rPr>
              <w:t>Model Architecture &amp; Task</w:t>
            </w:r>
          </w:p>
        </w:tc>
        <w:tc>
          <w:tcPr>
            <w:tcW w:type="dxa" w:w="1584"/>
            <w:shd w:fill="1A365D"/>
            <w:tcMar>
              <w:top w:w="80" w:type="dxa"/>
              <w:bottom w:w="80" w:type="dxa"/>
              <w:left w:w="90" w:type="dxa"/>
              <w:right w:w="90" w:type="dxa"/>
            </w:tcMar>
          </w:tcPr>
          <w:p>
            <w:pPr>
              <w:spacing w:after="0"/>
            </w:pPr>
            <w:r>
              <w:rPr>
                <w:b/>
                <w:color w:val="FFFFFF"/>
                <w:sz w:val="19"/>
              </w:rPr>
              <w:t>Platform Role</w:t>
            </w:r>
          </w:p>
        </w:tc>
        <w:tc>
          <w:tcPr>
            <w:tcW w:type="dxa" w:w="1440"/>
            <w:shd w:fill="1A365D"/>
            <w:tcMar>
              <w:top w:w="80" w:type="dxa"/>
              <w:bottom w:w="80" w:type="dxa"/>
              <w:left w:w="90" w:type="dxa"/>
              <w:right w:w="90" w:type="dxa"/>
            </w:tcMar>
          </w:tcPr>
          <w:p>
            <w:pPr>
              <w:spacing w:after="0"/>
            </w:pPr>
            <w:r>
              <w:rPr>
                <w:b/>
                <w:color w:val="FFFFFF"/>
                <w:sz w:val="19"/>
              </w:rPr>
              <w:t>Parameters</w:t>
            </w:r>
          </w:p>
        </w:tc>
        <w:tc>
          <w:tcPr>
            <w:tcW w:type="dxa" w:w="1728"/>
            <w:shd w:fill="1A365D"/>
            <w:tcMar>
              <w:top w:w="80" w:type="dxa"/>
              <w:bottom w:w="80" w:type="dxa"/>
              <w:left w:w="90" w:type="dxa"/>
              <w:right w:w="90" w:type="dxa"/>
            </w:tcMar>
          </w:tcPr>
          <w:p>
            <w:pPr>
              <w:spacing w:after="0"/>
            </w:pPr>
            <w:r>
              <w:rPr>
                <w:b/>
                <w:color w:val="FFFFFF"/>
                <w:sz w:val="19"/>
              </w:rPr>
              <w:t>Validation / Test Metric</w:t>
            </w:r>
          </w:p>
        </w:tc>
        <w:tc>
          <w:tcPr>
            <w:tcW w:type="dxa" w:w="1152"/>
            <w:shd w:fill="1A365D"/>
            <w:tcMar>
              <w:top w:w="80" w:type="dxa"/>
              <w:bottom w:w="80" w:type="dxa"/>
              <w:left w:w="90" w:type="dxa"/>
              <w:right w:w="90" w:type="dxa"/>
            </w:tcMar>
          </w:tcPr>
          <w:p>
            <w:pPr>
              <w:spacing w:after="0"/>
            </w:pPr>
            <w:r>
              <w:rPr>
                <w:b/>
                <w:color w:val="FFFFFF"/>
                <w:sz w:val="19"/>
              </w:rPr>
              <w:t>Test Loss</w:t>
            </w:r>
          </w:p>
        </w:tc>
        <w:tc>
          <w:tcPr>
            <w:tcW w:type="dxa" w:w="1008"/>
            <w:shd w:fill="1A365D"/>
            <w:tcMar>
              <w:top w:w="80" w:type="dxa"/>
              <w:bottom w:w="80" w:type="dxa"/>
              <w:left w:w="90" w:type="dxa"/>
              <w:right w:w="90" w:type="dxa"/>
            </w:tcMar>
          </w:tcPr>
          <w:p>
            <w:pPr>
              <w:spacing w:after="0"/>
            </w:pPr>
            <w:r>
              <w:rPr>
                <w:b/>
                <w:color w:val="FFFFFF"/>
                <w:sz w:val="19"/>
              </w:rPr>
              <w:t>Project Status</w:t>
            </w:r>
          </w:p>
        </w:tc>
      </w:tr>
      <w:tr>
        <w:tc>
          <w:tcPr>
            <w:tcW w:type="dxa" w:w="2448"/>
            <w:shd w:fill="FFFFFF"/>
            <w:tcMar>
              <w:top w:w="60" w:type="dxa"/>
              <w:bottom w:w="60" w:type="dxa"/>
              <w:left w:w="90" w:type="dxa"/>
              <w:right w:w="90" w:type="dxa"/>
            </w:tcMar>
          </w:tcPr>
          <w:p>
            <w:pPr>
              <w:spacing w:after="0"/>
            </w:pPr>
            <w:r>
              <w:rPr>
                <w:b/>
                <w:color w:val="2D3748"/>
                <w:sz w:val="18"/>
              </w:rPr>
              <w:t>EfficientNet-B0 (Classification)</w:t>
            </w:r>
          </w:p>
        </w:tc>
        <w:tc>
          <w:tcPr>
            <w:tcW w:type="dxa" w:w="1584"/>
            <w:shd w:fill="FFFFFF"/>
            <w:tcMar>
              <w:top w:w="60" w:type="dxa"/>
              <w:bottom w:w="60" w:type="dxa"/>
              <w:left w:w="90" w:type="dxa"/>
              <w:right w:w="90" w:type="dxa"/>
            </w:tcMar>
          </w:tcPr>
          <w:p>
            <w:pPr>
              <w:spacing w:after="0"/>
            </w:pPr>
            <w:r>
              <w:rPr>
                <w:color w:val="2D3748"/>
                <w:sz w:val="18"/>
              </w:rPr>
              <w:t>Triage / Category</w:t>
            </w:r>
          </w:p>
        </w:tc>
        <w:tc>
          <w:tcPr>
            <w:tcW w:type="dxa" w:w="1440"/>
            <w:shd w:fill="FFFFFF"/>
            <w:tcMar>
              <w:top w:w="60" w:type="dxa"/>
              <w:bottom w:w="60" w:type="dxa"/>
              <w:left w:w="90" w:type="dxa"/>
              <w:right w:w="90" w:type="dxa"/>
            </w:tcMar>
          </w:tcPr>
          <w:p>
            <w:pPr>
              <w:spacing w:after="0"/>
            </w:pPr>
            <w:r>
              <w:rPr>
                <w:color w:val="2D3748"/>
                <w:sz w:val="18"/>
              </w:rPr>
              <w:t>4,012,672 (4.01M)</w:t>
            </w:r>
          </w:p>
        </w:tc>
        <w:tc>
          <w:tcPr>
            <w:tcW w:type="dxa" w:w="1728"/>
            <w:shd w:fill="FFFFFF"/>
            <w:tcMar>
              <w:top w:w="60" w:type="dxa"/>
              <w:bottom w:w="60" w:type="dxa"/>
              <w:left w:w="90" w:type="dxa"/>
              <w:right w:w="90" w:type="dxa"/>
            </w:tcMar>
          </w:tcPr>
          <w:p>
            <w:pPr>
              <w:spacing w:after="0"/>
            </w:pPr>
            <w:r>
              <w:rPr>
                <w:color w:val="2D3748"/>
                <w:sz w:val="18"/>
              </w:rPr>
              <w:t>98.28% Acc / 0.9830 F1</w:t>
            </w:r>
          </w:p>
        </w:tc>
        <w:tc>
          <w:tcPr>
            <w:tcW w:type="dxa" w:w="1152"/>
            <w:shd w:fill="FFFFFF"/>
            <w:tcMar>
              <w:top w:w="60" w:type="dxa"/>
              <w:bottom w:w="60" w:type="dxa"/>
              <w:left w:w="90" w:type="dxa"/>
              <w:right w:w="90" w:type="dxa"/>
            </w:tcMar>
          </w:tcPr>
          <w:p>
            <w:pPr>
              <w:spacing w:after="0"/>
            </w:pPr>
            <w:r>
              <w:rPr>
                <w:color w:val="2D3748"/>
                <w:sz w:val="18"/>
              </w:rPr>
              <w:t>0.0719 (CE)</w:t>
            </w:r>
          </w:p>
        </w:tc>
        <w:tc>
          <w:tcPr>
            <w:tcW w:type="dxa" w:w="1008"/>
            <w:shd w:fill="FFFFFF"/>
            <w:tcMar>
              <w:top w:w="60" w:type="dxa"/>
              <w:bottom w:w="60" w:type="dxa"/>
              <w:left w:w="90" w:type="dxa"/>
              <w:right w:w="90" w:type="dxa"/>
            </w:tcMar>
          </w:tcPr>
          <w:p>
            <w:pPr>
              <w:spacing w:after="0"/>
            </w:pPr>
            <w:r>
              <w:rPr>
                <w:color w:val="2D3748"/>
                <w:sz w:val="18"/>
              </w:rPr>
              <w:t>Complete (Active)</w:t>
            </w:r>
          </w:p>
        </w:tc>
      </w:tr>
      <w:tr>
        <w:tc>
          <w:tcPr>
            <w:tcW w:type="dxa" w:w="2448"/>
            <w:shd w:fill="F7FAFC"/>
            <w:tcMar>
              <w:top w:w="60" w:type="dxa"/>
              <w:bottom w:w="60" w:type="dxa"/>
              <w:left w:w="90" w:type="dxa"/>
              <w:right w:w="90" w:type="dxa"/>
            </w:tcMar>
          </w:tcPr>
          <w:p>
            <w:pPr>
              <w:spacing w:after="0"/>
            </w:pPr>
            <w:r>
              <w:rPr>
                <w:b/>
                <w:color w:val="2D3748"/>
                <w:sz w:val="18"/>
              </w:rPr>
              <w:t>Standard U-Net (Segmentation)</w:t>
            </w:r>
          </w:p>
        </w:tc>
        <w:tc>
          <w:tcPr>
            <w:tcW w:type="dxa" w:w="1584"/>
            <w:shd w:fill="F7FAFC"/>
            <w:tcMar>
              <w:top w:w="60" w:type="dxa"/>
              <w:bottom w:w="60" w:type="dxa"/>
              <w:left w:w="90" w:type="dxa"/>
              <w:right w:w="90" w:type="dxa"/>
            </w:tcMar>
          </w:tcPr>
          <w:p>
            <w:pPr>
              <w:spacing w:after="0"/>
            </w:pPr>
            <w:r>
              <w:rPr>
                <w:color w:val="2D3748"/>
                <w:sz w:val="18"/>
              </w:rPr>
              <w:t>Baseline Localization</w:t>
            </w:r>
          </w:p>
        </w:tc>
        <w:tc>
          <w:tcPr>
            <w:tcW w:type="dxa" w:w="1440"/>
            <w:shd w:fill="F7FAFC"/>
            <w:tcMar>
              <w:top w:w="60" w:type="dxa"/>
              <w:bottom w:w="60" w:type="dxa"/>
              <w:left w:w="90" w:type="dxa"/>
              <w:right w:w="90" w:type="dxa"/>
            </w:tcMar>
          </w:tcPr>
          <w:p>
            <w:pPr>
              <w:spacing w:after="0"/>
            </w:pPr>
            <w:r>
              <w:rPr>
                <w:color w:val="2D3748"/>
                <w:sz w:val="18"/>
              </w:rPr>
              <w:t>7,849,601 (7.85M)</w:t>
            </w:r>
          </w:p>
        </w:tc>
        <w:tc>
          <w:tcPr>
            <w:tcW w:type="dxa" w:w="1728"/>
            <w:shd w:fill="F7FAFC"/>
            <w:tcMar>
              <w:top w:w="60" w:type="dxa"/>
              <w:bottom w:w="60" w:type="dxa"/>
              <w:left w:w="90" w:type="dxa"/>
              <w:right w:w="90" w:type="dxa"/>
            </w:tcMar>
          </w:tcPr>
          <w:p>
            <w:pPr>
              <w:spacing w:after="0"/>
            </w:pPr>
            <w:r>
              <w:rPr>
                <w:color w:val="2D3748"/>
                <w:sz w:val="18"/>
              </w:rPr>
              <w:t>86.79% Dice / 80.00% IoU</w:t>
            </w:r>
          </w:p>
        </w:tc>
        <w:tc>
          <w:tcPr>
            <w:tcW w:type="dxa" w:w="1152"/>
            <w:shd w:fill="F7FAFC"/>
            <w:tcMar>
              <w:top w:w="60" w:type="dxa"/>
              <w:bottom w:w="60" w:type="dxa"/>
              <w:left w:w="90" w:type="dxa"/>
              <w:right w:w="90" w:type="dxa"/>
            </w:tcMar>
          </w:tcPr>
          <w:p>
            <w:pPr>
              <w:spacing w:after="0"/>
            </w:pPr>
            <w:r>
              <w:rPr>
                <w:color w:val="2D3748"/>
                <w:sz w:val="18"/>
              </w:rPr>
              <w:t>0.0773 (Hybrid)</w:t>
            </w:r>
          </w:p>
        </w:tc>
        <w:tc>
          <w:tcPr>
            <w:tcW w:type="dxa" w:w="1008"/>
            <w:shd w:fill="F7FAFC"/>
            <w:tcMar>
              <w:top w:w="60" w:type="dxa"/>
              <w:bottom w:w="60" w:type="dxa"/>
              <w:left w:w="90" w:type="dxa"/>
              <w:right w:w="90" w:type="dxa"/>
            </w:tcMar>
          </w:tcPr>
          <w:p>
            <w:pPr>
              <w:spacing w:after="0"/>
            </w:pPr>
            <w:r>
              <w:rPr>
                <w:color w:val="2D3748"/>
                <w:sz w:val="18"/>
              </w:rPr>
              <w:t>Complete (Evaluated)</w:t>
            </w:r>
          </w:p>
        </w:tc>
      </w:tr>
      <w:tr>
        <w:tc>
          <w:tcPr>
            <w:tcW w:type="dxa" w:w="2448"/>
            <w:shd w:fill="FFFFFF"/>
            <w:tcMar>
              <w:top w:w="60" w:type="dxa"/>
              <w:bottom w:w="60" w:type="dxa"/>
              <w:left w:w="90" w:type="dxa"/>
              <w:right w:w="90" w:type="dxa"/>
            </w:tcMar>
          </w:tcPr>
          <w:p>
            <w:pPr>
              <w:spacing w:after="0"/>
            </w:pPr>
            <w:r>
              <w:rPr>
                <w:b/>
                <w:color w:val="2D3748"/>
                <w:sz w:val="18"/>
              </w:rPr>
              <w:t>GeoSample Run 1 (Segmentation)</w:t>
            </w:r>
          </w:p>
        </w:tc>
        <w:tc>
          <w:tcPr>
            <w:tcW w:type="dxa" w:w="1584"/>
            <w:shd w:fill="FFFFFF"/>
            <w:tcMar>
              <w:top w:w="60" w:type="dxa"/>
              <w:bottom w:w="60" w:type="dxa"/>
              <w:left w:w="90" w:type="dxa"/>
              <w:right w:w="90" w:type="dxa"/>
            </w:tcMar>
          </w:tcPr>
          <w:p>
            <w:pPr>
              <w:spacing w:after="0"/>
            </w:pPr>
            <w:r>
              <w:rPr>
                <w:color w:val="2D3748"/>
                <w:sz w:val="18"/>
              </w:rPr>
              <w:t>Ultra-Lean Topology</w:t>
            </w:r>
          </w:p>
        </w:tc>
        <w:tc>
          <w:tcPr>
            <w:tcW w:type="dxa" w:w="1440"/>
            <w:shd w:fill="FFFFFF"/>
            <w:tcMar>
              <w:top w:w="60" w:type="dxa"/>
              <w:bottom w:w="60" w:type="dxa"/>
              <w:left w:w="90" w:type="dxa"/>
              <w:right w:w="90" w:type="dxa"/>
            </w:tcMar>
          </w:tcPr>
          <w:p>
            <w:pPr>
              <w:spacing w:after="0"/>
            </w:pPr>
            <w:r>
              <w:rPr>
                <w:color w:val="2D3748"/>
                <w:sz w:val="18"/>
              </w:rPr>
              <w:t>2,501,545 (2.50M)</w:t>
            </w:r>
          </w:p>
        </w:tc>
        <w:tc>
          <w:tcPr>
            <w:tcW w:type="dxa" w:w="1728"/>
            <w:shd w:fill="FFFFFF"/>
            <w:tcMar>
              <w:top w:w="60" w:type="dxa"/>
              <w:bottom w:w="60" w:type="dxa"/>
              <w:left w:w="90" w:type="dxa"/>
              <w:right w:w="90" w:type="dxa"/>
            </w:tcMar>
          </w:tcPr>
          <w:p>
            <w:pPr>
              <w:spacing w:after="0"/>
            </w:pPr>
            <w:r>
              <w:rPr>
                <w:color w:val="2D3748"/>
                <w:sz w:val="18"/>
              </w:rPr>
              <w:t>85.40% Dice / 77.92% IoU</w:t>
            </w:r>
          </w:p>
        </w:tc>
        <w:tc>
          <w:tcPr>
            <w:tcW w:type="dxa" w:w="1152"/>
            <w:shd w:fill="FFFFFF"/>
            <w:tcMar>
              <w:top w:w="60" w:type="dxa"/>
              <w:bottom w:w="60" w:type="dxa"/>
              <w:left w:w="90" w:type="dxa"/>
              <w:right w:w="90" w:type="dxa"/>
            </w:tcMar>
          </w:tcPr>
          <w:p>
            <w:pPr>
              <w:spacing w:after="0"/>
            </w:pPr>
            <w:r>
              <w:rPr>
                <w:color w:val="2D3748"/>
                <w:sz w:val="18"/>
              </w:rPr>
              <w:t>0.0866 (Hybrid)</w:t>
            </w:r>
          </w:p>
        </w:tc>
        <w:tc>
          <w:tcPr>
            <w:tcW w:type="dxa" w:w="1008"/>
            <w:shd w:fill="FFFFFF"/>
            <w:tcMar>
              <w:top w:w="60" w:type="dxa"/>
              <w:bottom w:w="60" w:type="dxa"/>
              <w:left w:w="90" w:type="dxa"/>
              <w:right w:w="90" w:type="dxa"/>
            </w:tcMar>
          </w:tcPr>
          <w:p>
            <w:pPr>
              <w:spacing w:after="0"/>
            </w:pPr>
            <w:r>
              <w:rPr>
                <w:color w:val="2D3748"/>
                <w:sz w:val="18"/>
              </w:rPr>
              <w:t>Complete (Benchmarked)</w:t>
            </w:r>
          </w:p>
        </w:tc>
      </w:tr>
      <w:tr>
        <w:tc>
          <w:tcPr>
            <w:tcW w:type="dxa" w:w="2448"/>
            <w:shd w:fill="F7FAFC"/>
            <w:tcMar>
              <w:top w:w="60" w:type="dxa"/>
              <w:bottom w:w="60" w:type="dxa"/>
              <w:left w:w="90" w:type="dxa"/>
              <w:right w:w="90" w:type="dxa"/>
            </w:tcMar>
          </w:tcPr>
          <w:p>
            <w:pPr>
              <w:spacing w:after="0"/>
            </w:pPr>
            <w:r>
              <w:rPr>
                <w:b/>
                <w:color w:val="2D3748"/>
                <w:sz w:val="18"/>
              </w:rPr>
              <w:t>GeoSample Run 2 (Segmentation)</w:t>
            </w:r>
          </w:p>
        </w:tc>
        <w:tc>
          <w:tcPr>
            <w:tcW w:type="dxa" w:w="1584"/>
            <w:shd w:fill="F7FAFC"/>
            <w:tcMar>
              <w:top w:w="60" w:type="dxa"/>
              <w:bottom w:w="60" w:type="dxa"/>
              <w:left w:w="90" w:type="dxa"/>
              <w:right w:w="90" w:type="dxa"/>
            </w:tcMar>
          </w:tcPr>
          <w:p>
            <w:pPr>
              <w:spacing w:after="0"/>
            </w:pPr>
            <w:r>
              <w:rPr>
                <w:color w:val="2D3748"/>
                <w:sz w:val="18"/>
              </w:rPr>
              <w:t>Pareto-Optimal Frontier</w:t>
            </w:r>
          </w:p>
        </w:tc>
        <w:tc>
          <w:tcPr>
            <w:tcW w:type="dxa" w:w="1440"/>
            <w:shd w:fill="F7FAFC"/>
            <w:tcMar>
              <w:top w:w="60" w:type="dxa"/>
              <w:bottom w:w="60" w:type="dxa"/>
              <w:left w:w="90" w:type="dxa"/>
              <w:right w:w="90" w:type="dxa"/>
            </w:tcMar>
          </w:tcPr>
          <w:p>
            <w:pPr>
              <w:spacing w:after="0"/>
            </w:pPr>
            <w:r>
              <w:rPr>
                <w:color w:val="2D3748"/>
                <w:sz w:val="18"/>
              </w:rPr>
              <w:t>4,841,497 (4.84M)</w:t>
            </w:r>
          </w:p>
        </w:tc>
        <w:tc>
          <w:tcPr>
            <w:tcW w:type="dxa" w:w="1728"/>
            <w:shd w:fill="F7FAFC"/>
            <w:tcMar>
              <w:top w:w="60" w:type="dxa"/>
              <w:bottom w:w="60" w:type="dxa"/>
              <w:left w:w="90" w:type="dxa"/>
              <w:right w:w="90" w:type="dxa"/>
            </w:tcMar>
          </w:tcPr>
          <w:p>
            <w:pPr>
              <w:spacing w:after="0"/>
            </w:pPr>
            <w:r>
              <w:rPr>
                <w:color w:val="2D3748"/>
                <w:sz w:val="18"/>
              </w:rPr>
              <w:t>86.41% Dice / 79.38% IoU</w:t>
            </w:r>
          </w:p>
        </w:tc>
        <w:tc>
          <w:tcPr>
            <w:tcW w:type="dxa" w:w="1152"/>
            <w:shd w:fill="F7FAFC"/>
            <w:tcMar>
              <w:top w:w="60" w:type="dxa"/>
              <w:bottom w:w="60" w:type="dxa"/>
              <w:left w:w="90" w:type="dxa"/>
              <w:right w:w="90" w:type="dxa"/>
            </w:tcMar>
          </w:tcPr>
          <w:p>
            <w:pPr>
              <w:spacing w:after="0"/>
            </w:pPr>
            <w:r>
              <w:rPr>
                <w:color w:val="2D3748"/>
                <w:sz w:val="18"/>
              </w:rPr>
              <w:t>0.0784 (Hybrid)</w:t>
            </w:r>
          </w:p>
        </w:tc>
        <w:tc>
          <w:tcPr>
            <w:tcW w:type="dxa" w:w="1008"/>
            <w:shd w:fill="F7FAFC"/>
            <w:tcMar>
              <w:top w:w="60" w:type="dxa"/>
              <w:bottom w:w="60" w:type="dxa"/>
              <w:left w:w="90" w:type="dxa"/>
              <w:right w:w="90" w:type="dxa"/>
            </w:tcMar>
          </w:tcPr>
          <w:p>
            <w:pPr>
              <w:spacing w:after="0"/>
            </w:pPr>
            <w:r>
              <w:rPr>
                <w:color w:val="2D3748"/>
                <w:sz w:val="18"/>
              </w:rPr>
              <w:t>Complete (Active Config)</w:t>
            </w:r>
          </w:p>
        </w:tc>
      </w:tr>
      <w:tr>
        <w:tc>
          <w:tcPr>
            <w:tcW w:type="dxa" w:w="2448"/>
            <w:shd w:fill="FFFFFF"/>
            <w:tcMar>
              <w:top w:w="60" w:type="dxa"/>
              <w:bottom w:w="60" w:type="dxa"/>
              <w:left w:w="90" w:type="dxa"/>
              <w:right w:w="90" w:type="dxa"/>
            </w:tcMar>
          </w:tcPr>
          <w:p>
            <w:pPr>
              <w:spacing w:after="0"/>
            </w:pPr>
            <w:r>
              <w:rPr>
                <w:b/>
                <w:color w:val="2D3748"/>
                <w:sz w:val="18"/>
              </w:rPr>
              <w:t>Attention U-Net (Segmentation)</w:t>
            </w:r>
          </w:p>
        </w:tc>
        <w:tc>
          <w:tcPr>
            <w:tcW w:type="dxa" w:w="1584"/>
            <w:shd w:fill="FFFFFF"/>
            <w:tcMar>
              <w:top w:w="60" w:type="dxa"/>
              <w:bottom w:w="60" w:type="dxa"/>
              <w:left w:w="90" w:type="dxa"/>
              <w:right w:w="90" w:type="dxa"/>
            </w:tcMar>
          </w:tcPr>
          <w:p>
            <w:pPr>
              <w:spacing w:after="0"/>
            </w:pPr>
            <w:r>
              <w:rPr>
                <w:color w:val="2D3748"/>
                <w:sz w:val="18"/>
              </w:rPr>
              <w:t>Salience-Gated Skip</w:t>
            </w:r>
          </w:p>
        </w:tc>
        <w:tc>
          <w:tcPr>
            <w:tcW w:type="dxa" w:w="1440"/>
            <w:shd w:fill="FFFFFF"/>
            <w:tcMar>
              <w:top w:w="60" w:type="dxa"/>
              <w:bottom w:w="60" w:type="dxa"/>
              <w:left w:w="90" w:type="dxa"/>
              <w:right w:w="90" w:type="dxa"/>
            </w:tcMar>
          </w:tcPr>
          <w:p>
            <w:pPr>
              <w:spacing w:after="0"/>
            </w:pPr>
            <w:r>
              <w:rPr>
                <w:color w:val="2D3748"/>
                <w:sz w:val="18"/>
              </w:rPr>
              <w:t>7,981,853 (7.98M)</w:t>
            </w:r>
          </w:p>
        </w:tc>
        <w:tc>
          <w:tcPr>
            <w:tcW w:type="dxa" w:w="1728"/>
            <w:shd w:fill="FFFFFF"/>
            <w:tcMar>
              <w:top w:w="60" w:type="dxa"/>
              <w:bottom w:w="60" w:type="dxa"/>
              <w:left w:w="90" w:type="dxa"/>
              <w:right w:w="90" w:type="dxa"/>
            </w:tcMar>
          </w:tcPr>
          <w:p>
            <w:pPr>
              <w:spacing w:after="0"/>
            </w:pPr>
            <w:r>
              <w:rPr>
                <w:color w:val="2D3748"/>
                <w:sz w:val="18"/>
              </w:rPr>
              <w:t>Expected ≥ 87.2% Dice</w:t>
            </w:r>
          </w:p>
        </w:tc>
        <w:tc>
          <w:tcPr>
            <w:tcW w:type="dxa" w:w="1152"/>
            <w:shd w:fill="FFFFFF"/>
            <w:tcMar>
              <w:top w:w="60" w:type="dxa"/>
              <w:bottom w:w="60" w:type="dxa"/>
              <w:left w:w="90" w:type="dxa"/>
              <w:right w:w="90" w:type="dxa"/>
            </w:tcMar>
          </w:tcPr>
          <w:p>
            <w:pPr>
              <w:spacing w:after="0"/>
            </w:pPr>
            <w:r>
              <w:rPr>
                <w:color w:val="2D3748"/>
                <w:sz w:val="18"/>
              </w:rPr>
              <w:t>In Training</w:t>
            </w:r>
          </w:p>
        </w:tc>
        <w:tc>
          <w:tcPr>
            <w:tcW w:type="dxa" w:w="1008"/>
            <w:shd w:fill="FFFFFF"/>
            <w:tcMar>
              <w:top w:w="60" w:type="dxa"/>
              <w:bottom w:w="60" w:type="dxa"/>
              <w:left w:w="90" w:type="dxa"/>
              <w:right w:w="90" w:type="dxa"/>
            </w:tcMar>
          </w:tcPr>
          <w:p>
            <w:pPr>
              <w:spacing w:after="0"/>
            </w:pPr>
            <w:r>
              <w:rPr>
                <w:color w:val="2D3748"/>
                <w:sz w:val="18"/>
              </w:rPr>
              <w:t>Active Training (Colab)</w:t>
            </w:r>
          </w:p>
        </w:tc>
      </w:tr>
    </w:tbl>
    <w:p>
      <w:pPr>
        <w:spacing w:after="160"/>
      </w:pPr>
    </w:p>
    <w:p>
      <w:pPr>
        <w:keepNext/>
        <w:spacing w:before="320" w:after="120"/>
      </w:pPr>
      <w:r>
        <w:rPr>
          <w:rFonts w:ascii="Calibri" w:hAnsi="Calibri"/>
          <w:b/>
          <w:color w:val="1A365D"/>
          <w:sz w:val="32"/>
        </w:rPr>
        <w:t>8. Immediate Next Steps &amp; Deployment Roadmap</w:t>
      </w:r>
    </w:p>
    <w:p>
      <w:r>
        <w:t>With the completion of classification and baseline/geometric segmentation, our immediate technical roadmap comprises:</w:t>
      </w:r>
    </w:p>
    <w:p>
      <w:pPr>
        <w:pStyle w:val="ListBullet"/>
        <w:spacing w:after="60"/>
      </w:pPr>
      <w:r>
        <w:rPr>
          <w:b/>
          <w:color w:val="1A365D"/>
        </w:rPr>
        <w:t xml:space="preserve">Step 1: Complete Attention U-Net Training on Colab: </w:t>
      </w:r>
      <w:r>
        <w:t>Monitor the running notebook (train_attention_unet.ipynb), record final Dice, IoU, and loss metrics, and export attention_unet_brisc.pth.</w:t>
      </w:r>
    </w:p>
    <w:p>
      <w:pPr>
        <w:pStyle w:val="ListBullet"/>
        <w:spacing w:after="60"/>
      </w:pPr>
      <w:r>
        <w:rPr>
          <w:b/>
          <w:color w:val="1A365D"/>
        </w:rPr>
        <w:t xml:space="preserve">Step 2: Generate Attention Salience Heatmaps: </w:t>
      </w:r>
      <w:r>
        <w:t>Extract pixel-wise α attention maps across varying glioma and meningioma test slices to visually confirm that non-tumor tissue (skull, ocular structures) is effectively zeroed out.</w:t>
      </w:r>
    </w:p>
    <w:p>
      <w:pPr>
        <w:pStyle w:val="ListBullet"/>
        <w:spacing w:after="60"/>
      </w:pPr>
      <w:r>
        <w:rPr>
          <w:b/>
          <w:color w:val="1A365D"/>
        </w:rPr>
        <w:t xml:space="preserve">Step 3: Triple-Architecture Benchmark Comparison: </w:t>
      </w:r>
      <w:r>
        <w:t>Generate a publication-style comparative PDF and statistical paired t-test comparing Standard U-Net, GeoSample Run 2, and Attention U-Net on boundary sharpness and false positive rates.</w:t>
      </w:r>
    </w:p>
    <w:p>
      <w:pPr>
        <w:pStyle w:val="ListBullet"/>
        <w:spacing w:after="60"/>
      </w:pPr>
      <w:r>
        <w:rPr>
          <w:b/>
          <w:color w:val="1A365D"/>
        </w:rPr>
        <w:t xml:space="preserve">Step 4: End-to-End Multi-Agent Integration: </w:t>
      </w:r>
      <w:r>
        <w:t>Expose the selected optimal segmentation model through SegmentationAgent and connect with ChiefSynthesisAgent for automated medical reporting in the Streamlit UI.</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D374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