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MedBoard — Trained Models Summary</w:t>
      </w:r>
    </w:p>
    <w:p>
      <w:pPr>
        <w:spacing w:after="280"/>
      </w:pPr>
      <w:r>
        <w:rPr>
          <w:rFonts w:ascii="Calibri" w:hAnsi="Calibri"/>
          <w:color w:val="4A5568"/>
          <w:sz w:val="22"/>
        </w:rPr>
        <w:t>Verified Experimental Results on BRISC 2025 Brain MRI Dataset.</w:t>
      </w:r>
    </w:p>
    <w:p>
      <w:pPr>
        <w:spacing w:before="280" w:after="120"/>
      </w:pPr>
      <w:r>
        <w:rPr>
          <w:rFonts w:ascii="Calibri" w:hAnsi="Calibri"/>
          <w:b/>
          <w:color w:val="1A365D"/>
          <w:sz w:val="26"/>
        </w:rPr>
        <w:t>1. Brain Tumor Segmentation (860 Test Scans)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Dice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 IoU</w:t>
            </w:r>
          </w:p>
        </w:tc>
        <w:tc>
          <w:tcPr>
            <w:tcW w:type="dxa" w:w="1728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Loss</w:t>
            </w:r>
          </w:p>
        </w:tc>
      </w:tr>
      <w:tr>
        <w:tc>
          <w:tcPr>
            <w:tcW w:type="dxa" w:w="3600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A365D"/>
                <w:sz w:val="19"/>
              </w:rPr>
              <w:t>Pretrained ResNet-34 U-Net++</w:t>
            </w:r>
          </w:p>
        </w:tc>
        <w:tc>
          <w:tcPr>
            <w:tcW w:type="dxa" w:w="1584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365D"/>
                <w:sz w:val="19"/>
              </w:rPr>
              <w:t>23.67 M</w:t>
            </w:r>
          </w:p>
        </w:tc>
        <w:tc>
          <w:tcPr>
            <w:tcW w:type="dxa" w:w="1584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87.78%</w:t>
            </w:r>
          </w:p>
        </w:tc>
        <w:tc>
          <w:tcPr>
            <w:tcW w:type="dxa" w:w="1584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81.11%</w:t>
            </w:r>
          </w:p>
        </w:tc>
        <w:tc>
          <w:tcPr>
            <w:tcW w:type="dxa" w:w="1728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365D"/>
                <w:sz w:val="19"/>
              </w:rPr>
              <w:t>0.0896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Scratch U-Net++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9.16 M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87.14%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80.18%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0.0941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Attention U-Net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7.98 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86.96%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79.93%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0.1101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Standard Baseline U-Net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7.85 M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86.84%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N/A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0.0773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SaberNet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8.38 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86.66%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79.70%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0.0979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GeoSample U-Net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17.72 M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86.46%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N/A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0.0784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365D"/>
          <w:sz w:val="26"/>
        </w:rPr>
        <w:t>2. Brain Tumor Classification (1,000 Test Scans)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584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Macro-F1</w:t>
            </w:r>
          </w:p>
        </w:tc>
        <w:tc>
          <w:tcPr>
            <w:tcW w:type="dxa" w:w="1728"/>
            <w:shd w:fill="1A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Loss</w:t>
            </w:r>
          </w:p>
        </w:tc>
      </w:tr>
      <w:tr>
        <w:tc>
          <w:tcPr>
            <w:tcW w:type="dxa" w:w="3600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A365D"/>
                <w:sz w:val="19"/>
              </w:rPr>
              <w:t>EfficientNet-B0 (Full Corpus)</w:t>
            </w:r>
          </w:p>
        </w:tc>
        <w:tc>
          <w:tcPr>
            <w:tcW w:type="dxa" w:w="1584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365D"/>
                <w:sz w:val="19"/>
              </w:rPr>
              <w:t>4.01 M</w:t>
            </w:r>
          </w:p>
        </w:tc>
        <w:tc>
          <w:tcPr>
            <w:tcW w:type="dxa" w:w="1584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99.00%</w:t>
            </w:r>
          </w:p>
        </w:tc>
        <w:tc>
          <w:tcPr>
            <w:tcW w:type="dxa" w:w="1584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A365D"/>
                <w:sz w:val="19"/>
              </w:rPr>
              <w:t>0.9899</w:t>
            </w:r>
          </w:p>
        </w:tc>
        <w:tc>
          <w:tcPr>
            <w:tcW w:type="dxa" w:w="1728"/>
            <w:shd w:fill="EBF8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365D"/>
                <w:sz w:val="19"/>
              </w:rPr>
              <w:t>0.0529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EfficientNet-B0 (85/15 Split)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4.01 M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98.28%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0.9830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0.0719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