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MedBoard — Models Summary &amp; Benchmark</w:t>
      </w:r>
    </w:p>
    <w:p>
      <w:pPr>
        <w:spacing w:after="280"/>
      </w:pPr>
      <w:r>
        <w:rPr>
          <w:rFonts w:ascii="Calibri" w:hAnsi="Calibri"/>
          <w:color w:val="4A5568"/>
          <w:sz w:val="22"/>
        </w:rPr>
        <w:t>Overview of all Classification and Segmentation Architectures on the BRISC 2025 Brain MRI Dataset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8"/>
        </w:rPr>
        <w:t>1. Master Performance Leaderboard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Metric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IoU</w:t>
            </w:r>
          </w:p>
        </w:tc>
        <w:tc>
          <w:tcPr>
            <w:tcW w:type="dxa" w:w="244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Core Innovation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EfficientNet-B0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4-Class Classification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4.01 M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97.40% Accuracy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Compound scaling, ImageNet pretraining</w:t>
            </w:r>
          </w:p>
        </w:tc>
      </w:tr>
      <w:tr>
        <w:tc>
          <w:tcPr>
            <w:tcW w:type="dxa" w:w="259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U-Net++ (Nested)</w:t>
            </w:r>
          </w:p>
        </w:tc>
        <w:tc>
          <w:tcPr>
            <w:tcW w:type="dxa" w:w="1440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Binary Segmentation</w:t>
            </w:r>
          </w:p>
        </w:tc>
        <w:tc>
          <w:tcPr>
            <w:tcW w:type="dxa" w:w="115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9.04 M</w:t>
            </w:r>
          </w:p>
        </w:tc>
        <w:tc>
          <w:tcPr>
            <w:tcW w:type="dxa" w:w="1296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182CE"/>
                <w:sz w:val="18"/>
              </w:rPr>
              <w:t>87.14% Dice</w:t>
            </w:r>
          </w:p>
        </w:tc>
        <w:tc>
          <w:tcPr>
            <w:tcW w:type="dxa" w:w="115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80.18%</w:t>
            </w:r>
          </w:p>
        </w:tc>
        <w:tc>
          <w:tcPr>
            <w:tcW w:type="dxa" w:w="244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Dense nested skip grid + Deep supervision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Attention U-Net (Run 2)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Binary Segmentation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7.98 M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86.96% Dice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79.93%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Residual skip bypass + 80% Dice loss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Standard Baseline U-Net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Binary Segmentation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7.85 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86.84% Dice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79.48%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Symmetric encoder-decoder, direct skips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GeoSample U-Net (Run 2)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Binary Segmentation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17.72 M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86.46% Dice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79.12%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Deformable offset convolution kernels</w:t>
            </w:r>
          </w:p>
        </w:tc>
      </w:tr>
    </w:tbl>
    <w:p>
      <w:pPr>
        <w:spacing w:after="160"/>
      </w:pPr>
    </w:p>
    <w:p>
      <w:pPr>
        <w:spacing w:before="200" w:after="40"/>
      </w:pPr>
      <w:r>
        <w:rPr>
          <w:rFonts w:ascii="Calibri" w:hAnsi="Calibri"/>
          <w:b/>
          <w:color w:val="1A365D"/>
          <w:sz w:val="26"/>
        </w:rPr>
        <w:t>• EfficientNet-B0</w:t>
      </w:r>
      <w:r>
        <w:rPr>
          <w:rFonts w:ascii="Calibri" w:hAnsi="Calibri"/>
          <w:i/>
          <w:color w:val="4A5568"/>
          <w:sz w:val="21"/>
        </w:rPr>
        <w:t xml:space="preserve">  (Classification Task)</w:t>
      </w:r>
    </w:p>
    <w:p>
      <w:pPr>
        <w:spacing w:after="60"/>
      </w:pPr>
      <w:r>
        <w:rPr>
          <w:b/>
          <w:sz w:val="20"/>
        </w:rPr>
        <w:t xml:space="preserve">Basic Idea: </w:t>
      </w:r>
      <w:r>
        <w:rPr>
          <w:sz w:val="20"/>
        </w:rPr>
        <w:t>Classify brain MRI scans into 4 diagnostic classes (Glioma, Meningioma, Pituitary tumor, or No Tumor) using a lightweight compound-scaled convolutional backbone.</w:t>
      </w:r>
    </w:p>
    <w:p>
      <w:pPr>
        <w:spacing w:after="60"/>
      </w:pPr>
      <w:r>
        <w:rPr>
          <w:b/>
          <w:sz w:val="20"/>
        </w:rPr>
        <w:t xml:space="preserve">Key Characteristics: </w:t>
      </w:r>
      <w:r>
        <w:rPr>
          <w:sz w:val="20"/>
        </w:rPr>
        <w:t>4.01 Million parameters. Uses Mobile Inverted Bottleneck (MBConv) blocks with squeeze-and-excitation attention. Pretrained on ImageNet and fine-tuned on 224x224 scans for 25 epochs with Cosine Annealing learning rate schedule.</w:t>
      </w:r>
    </w:p>
    <w:p>
      <w:pPr>
        <w:spacing w:after="160"/>
      </w:pPr>
      <w:r>
        <w:rPr>
          <w:b/>
          <w:sz w:val="20"/>
        </w:rPr>
        <w:t xml:space="preserve">Resultant Metrics: </w:t>
      </w:r>
      <w:r>
        <w:rPr>
          <w:b/>
          <w:color w:val="2D3748"/>
          <w:sz w:val="20"/>
        </w:rPr>
        <w:t>Test Accuracy: 97.40% | Macro F1-Score: 0.9740 | Class F1: Glioma 96.5%, Meningioma 96.0%, Pituitary 98.5%, No Tumor 98.5%.</w:t>
      </w:r>
    </w:p>
    <w:p>
      <w:pPr>
        <w:spacing w:before="200" w:after="40"/>
      </w:pPr>
      <w:r>
        <w:rPr>
          <w:rFonts w:ascii="Calibri" w:hAnsi="Calibri"/>
          <w:b/>
          <w:color w:val="1A365D"/>
          <w:sz w:val="26"/>
        </w:rPr>
        <w:t>• Standard Baseline U-Net</w:t>
      </w:r>
      <w:r>
        <w:rPr>
          <w:rFonts w:ascii="Calibri" w:hAnsi="Calibri"/>
          <w:i/>
          <w:color w:val="4A5568"/>
          <w:sz w:val="21"/>
        </w:rPr>
        <w:t xml:space="preserve">  (Ronneberger et al., 2015)</w:t>
      </w:r>
    </w:p>
    <w:p>
      <w:pPr>
        <w:spacing w:after="60"/>
      </w:pPr>
      <w:r>
        <w:rPr>
          <w:b/>
          <w:sz w:val="20"/>
        </w:rPr>
        <w:t xml:space="preserve">Basic Idea: </w:t>
      </w:r>
      <w:r>
        <w:rPr>
          <w:sz w:val="20"/>
        </w:rPr>
        <w:t>Symmetric encoder-decoder architecture with long skip connections bridging corresponding encoder and decoder levels to preserve high-resolution spatial boundaries.</w:t>
      </w:r>
    </w:p>
    <w:p>
      <w:pPr>
        <w:spacing w:after="60"/>
      </w:pPr>
      <w:r>
        <w:rPr>
          <w:b/>
          <w:sz w:val="20"/>
        </w:rPr>
        <w:t xml:space="preserve">Key Characteristics: </w:t>
      </w:r>
      <w:r>
        <w:rPr>
          <w:sz w:val="20"/>
        </w:rPr>
        <w:t>7.85 Million parameters (32 base features, 5 depth levels: 32 -&gt; 64 -&gt; 128 -&gt; 256 -&gt; 512). Trained with 0.5 BCE + 0.5 Dice loss, FP16 mixed precision, and standard spatial augmentation.</w:t>
      </w:r>
    </w:p>
    <w:p>
      <w:pPr>
        <w:spacing w:after="160"/>
      </w:pPr>
      <w:r>
        <w:rPr>
          <w:b/>
          <w:sz w:val="20"/>
        </w:rPr>
        <w:t xml:space="preserve">Resultant Metrics: </w:t>
      </w:r>
      <w:r>
        <w:rPr>
          <w:b/>
          <w:color w:val="2D3748"/>
          <w:sz w:val="20"/>
        </w:rPr>
        <w:t>Test Dice Score: 86.84% | Mean IoU: 79.48% | Median Dice: 93.86% | Test Loss: 0.0773 (Baseline benchmark).</w:t>
      </w:r>
    </w:p>
    <w:p>
      <w:pPr>
        <w:spacing w:before="200" w:after="40"/>
      </w:pPr>
      <w:r>
        <w:rPr>
          <w:rFonts w:ascii="Calibri" w:hAnsi="Calibri"/>
          <w:b/>
          <w:color w:val="1A365D"/>
          <w:sz w:val="26"/>
        </w:rPr>
        <w:t>• GeoSample U-Net</w:t>
      </w:r>
      <w:r>
        <w:rPr>
          <w:rFonts w:ascii="Calibri" w:hAnsi="Calibri"/>
          <w:i/>
          <w:color w:val="4A5568"/>
          <w:sz w:val="21"/>
        </w:rPr>
        <w:t xml:space="preserve">  (Run 1 &amp; Run 2)</w:t>
      </w:r>
    </w:p>
    <w:p>
      <w:pPr>
        <w:spacing w:after="60"/>
      </w:pPr>
      <w:r>
        <w:rPr>
          <w:b/>
          <w:sz w:val="20"/>
        </w:rPr>
        <w:t xml:space="preserve">Basic Idea: </w:t>
      </w:r>
      <w:r>
        <w:rPr>
          <w:sz w:val="20"/>
        </w:rPr>
        <w:t>Replaces standard fixed-grid convolutions with Deformable Convolutions (DCNv2). Learnable 2D offsets deform kernel sampling grids to adapt to irregular, infiltrative tumor margins.</w:t>
      </w:r>
    </w:p>
    <w:p>
      <w:pPr>
        <w:spacing w:after="60"/>
      </w:pPr>
      <w:r>
        <w:rPr>
          <w:b/>
          <w:sz w:val="20"/>
        </w:rPr>
        <w:t xml:space="preserve">Key Characteristics: </w:t>
      </w:r>
      <w:r>
        <w:rPr>
          <w:sz w:val="20"/>
        </w:rPr>
        <w:t>17.72 Million parameters (48 base features). Run 1 used step learning rate decay; Run 2 upgraded to Cosine Annealing (lr=2e-4) to allow deformable offsets to settle smoothly in late epochs.</w:t>
      </w:r>
    </w:p>
    <w:p>
      <w:pPr>
        <w:spacing w:after="160"/>
      </w:pPr>
      <w:r>
        <w:rPr>
          <w:b/>
          <w:sz w:val="20"/>
        </w:rPr>
        <w:t xml:space="preserve">Resultant Metrics: </w:t>
      </w:r>
      <w:r>
        <w:rPr>
          <w:b/>
          <w:color w:val="2D3748"/>
          <w:sz w:val="20"/>
        </w:rPr>
        <w:t>Run 1 Test Dice: 86.07% | Run 2 Test Dice: 86.46% (+0.39% improvement) | Mean IoU: 79.12% | Median Dice: 93.72%.</w:t>
      </w:r>
    </w:p>
    <w:p>
      <w:pPr>
        <w:spacing w:before="200" w:after="40"/>
      </w:pPr>
      <w:r>
        <w:rPr>
          <w:rFonts w:ascii="Calibri" w:hAnsi="Calibri"/>
          <w:b/>
          <w:color w:val="1A365D"/>
          <w:sz w:val="26"/>
        </w:rPr>
        <w:t>• Attention U-Net</w:t>
      </w:r>
      <w:r>
        <w:rPr>
          <w:rFonts w:ascii="Calibri" w:hAnsi="Calibri"/>
          <w:i/>
          <w:color w:val="4A5568"/>
          <w:sz w:val="21"/>
        </w:rPr>
        <w:t xml:space="preserve">  (Run 1 &amp; Run 2)</w:t>
      </w:r>
    </w:p>
    <w:p>
      <w:pPr>
        <w:spacing w:after="60"/>
      </w:pPr>
      <w:r>
        <w:rPr>
          <w:b/>
          <w:sz w:val="20"/>
        </w:rPr>
        <w:t xml:space="preserve">Basic Idea: </w:t>
      </w:r>
      <w:r>
        <w:rPr>
          <w:sz w:val="20"/>
        </w:rPr>
        <w:t>Integrates Additive Attention Gates (Oktay et al., 2018) along skip connections to filter out non-tumor background tissue before feature concatenation.</w:t>
      </w:r>
    </w:p>
    <w:p>
      <w:pPr>
        <w:spacing w:after="60"/>
      </w:pPr>
      <w:r>
        <w:rPr>
          <w:b/>
          <w:sz w:val="20"/>
        </w:rPr>
        <w:t xml:space="preserve">Key Characteristics: </w:t>
      </w:r>
      <w:r>
        <w:rPr>
          <w:sz w:val="20"/>
        </w:rPr>
        <w:t>7.98 Million parameters (+1.68% overhead over standard U-Net). Run 1 used pure multiplicative gating (x * alpha). Run 2 introduced a Residual Bypass (x + x * alpha) and 0.2 BCE + 0.8 Dice loss to completely prevent boundary shrinkage on faint tumor slices.</w:t>
      </w:r>
    </w:p>
    <w:p>
      <w:pPr>
        <w:spacing w:after="160"/>
      </w:pPr>
      <w:r>
        <w:rPr>
          <w:b/>
          <w:sz w:val="20"/>
        </w:rPr>
        <w:t xml:space="preserve">Resultant Metrics: </w:t>
      </w:r>
      <w:r>
        <w:rPr>
          <w:b/>
          <w:color w:val="2D3748"/>
          <w:sz w:val="20"/>
        </w:rPr>
        <w:t>Run 1 Test Dice: 86.16% | Run 2 Test Dice: 86.96% (+0.80% surge!) | Mean IoU: 79.93% | Small Tumors: 82.41% | Large Tumors: 91.64%.</w:t>
      </w:r>
    </w:p>
    <w:p>
      <w:pPr>
        <w:spacing w:before="200" w:after="40"/>
      </w:pPr>
      <w:r>
        <w:rPr>
          <w:rFonts w:ascii="Calibri" w:hAnsi="Calibri"/>
          <w:b/>
          <w:color w:val="1A365D"/>
          <w:sz w:val="26"/>
        </w:rPr>
        <w:t>• U-Net++ (Nested U-Net)</w:t>
      </w:r>
      <w:r>
        <w:rPr>
          <w:rFonts w:ascii="Calibri" w:hAnsi="Calibri"/>
          <w:i/>
          <w:color w:val="4A5568"/>
          <w:sz w:val="21"/>
        </w:rPr>
        <w:t xml:space="preserve">  (Zhou et al., 2018 — Project Record Holder)</w:t>
      </w:r>
    </w:p>
    <w:p>
      <w:pPr>
        <w:spacing w:after="60"/>
      </w:pPr>
      <w:r>
        <w:rPr>
          <w:b/>
          <w:sz w:val="20"/>
        </w:rPr>
        <w:t xml:space="preserve">Basic Idea: </w:t>
      </w:r>
      <w:r>
        <w:rPr>
          <w:sz w:val="20"/>
        </w:rPr>
        <w:t>Narrows the semantic gap between encoder and decoder features by connecting them through a nested, dense grid of convolution blocks, with Deep Supervision supervising 4 multi-scale output heads simultaneously.</w:t>
      </w:r>
    </w:p>
    <w:p>
      <w:pPr>
        <w:spacing w:after="60"/>
      </w:pPr>
      <w:r>
        <w:rPr>
          <w:b/>
          <w:sz w:val="20"/>
        </w:rPr>
        <w:t xml:space="preserve">Key Characteristics: </w:t>
      </w:r>
      <w:r>
        <w:rPr>
          <w:sz w:val="20"/>
        </w:rPr>
        <w:t>9.04 Million parameters (5 depth levels, 15 dense convolution nodes). Trained with Zhou et al.'s official 1:2 loss ratio (0.33 BCE + 0.67 Dice) on 100% of the training corpus.</w:t>
      </w:r>
    </w:p>
    <w:p>
      <w:pPr>
        <w:spacing w:after="160"/>
      </w:pPr>
      <w:r>
        <w:rPr>
          <w:b/>
          <w:sz w:val="20"/>
        </w:rPr>
        <w:t xml:space="preserve">Resultant Metrics: </w:t>
      </w:r>
      <w:r>
        <w:rPr>
          <w:b/>
          <w:color w:val="2D3748"/>
          <w:sz w:val="20"/>
        </w:rPr>
        <w:t>Test Dice Score: 87.14% (#1 Highest in Project) | Mean IoU: 80.18% (Only model &gt;80%) | Medium Tumors: 88.95% | Optimal Threshold: 0.45 - 0.50.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6"/>
        </w:rPr>
        <w:t>Summary Progression</w:t>
      </w:r>
    </w:p>
    <w:p>
      <w:pPr>
        <w:spacing w:after="80"/>
      </w:pPr>
      <w:r>
        <w:t>• Classification: EfficientNet-B0 delivers near-perfect 97.4% diagnostic accuracy with minimal parameters.</w:t>
        <w:br/>
        <w:t>• Segmentation Progression: Standard U-Net (86.84%) proved a strong baseline. GeoSample U-Net (86.46%) provided geometric adaptivity. Residual Attention U-Net Run 2 (86.96%) eliminated edge shrinkage. U-Net++ (87.14%) established the definitive state-of-the-art for the project by capturing multi-scale tumor context.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