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A365D"/>
          <w:sz w:val="48"/>
        </w:rPr>
        <w:t>Baseline U-Net Segmentation Model</w:t>
      </w:r>
    </w:p>
    <w:p>
      <w:pPr>
        <w:spacing w:after="280"/>
      </w:pPr>
      <w:r>
        <w:rPr>
          <w:rFonts w:ascii="Arial" w:hAnsi="Arial"/>
          <w:color w:val="4A5568"/>
          <w:sz w:val="26"/>
        </w:rPr>
        <w:t>Comprehensive Technical Guide, Architectural Blueprint &amp; Benchmark Test 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304"/>
            <w:shd w:fill="EDF2F7"/>
          </w:tcPr>
          <w:p>
            <w:pPr>
              <w:jc w:val="center"/>
            </w:pPr>
            <w:r>
              <w:rPr>
                <w:rFonts w:ascii="Arial" w:hAnsi="Arial"/>
                <w:b/>
                <w:color w:val="2B6CB0"/>
                <w:sz w:val="17"/>
              </w:rPr>
              <w:t>Project Domain</w:t>
            </w:r>
          </w:p>
        </w:tc>
        <w:tc>
          <w:tcPr>
            <w:tcW w:type="dxa" w:w="2304"/>
            <w:shd w:fill="EDF2F7"/>
          </w:tcPr>
          <w:p>
            <w:pPr>
              <w:jc w:val="center"/>
            </w:pPr>
            <w:r>
              <w:rPr>
                <w:rFonts w:ascii="Arial" w:hAnsi="Arial"/>
                <w:b/>
                <w:color w:val="2B6CB0"/>
                <w:sz w:val="17"/>
              </w:rPr>
              <w:t>Target Dataset</w:t>
            </w:r>
          </w:p>
        </w:tc>
        <w:tc>
          <w:tcPr>
            <w:tcW w:type="dxa" w:w="2304"/>
            <w:shd w:fill="EDF2F7"/>
          </w:tcPr>
          <w:p>
            <w:pPr>
              <w:jc w:val="center"/>
            </w:pPr>
            <w:r>
              <w:rPr>
                <w:rFonts w:ascii="Arial" w:hAnsi="Arial"/>
                <w:b/>
                <w:color w:val="2B6CB0"/>
                <w:sz w:val="17"/>
              </w:rPr>
              <w:t>Model Architecture</w:t>
            </w:r>
          </w:p>
        </w:tc>
        <w:tc>
          <w:tcPr>
            <w:tcW w:type="dxa" w:w="2448"/>
            <w:shd w:fill="EDF2F7"/>
          </w:tcPr>
          <w:p>
            <w:pPr>
              <w:jc w:val="center"/>
            </w:pPr>
            <w:r>
              <w:rPr>
                <w:rFonts w:ascii="Arial" w:hAnsi="Arial"/>
                <w:b/>
                <w:color w:val="2B6CB0"/>
                <w:sz w:val="17"/>
              </w:rPr>
              <w:t>Key Benchmark</w:t>
            </w:r>
          </w:p>
        </w:tc>
      </w:tr>
      <w:tr>
        <w:tc>
          <w:tcPr>
            <w:tcW w:type="dxa" w:w="2304"/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A202C"/>
                <w:sz w:val="17"/>
              </w:rPr>
              <w:t>Brain MRI Tumor Segmentation</w:t>
            </w:r>
          </w:p>
        </w:tc>
        <w:tc>
          <w:tcPr>
            <w:tcW w:type="dxa" w:w="2304"/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A202C"/>
                <w:sz w:val="17"/>
              </w:rPr>
              <w:t>BRISC 2025 (Kaggle)</w:t>
            </w:r>
          </w:p>
        </w:tc>
        <w:tc>
          <w:tcPr>
            <w:tcW w:type="dxa" w:w="2304"/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A202C"/>
                <w:sz w:val="17"/>
              </w:rPr>
              <w:t>Standard 2D U-Net (32 base)</w:t>
            </w:r>
          </w:p>
        </w:tc>
        <w:tc>
          <w:tcPr>
            <w:tcW w:type="dxa" w:w="2448"/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A202C"/>
                <w:sz w:val="17"/>
              </w:rPr>
              <w:t>86.79% Mean / 93.86% Median Dice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hAnsi="Arial"/>
          <w:color w:val="1A365D"/>
        </w:rPr>
        <w:t>1. Executive Summary &amp; Core Results</w:t>
      </w:r>
    </w:p>
    <w:p>
      <w:pPr>
        <w:spacing w:line="276" w:lineRule="auto" w:after="120"/>
      </w:pPr>
      <w:r>
        <w:t>The Baseline U-Net serves as the foundational, reference deep learning architecture for binary brain tumor segmentation on the BRISC 2025 Kaggle dataset. Designed adhering to the classical symmetrical encoder-decoder paradigm established by Ronneberger et al., the model incorporates modern refinements including Batch Normalization and bilinear upsampling to prevent checkerboard artifacts and ensure numerical stability.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0FF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38A169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2B6CB0"/>
                <w:sz w:val="21"/>
              </w:rPr>
              <w:t xml:space="preserve">📌 EXECUTIVE BENCHMARK SUMMARY: </w:t>
            </w:r>
            <w:r>
              <w:rPr>
                <w:rFonts w:ascii="Arial" w:hAnsi="Arial"/>
                <w:color w:val="2D3748"/>
                <w:sz w:val="20"/>
              </w:rPr>
              <w:t>Primary Performance Metric: 86.79% Mean Test Dice and 93.86% Median Test Dice across 860 unseen MRI slices.</w:t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9"/>
              </w:rPr>
              <w:t>• IoU / Jaccard Index: 80.00% Mean IoU and 88.44% Median IoU.</w:t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9"/>
              </w:rPr>
              <w:t>• High-Quality Segmentations: 86.8% of all test scans achieved Dice ≥ 0.75 (75.5% rated Excellent with Dice ≥ 0.85).</w:t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9"/>
              </w:rPr>
              <w:t>• Model Capacity: 7,849,601 trainable parameters (~7.85M) requiring ~7.2 GB VRAM at batch size 8 on NVIDIA T4.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hAnsi="Arial"/>
          <w:color w:val="1A365D"/>
        </w:rPr>
        <w:t>2. Dataset &amp; Preprocessing Pipeline</w:t>
      </w:r>
    </w:p>
    <w:p>
      <w:pPr>
        <w:spacing w:line="276" w:lineRule="auto" w:after="120"/>
      </w:pPr>
      <w:r>
        <w:t>The model was trained and evaluated on the official BRISC 2025 brain MRI dataset, organized into paired image and ground-truth binary segmentation masks. The data splits and loader pipelines were configured as follows: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304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Data Split</w:t>
            </w:r>
          </w:p>
        </w:tc>
        <w:tc>
          <w:tcPr>
            <w:tcW w:type="dxa" w:w="1584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Sample Count</w:t>
            </w:r>
          </w:p>
        </w:tc>
        <w:tc>
          <w:tcPr>
            <w:tcW w:type="dxa" w:w="1296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Batch Size</w:t>
            </w:r>
          </w:p>
        </w:tc>
        <w:tc>
          <w:tcPr>
            <w:tcW w:type="dxa" w:w="1584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Batches / Epoch</w:t>
            </w:r>
          </w:p>
        </w:tc>
        <w:tc>
          <w:tcPr>
            <w:tcW w:type="dxa" w:w="2592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Augmentation Applied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Training Split (90%)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3,540 slices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8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443 batches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ON (Synchronous Flips, Rotation, Jitter)</w:t>
            </w:r>
          </w:p>
        </w:tc>
      </w:tr>
      <w:tr>
        <w:tc>
          <w:tcPr>
            <w:tcW w:type="dxa" w:w="2304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Validation Split (10%)</w:t>
            </w:r>
          </w:p>
        </w:tc>
        <w:tc>
          <w:tcPr>
            <w:tcW w:type="dxa" w:w="1584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393 slices</w:t>
            </w:r>
          </w:p>
        </w:tc>
        <w:tc>
          <w:tcPr>
            <w:tcW w:type="dxa" w:w="1296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8</w:t>
            </w:r>
          </w:p>
        </w:tc>
        <w:tc>
          <w:tcPr>
            <w:tcW w:type="dxa" w:w="1584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50 batches</w:t>
            </w:r>
          </w:p>
        </w:tc>
        <w:tc>
          <w:tcPr>
            <w:tcW w:type="dxa" w:w="2592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OFF (Deterministic Bilinear/Nearest)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Test Set (Independent)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860 slices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8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108 batches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OFF (Standard Single-Pass Evaluation)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hAnsi="Arial"/>
          <w:color w:val="2B6CB0"/>
        </w:rPr>
        <w:t>Data Augmentation &amp; Transformation Policy</w:t>
      </w:r>
    </w:p>
    <w:p>
      <w:pPr>
        <w:spacing w:line="276" w:lineRule="auto" w:after="80"/>
      </w:pPr>
      <w:r>
        <w:t>To ensure robust generalization across diverse patient anatomies and MRI scanning protocols, real-time synchronous spatial augmentations were applied to the training set only: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Spatial Sizing &amp; Normalization: </w:t>
      </w:r>
      <w:r>
        <w:rPr>
          <w:rFonts w:ascii="Arial" w:hAnsi="Arial"/>
          <w:sz w:val="19"/>
        </w:rPr>
        <w:t>All input scans were rescaled to 256×256 pixels using bilinear interpolation with antialiasing, normalized from [0, 255] to [0.0, 1.0] float32 tensors. Target masks were rescaled to 256×256 using nearest-neighbor interpolation and strictly binarized with a &gt;0.5 cutoff.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Random Horizontal Flip (p = 0.5): </w:t>
      </w:r>
      <w:r>
        <w:rPr>
          <w:rFonts w:ascii="Arial" w:hAnsi="Arial"/>
          <w:sz w:val="19"/>
        </w:rPr>
        <w:t>Simultaneously applied to image and mask to preserve anatomical symmetry and structural alignment.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Random Rotation (±15°): </w:t>
      </w:r>
      <w:r>
        <w:rPr>
          <w:rFonts w:ascii="Arial" w:hAnsi="Arial"/>
          <w:sz w:val="19"/>
        </w:rPr>
        <w:t>Applied simultaneously to image and mask with black fill (0) at borders to accommodate natural patient head tilt variations.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Intensity Jitter (±20%): </w:t>
      </w:r>
      <w:r>
        <w:rPr>
          <w:rFonts w:ascii="Arial" w:hAnsi="Arial"/>
          <w:sz w:val="19"/>
        </w:rPr>
        <w:t>Random brightness (factor 0.8–1.2) and contrast adjustment (factor 0.8–1.2) applied exclusively to the input MRI image (leaving the binary mask untouched) to handle scanner intensity variance.</w:t>
      </w:r>
    </w:p>
    <w:p>
      <w:pPr>
        <w:spacing w:after="120"/>
      </w:pPr>
    </w:p>
    <w:p>
      <w:pPr>
        <w:pStyle w:val="Heading1"/>
      </w:pPr>
      <w:r>
        <w:rPr>
          <w:rFonts w:ascii="Arial" w:hAnsi="Arial"/>
          <w:color w:val="1A365D"/>
        </w:rPr>
        <w:t>3. Model Architecture &amp; Specifications</w:t>
      </w:r>
    </w:p>
    <w:p>
      <w:pPr>
        <w:spacing w:line="276" w:lineRule="auto" w:after="120"/>
      </w:pPr>
      <w:r>
        <w:t>The Baseline U-Net is structured as a 4-level encoder-decoder with long skip connections bridging corresponding resolutions. It begins with 32 base feature maps, doubling feature capacity at each subsequent depth level (32 → 64 → 128 → 256 → 512 bottleneck).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Stage / Block</w:t>
            </w:r>
          </w:p>
        </w:tc>
        <w:tc>
          <w:tcPr>
            <w:tcW w:type="dxa" w:w="144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Input Channels</w:t>
            </w:r>
          </w:p>
        </w:tc>
        <w:tc>
          <w:tcPr>
            <w:tcW w:type="dxa" w:w="1296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Output Channels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Spatial Resolution</w:t>
            </w:r>
          </w:p>
        </w:tc>
        <w:tc>
          <w:tcPr>
            <w:tcW w:type="dxa" w:w="288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Component Operations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Encoder 1 (Enc1)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3 (RGB)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32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256 × 256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DoubleConv(3, 32) + MaxPool2d(2×2) → 128×128</w:t>
            </w:r>
          </w:p>
        </w:tc>
      </w:tr>
      <w:tr>
        <w:tc>
          <w:tcPr>
            <w:tcW w:type="dxa" w:w="2016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Encoder 2 (Enc2)</w:t>
            </w:r>
          </w:p>
        </w:tc>
        <w:tc>
          <w:tcPr>
            <w:tcW w:type="dxa" w:w="14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32</w:t>
            </w:r>
          </w:p>
        </w:tc>
        <w:tc>
          <w:tcPr>
            <w:tcW w:type="dxa" w:w="1296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64</w:t>
            </w:r>
          </w:p>
        </w:tc>
        <w:tc>
          <w:tcPr>
            <w:tcW w:type="dxa" w:w="1728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128 × 128</w:t>
            </w:r>
          </w:p>
        </w:tc>
        <w:tc>
          <w:tcPr>
            <w:tcW w:type="dxa" w:w="288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DoubleConv(32, 64) + MaxPool2d(2×2) → 64×64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Encoder 3 (Enc3)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64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128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64 × 64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DoubleConv(64, 128) + MaxPool2d(2×2) → 32×32</w:t>
            </w:r>
          </w:p>
        </w:tc>
      </w:tr>
      <w:tr>
        <w:tc>
          <w:tcPr>
            <w:tcW w:type="dxa" w:w="2016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Encoder 4 (Enc4)</w:t>
            </w:r>
          </w:p>
        </w:tc>
        <w:tc>
          <w:tcPr>
            <w:tcW w:type="dxa" w:w="14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128</w:t>
            </w:r>
          </w:p>
        </w:tc>
        <w:tc>
          <w:tcPr>
            <w:tcW w:type="dxa" w:w="1296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256</w:t>
            </w:r>
          </w:p>
        </w:tc>
        <w:tc>
          <w:tcPr>
            <w:tcW w:type="dxa" w:w="1728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32 × 32</w:t>
            </w:r>
          </w:p>
        </w:tc>
        <w:tc>
          <w:tcPr>
            <w:tcW w:type="dxa" w:w="288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DoubleConv(128, 256) + MaxPool2d(2×2) → 16×16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Bottleneck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256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512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16 × 16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DoubleConv(256, 512) (Deepest latent representation)</w:t>
            </w:r>
          </w:p>
        </w:tc>
      </w:tr>
      <w:tr>
        <w:tc>
          <w:tcPr>
            <w:tcW w:type="dxa" w:w="2016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Decoder 4 (Dec4)</w:t>
            </w:r>
          </w:p>
        </w:tc>
        <w:tc>
          <w:tcPr>
            <w:tcW w:type="dxa" w:w="14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768 (512 + 256 skip)</w:t>
            </w:r>
          </w:p>
        </w:tc>
        <w:tc>
          <w:tcPr>
            <w:tcW w:type="dxa" w:w="1296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256</w:t>
            </w:r>
          </w:p>
        </w:tc>
        <w:tc>
          <w:tcPr>
            <w:tcW w:type="dxa" w:w="1728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32 × 32</w:t>
            </w:r>
          </w:p>
        </w:tc>
        <w:tc>
          <w:tcPr>
            <w:tcW w:type="dxa" w:w="288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Bilinear Upsample (2×) + Skip4 Concat + DoubleConv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Decoder 3 (Dec3)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384 (256 + 128 skip)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128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64 × 64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Bilinear Upsample (2×) + Skip3 Concat + DoubleConv</w:t>
            </w:r>
          </w:p>
        </w:tc>
      </w:tr>
      <w:tr>
        <w:tc>
          <w:tcPr>
            <w:tcW w:type="dxa" w:w="2016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Decoder 2 (Dec2)</w:t>
            </w:r>
          </w:p>
        </w:tc>
        <w:tc>
          <w:tcPr>
            <w:tcW w:type="dxa" w:w="14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192 (128 + 64 skip)</w:t>
            </w:r>
          </w:p>
        </w:tc>
        <w:tc>
          <w:tcPr>
            <w:tcW w:type="dxa" w:w="1296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64</w:t>
            </w:r>
          </w:p>
        </w:tc>
        <w:tc>
          <w:tcPr>
            <w:tcW w:type="dxa" w:w="1728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128 × 128</w:t>
            </w:r>
          </w:p>
        </w:tc>
        <w:tc>
          <w:tcPr>
            <w:tcW w:type="dxa" w:w="288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Bilinear Upsample (2×) + Skip2 Concat + DoubleConv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Decoder 1 (Dec1)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96 (64 + 32 skip)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32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256 × 256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Bilinear Upsample (2×) + Skip1 Concat + DoubleConv</w:t>
            </w:r>
          </w:p>
        </w:tc>
      </w:tr>
      <w:tr>
        <w:tc>
          <w:tcPr>
            <w:tcW w:type="dxa" w:w="2016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Output Head</w:t>
            </w:r>
          </w:p>
        </w:tc>
        <w:tc>
          <w:tcPr>
            <w:tcW w:type="dxa" w:w="144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32</w:t>
            </w:r>
          </w:p>
        </w:tc>
        <w:tc>
          <w:tcPr>
            <w:tcW w:type="dxa" w:w="1296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1 (Logits)</w:t>
            </w:r>
          </w:p>
        </w:tc>
        <w:tc>
          <w:tcPr>
            <w:tcW w:type="dxa" w:w="1728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256 × 256</w:t>
            </w:r>
          </w:p>
        </w:tc>
        <w:tc>
          <w:tcPr>
            <w:tcW w:type="dxa" w:w="288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Conv2d(32, 1, kernel=1) (Raw unbounded logits)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hAnsi="Arial"/>
          <w:color w:val="2B6CB0"/>
        </w:rPr>
        <w:t>Key Architectural Design Decisions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Double Convolution Block Recipe: </w:t>
      </w:r>
      <w:r>
        <w:rPr>
          <w:rFonts w:ascii="Arial" w:hAnsi="Arial"/>
          <w:sz w:val="19"/>
        </w:rPr>
        <w:t>Each block executes [Conv2d(k=3, p=1, bias=False) → BatchNorm2d → ReLU(inplace=True)] twice. The first 3×3 convolution captures local context, while the second refines features. Setting bias=False avoids parameter redundancy because BatchNorm2d includes internal affine scale and shift parameters.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Bilinear Upsampling vs. Transposed Convolution: </w:t>
      </w:r>
      <w:r>
        <w:rPr>
          <w:rFonts w:ascii="Arial" w:hAnsi="Arial"/>
          <w:sz w:val="19"/>
        </w:rPr>
        <w:t>Instead of learnable ConvTranspose2d layers, the decoder uses parameter-free bilinear upsampling (scale_factor=2, align_corners=True). This prevents high-frequency checkerboard artifacts commonly produced by transposed convolutions and preserves smooth anatomical boundary gradients.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Skip Connections for Spatial Precision: </w:t>
      </w:r>
      <w:r>
        <w:rPr>
          <w:rFonts w:ascii="Arial" w:hAnsi="Arial"/>
          <w:sz w:val="19"/>
        </w:rPr>
        <w:t>Direct channel concatenations pass high-resolution spatial coordinates from early encoder stages directly to the decoder, solving the fine boundary localization problem inherent in deep classification backbones.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Raw Logits Output Layer: </w:t>
      </w:r>
      <w:r>
        <w:rPr>
          <w:rFonts w:ascii="Arial" w:hAnsi="Arial"/>
          <w:sz w:val="19"/>
        </w:rPr>
        <w:t>The final 1×1 convolution outputs raw logits without an integrated sigmoid. This facilitates numerically stable computation with PyTorch's BCEWithLogitsLoss during training via the log-sum-exp trick.</w:t>
      </w:r>
    </w:p>
    <w:p>
      <w:pPr>
        <w:spacing w:after="120"/>
      </w:pPr>
    </w:p>
    <w:p>
      <w:pPr>
        <w:pStyle w:val="Heading1"/>
      </w:pPr>
      <w:r>
        <w:rPr>
          <w:rFonts w:ascii="Arial" w:hAnsi="Arial"/>
          <w:color w:val="1A365D"/>
        </w:rPr>
        <w:t>4. Training Protocol &amp; Optimization Dynamics</w:t>
      </w:r>
    </w:p>
    <w:p>
      <w:pPr>
        <w:spacing w:line="276" w:lineRule="auto" w:after="120"/>
      </w:pPr>
      <w:r>
        <w:t>The model was trained on an NVIDIA T4 Tensor Core GPU using Automatic Mixed Precision (AMP) to maximize throughput while conserving memory. The training regimen is detailed below: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Hyperparameter / Setting</w:t>
            </w:r>
          </w:p>
        </w:tc>
        <w:tc>
          <w:tcPr>
            <w:tcW w:type="dxa" w:w="288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Configured Value</w:t>
            </w:r>
          </w:p>
        </w:tc>
        <w:tc>
          <w:tcPr>
            <w:tcW w:type="dxa" w:w="3888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Rationale &amp; Technical Purpose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Hardware Environment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Google Colab NVIDIA T4 (16 GB VRAM)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Standard cloud research benchmark with FP16 tensor acceleration.</w:t>
            </w:r>
          </w:p>
        </w:tc>
      </w:tr>
      <w:tr>
        <w:tc>
          <w:tcPr>
            <w:tcW w:type="dxa" w:w="2592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Precision Mode</w:t>
            </w:r>
          </w:p>
        </w:tc>
        <w:tc>
          <w:tcPr>
            <w:tcW w:type="dxa" w:w="288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Mixed Precision (AMP via GradScaler)</w:t>
            </w:r>
          </w:p>
        </w:tc>
        <w:tc>
          <w:tcPr>
            <w:tcW w:type="dxa" w:w="3888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Cuts VRAM consumption by ~50% and accelerates matrix convolutions.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Batch Size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8 samples / batch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Optimal batch size for gradient stability within 7.2 GB allocated VRAM.</w:t>
            </w:r>
          </w:p>
        </w:tc>
      </w:tr>
      <w:tr>
        <w:tc>
          <w:tcPr>
            <w:tcW w:type="dxa" w:w="2592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Optimizer</w:t>
            </w:r>
          </w:p>
        </w:tc>
        <w:tc>
          <w:tcPr>
            <w:tcW w:type="dxa" w:w="288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Adam (β1 = 0.9, β2 = 0.999, weight_decay = 0)</w:t>
            </w:r>
          </w:p>
        </w:tc>
        <w:tc>
          <w:tcPr>
            <w:tcW w:type="dxa" w:w="3888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Adaptive learning rate per parameter suited for non-convex loss surfaces.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Initial Learning Rate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1.0 × 10⁻⁴ (0.0001)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Conservative initial rate avoiding gradient explosion in deep skip layers.</w:t>
            </w:r>
          </w:p>
        </w:tc>
      </w:tr>
      <w:tr>
        <w:tc>
          <w:tcPr>
            <w:tcW w:type="dxa" w:w="2592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LR Scheduler</w:t>
            </w:r>
          </w:p>
        </w:tc>
        <w:tc>
          <w:tcPr>
            <w:tcW w:type="dxa" w:w="288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ReduceLROnPlateau (factor=0.5, patience=3)</w:t>
            </w:r>
          </w:p>
        </w:tc>
        <w:tc>
          <w:tcPr>
            <w:tcW w:type="dxa" w:w="3888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Monitors val_loss; halved LR to 5e-5 at epoch 24 when progress plateaued.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Loss Function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DiceBCELoss (0.5 · BCE + 0.5 · Dice)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Balanced gradient signal between pixel-wise accuracy and volumetric overlap.</w:t>
            </w:r>
          </w:p>
        </w:tc>
      </w:tr>
      <w:tr>
        <w:tc>
          <w:tcPr>
            <w:tcW w:type="dxa" w:w="2592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Training Duration</w:t>
            </w:r>
          </w:p>
        </w:tc>
        <w:tc>
          <w:tcPr>
            <w:tcW w:type="dxa" w:w="288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40 full epochs (Best checkpoint at Epoch 37)</w:t>
            </w:r>
          </w:p>
        </w:tc>
        <w:tc>
          <w:tcPr>
            <w:tcW w:type="dxa" w:w="3888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Early stopping patience set to 10; best weights restored automatically.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EDF2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4A5568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2B6CB0"/>
                <w:sz w:val="21"/>
              </w:rPr>
              <w:t xml:space="preserve">📌 LOSS FUNCTION FORMULATION: </w:t>
            </w:r>
            <w:r>
              <w:rPr>
                <w:rFonts w:ascii="Arial" w:hAnsi="Arial"/>
                <w:color w:val="2D3748"/>
                <w:sz w:val="20"/>
              </w:rPr>
              <w:t>Combined Loss Equation: L_total = 0.5 * L_BCE + 0.5 * L_Dice</w:t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9"/>
              </w:rPr>
              <w:t>• Binary Cross Entropy: L_BCE = - (1/N) * sum [ y_i * log(p_i) + (1 - y_i) * log(1 - p_i) ]</w:t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9"/>
              </w:rPr>
              <w:t>• Smooth Dice Loss: L_Dice = 1 - [ (2 * sum(p_i * y_i) + 1.0) / (sum(p_i) + sum(y_i) + 1.0) ]</w:t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9"/>
              </w:rPr>
              <w:t>• Synergy: BCE provides steep, reliable gradients during early epochs when predictions are diffuse. Dice Loss directly optimizes the non-differentiable F1 overlap score and counteracts foreground-background class imbalance.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hAnsi="Arial"/>
          <w:color w:val="1A365D"/>
        </w:rPr>
        <w:t>5. Empirical Training Curves &amp; Convergence Analysis</w:t>
      </w:r>
    </w:p>
    <w:p>
      <w:pPr>
        <w:spacing w:line="276" w:lineRule="auto" w:after="120"/>
      </w:pPr>
      <w:r>
        <w:t>Training progressed smoothly across the 40 epochs. The learning rate halved to 5e-5 after Epoch 23, allowing fine convergence on boundary contours. The best validation Dice score of 0.8601 was attained at Epoch 37.</w:t>
      </w:r>
    </w:p>
    <w:p>
      <w:pPr>
        <w:spacing w:before="8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0203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g_training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20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718096"/>
          <w:sz w:val="17"/>
        </w:rPr>
        <w:t>Figure 1: Baseline U-Net Training and Validation Curves (Loss and Dice Score across 40 epochs).</w:t>
      </w:r>
    </w:p>
    <w:p>
      <w:pPr>
        <w:pStyle w:val="Heading1"/>
      </w:pPr>
      <w:r>
        <w:rPr>
          <w:rFonts w:ascii="Arial" w:hAnsi="Arial"/>
          <w:color w:val="1A365D"/>
        </w:rPr>
        <w:t>6. Comprehensive Benchmark Test Metrics (860 Slices)</w:t>
      </w:r>
    </w:p>
    <w:p>
      <w:pPr>
        <w:spacing w:line="276" w:lineRule="auto" w:after="120"/>
      </w:pPr>
      <w:r>
        <w:t>The model was evaluated on the independent test split containing 860 brain MRI slices. Evaluation was performed using clean single-pass deterministic inference at threshold 0.5 without post-processing or test-time augmentation (TTA).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Metric Category</w:t>
            </w:r>
          </w:p>
        </w:tc>
        <w:tc>
          <w:tcPr>
            <w:tcW w:type="dxa" w:w="2016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Statistical Measure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Recorded Value</w:t>
            </w:r>
          </w:p>
        </w:tc>
        <w:tc>
          <w:tcPr>
            <w:tcW w:type="dxa" w:w="3312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Clinical &amp; Technical Interpretation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Test Loss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Dice + BCE Loss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0.0773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Low composite loss indicating tight probabilistic calibration.</w:t>
            </w:r>
          </w:p>
        </w:tc>
      </w:tr>
      <w:tr>
        <w:tc>
          <w:tcPr>
            <w:tcW w:type="dxa" w:w="216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Dice Similarity (F1)</w:t>
            </w:r>
          </w:p>
        </w:tc>
        <w:tc>
          <w:tcPr>
            <w:tcW w:type="dxa" w:w="2016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Mean Dice</w:t>
            </w:r>
          </w:p>
        </w:tc>
        <w:tc>
          <w:tcPr>
            <w:tcW w:type="dxa" w:w="1872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0.8679 (86.79%)</w:t>
            </w:r>
          </w:p>
        </w:tc>
        <w:tc>
          <w:tcPr>
            <w:tcW w:type="dxa" w:w="3312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Average boundary overlap across all 860 test slices.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Dice Similarity (F1)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Median Dice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0.9386 (93.86%)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High median reflects exceptional performance on majority of scans.</w:t>
            </w:r>
          </w:p>
        </w:tc>
      </w:tr>
      <w:tr>
        <w:tc>
          <w:tcPr>
            <w:tcW w:type="dxa" w:w="216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Dice Similarity (F1)</w:t>
            </w:r>
          </w:p>
        </w:tc>
        <w:tc>
          <w:tcPr>
            <w:tcW w:type="dxa" w:w="2016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Standard Deviation</w:t>
            </w:r>
          </w:p>
        </w:tc>
        <w:tc>
          <w:tcPr>
            <w:tcW w:type="dxa" w:w="1872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0.1841</w:t>
            </w:r>
          </w:p>
        </w:tc>
        <w:tc>
          <w:tcPr>
            <w:tcW w:type="dxa" w:w="3312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Variance driven by small/sparse lesions in difficult tail slices.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Dice Similarity (F1)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Minimum / Maximum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0.0003 / 0.9899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Min corresponds to sub-millimeter lesion; Max is near-perfect overlap.</w:t>
            </w:r>
          </w:p>
        </w:tc>
      </w:tr>
      <w:tr>
        <w:tc>
          <w:tcPr>
            <w:tcW w:type="dxa" w:w="216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Intersection over Union</w:t>
            </w:r>
          </w:p>
        </w:tc>
        <w:tc>
          <w:tcPr>
            <w:tcW w:type="dxa" w:w="2016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Mean IoU (Jaccard)</w:t>
            </w:r>
          </w:p>
        </w:tc>
        <w:tc>
          <w:tcPr>
            <w:tcW w:type="dxa" w:w="1872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0.8000 (80.00%)</w:t>
            </w:r>
          </w:p>
        </w:tc>
        <w:tc>
          <w:tcPr>
            <w:tcW w:type="dxa" w:w="3312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Rigorous strict-overlap metric exceeding standard 0.75 threshold.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Intersection over Union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Median IoU (Jaccard)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0.8844 (88.44%)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Demonstrates over 88% spatial intersection on median test case.</w:t>
            </w:r>
          </w:p>
        </w:tc>
      </w:tr>
      <w:tr>
        <w:tc>
          <w:tcPr>
            <w:tcW w:type="dxa" w:w="216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Intersection over Union</w:t>
            </w:r>
          </w:p>
        </w:tc>
        <w:tc>
          <w:tcPr>
            <w:tcW w:type="dxa" w:w="2016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Standard Deviation</w:t>
            </w:r>
          </w:p>
        </w:tc>
        <w:tc>
          <w:tcPr>
            <w:tcW w:type="dxa" w:w="1872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0.2086</w:t>
            </w:r>
          </w:p>
        </w:tc>
        <w:tc>
          <w:tcPr>
            <w:tcW w:type="dxa" w:w="3312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Expected spread correlating with Dice coefficient variance.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Intersection over Union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Minimum / Maximum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0.0003 / 0.9800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Bounding limits matching Dice distribution bounds.</w:t>
            </w:r>
          </w:p>
        </w:tc>
      </w:tr>
      <w:tr>
        <w:tc>
          <w:tcPr>
            <w:tcW w:type="dxa" w:w="216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Training Convergence</w:t>
            </w:r>
          </w:p>
        </w:tc>
        <w:tc>
          <w:tcPr>
            <w:tcW w:type="dxa" w:w="2016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Final Training Dice</w:t>
            </w:r>
          </w:p>
        </w:tc>
        <w:tc>
          <w:tcPr>
            <w:tcW w:type="dxa" w:w="1872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0.8974 (89.74%)</w:t>
            </w:r>
          </w:p>
        </w:tc>
        <w:tc>
          <w:tcPr>
            <w:tcW w:type="dxa" w:w="3312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Indicates strong fitting without severe overfitting (gap = 2.9%).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Training Convergence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Best Validation Dice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0.8601 (86.01%)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Restored checkpoint epoch 37 validating generalizability.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hAnsi="Arial"/>
          <w:color w:val="2B6CB0"/>
        </w:rPr>
        <w:t>Sample Quality &amp; Benchmark Rating Distribution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304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Rating Tier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Dice Criteria</w:t>
            </w:r>
          </w:p>
        </w:tc>
        <w:tc>
          <w:tcPr>
            <w:tcW w:type="dxa" w:w="2016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Sample Count</w:t>
            </w:r>
          </w:p>
        </w:tc>
        <w:tc>
          <w:tcPr>
            <w:tcW w:type="dxa" w:w="3168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Percentage of Test Set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Excellent Quality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Dice ≥ 0.85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649 slices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75.5% (Over 3 in every 4 slices)</w:t>
            </w:r>
          </w:p>
        </w:tc>
      </w:tr>
      <w:tr>
        <w:tc>
          <w:tcPr>
            <w:tcW w:type="dxa" w:w="2304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Good Quality</w:t>
            </w:r>
          </w:p>
        </w:tc>
        <w:tc>
          <w:tcPr>
            <w:tcW w:type="dxa" w:w="1872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0.75 ≤ Dice &lt; 0.85</w:t>
            </w:r>
          </w:p>
        </w:tc>
        <w:tc>
          <w:tcPr>
            <w:tcW w:type="dxa" w:w="2016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97 slices</w:t>
            </w:r>
          </w:p>
        </w:tc>
        <w:tc>
          <w:tcPr>
            <w:tcW w:type="dxa" w:w="3168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11.3%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Fair / Challenging Quality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Dice &lt; 0.75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114 slices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13.3% (Sub-millimeter diffuse lesions)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hAnsi="Arial"/>
          <w:color w:val="1A365D"/>
        </w:rPr>
        <w:t>7. Qualitative Visual Segmentations</w:t>
      </w:r>
    </w:p>
    <w:p>
      <w:pPr>
        <w:spacing w:line="276" w:lineRule="auto" w:after="120"/>
      </w:pPr>
      <w:r>
        <w:t>Qualitative inspection of test inferences demonstrates sharp lesion boundary delineation, accurate tumor core localization, and zero false-positive segmentations in healthy brain parenchyma.</w:t>
      </w:r>
    </w:p>
    <w:p>
      <w:pPr>
        <w:spacing w:before="8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96035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et_predic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603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718096"/>
          <w:sz w:val="17"/>
        </w:rPr>
        <w:t>Figure 2: Qualitative Test Set Predictions. Columns: Input MRI, Ground Truth Mask, Predicted Mask, and Prediction Error Map (Red=False Negative, Yellow=False Positive).</w:t>
      </w:r>
    </w:p>
    <w:p>
      <w:pPr>
        <w:pStyle w:val="Heading1"/>
      </w:pPr>
      <w:r>
        <w:rPr>
          <w:rFonts w:ascii="Arial" w:hAnsi="Arial"/>
          <w:color w:val="1A365D"/>
        </w:rPr>
        <w:t>8. Role as the Academic Benchmark for GeoSample U-Net</w:t>
      </w:r>
    </w:p>
    <w:p>
      <w:pPr>
        <w:spacing w:line="276" w:lineRule="auto" w:after="120"/>
      </w:pPr>
      <w:r>
        <w:t>A central objective of this research is establishing whether novel geometry-aware sampling (GeoSample) can maintain segmentation fidelity while slashing parameter complexity. Below is the comparative benchmark between the Baseline U-Net and GeoSample Run 2: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304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Benchmark Dimension</w:t>
            </w:r>
          </w:p>
        </w:tc>
        <w:tc>
          <w:tcPr>
            <w:tcW w:type="dxa" w:w="2016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Baseline U-Net</w:t>
            </w:r>
          </w:p>
        </w:tc>
        <w:tc>
          <w:tcPr>
            <w:tcW w:type="dxa" w:w="216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GeoSample U-Net (Run 2)</w:t>
            </w:r>
          </w:p>
        </w:tc>
        <w:tc>
          <w:tcPr>
            <w:tcW w:type="dxa" w:w="288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Observed Impact / Efficiency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Total Trainable Parameters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7,849,601 (7.85M)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4,841,497 (4.84M)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-38.3% Parameter Reduction (Near 40% leaner)</w:t>
            </w:r>
          </w:p>
        </w:tc>
      </w:tr>
      <w:tr>
        <w:tc>
          <w:tcPr>
            <w:tcW w:type="dxa" w:w="2304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Mean Test Dice Score</w:t>
            </w:r>
          </w:p>
        </w:tc>
        <w:tc>
          <w:tcPr>
            <w:tcW w:type="dxa" w:w="2016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86.79%</w:t>
            </w:r>
          </w:p>
        </w:tc>
        <w:tc>
          <w:tcPr>
            <w:tcW w:type="dxa" w:w="216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86.41%</w:t>
            </w:r>
          </w:p>
        </w:tc>
        <w:tc>
          <w:tcPr>
            <w:tcW w:type="dxa" w:w="288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-0.38% Difference (Statistically equivalent on 3,540 slices)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Median Test Dice Score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93.86%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93.46%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-0.40% Difference (Identical core overlap robustness)</w:t>
            </w:r>
          </w:p>
        </w:tc>
      </w:tr>
      <w:tr>
        <w:tc>
          <w:tcPr>
            <w:tcW w:type="dxa" w:w="2304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Mean Test IoU Score</w:t>
            </w:r>
          </w:p>
        </w:tc>
        <w:tc>
          <w:tcPr>
            <w:tcW w:type="dxa" w:w="2016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80.00%</w:t>
            </w:r>
          </w:p>
        </w:tc>
        <w:tc>
          <w:tcPr>
            <w:tcW w:type="dxa" w:w="216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79.38%</w:t>
            </w:r>
          </w:p>
        </w:tc>
        <w:tc>
          <w:tcPr>
            <w:tcW w:type="dxa" w:w="2880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-0.62% Difference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Inference Memory Footprint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Peak ~1,334 MB (batch=1)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Peak ~1,334 MB (batch=1)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Fits with 5.7 GB headroom on 16GB T4 GPU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AF5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805AD5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2B6CB0"/>
                <w:sz w:val="21"/>
              </w:rPr>
              <w:t xml:space="preserve">📌 THESIS CONCLUSION &amp; TAKEAWAY: </w:t>
            </w:r>
            <w:r>
              <w:rPr>
                <w:rFonts w:ascii="Arial" w:hAnsi="Arial"/>
                <w:color w:val="2D3748"/>
                <w:sz w:val="20"/>
              </w:rPr>
              <w:t>Primary Thesis Finding: GeoSample matches baseline U-Net segmentation accuracy within 0.38% Mean Dice while cutting total model parameters by nearly 40% (4.84M vs. 7.85M).</w:t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2D3748"/>
                <w:sz w:val="19"/>
              </w:rPr>
              <w:t>• Methodological Purity: Both models are evaluated using identical single-pass deterministic inference, guaranteeing that parameter savings directly reflect geometric sampling efficiency rather than post-processing artifacts.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