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2E6F6E"/>
          <w:sz w:val="22"/>
          <w:szCs w:val="22"/>
        </w:rPr>
        <w:t xml:space="preserve">SMART INDIA HACKATHON 2026</w:t>
      </w:r>
    </w:p>
    <w:p>
      <w:pPr>
        <w:spacing w:after="120" w:before="200"/>
        <w:jc w:val="center"/>
      </w:pPr>
      <w:r>
        <w:rPr>
          <w:b/>
          <w:bCs/>
          <w:color w:val="1B2A4A"/>
          <w:sz w:val="40"/>
          <w:szCs w:val="40"/>
        </w:rPr>
        <w:t xml:space="preserve">Universal Log Pre-processing Framework</w:t>
      </w:r>
    </w:p>
    <w:p>
      <w:pPr>
        <w:spacing w:after="400"/>
        <w:jc w:val="center"/>
      </w:pPr>
      <w:r>
        <w:rPr>
          <w:i/>
          <w:iCs/>
          <w:color w:val="5A5A5A"/>
          <w:sz w:val="24"/>
          <w:szCs w:val="24"/>
        </w:rPr>
        <w:t xml:space="preserve">Product Requirements Document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Problem Statement ID</w:t>
            </w:r>
          </w:p>
        </w:tc>
        <w:tc>
          <w:tcPr>
            <w:tcW w:type="dxa" w:w="6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SIH26156</w:t>
            </w:r>
          </w:p>
        </w:tc>
      </w:tr>
      <w:tr>
        <w:tc>
          <w:tcPr>
            <w:tcW w:type="dxa" w:w="32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Organization / Department</w:t>
            </w:r>
          </w:p>
        </w:tc>
        <w:tc>
          <w:tcPr>
            <w:tcW w:type="dxa" w:w="6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National Technical Research Organisation (NTRO)</w:t>
            </w:r>
          </w:p>
        </w:tc>
      </w:tr>
      <w:tr>
        <w:tc>
          <w:tcPr>
            <w:tcW w:type="dxa" w:w="32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6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Software</w:t>
            </w:r>
          </w:p>
        </w:tc>
      </w:tr>
      <w:tr>
        <w:tc>
          <w:tcPr>
            <w:tcW w:type="dxa" w:w="32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Theme</w:t>
            </w:r>
          </w:p>
        </w:tc>
        <w:tc>
          <w:tcPr>
            <w:tcW w:type="dxa" w:w="6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Blockchain &amp; Cybersecurity</w:t>
            </w:r>
          </w:p>
        </w:tc>
      </w:tr>
      <w:tr>
        <w:tc>
          <w:tcPr>
            <w:tcW w:type="dxa" w:w="32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Team</w:t>
            </w:r>
          </w:p>
        </w:tc>
        <w:tc>
          <w:tcPr>
            <w:tcW w:type="dxa" w:w="6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Shivanshu · Hannu · Shriyansh · Reyansh · (5th member TBD)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6E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1. Problem Statement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Modern enterprises generate massive volumes of logs across network devices, servers, applications, databases, cloud services, containers, endpoint security tools, IAM systems, and IoT platforms — in formats spanning Syslog, JSON, XML, CSV, CEF, LEEF, and countless proprietary vendor schemas.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This diversity creates real friction for centralized monitoring, SOC operations, compliance reporting, incident investigation, and threat analytics. Security teams routinely burn significant engineering effort hand-building source-specific parsers and normalization rules before data becomes usable by a SIEM, data lake, or ML pipeline.</w:t>
      </w:r>
    </w:p>
    <w:p>
      <w:pPr>
        <w:pStyle w:val="Heading2"/>
        <w:spacing w:after="100" w:before="240"/>
      </w:pPr>
      <w:r>
        <w:rPr>
          <w:b/>
          <w:bCs/>
          <w:color w:val="2E6F6E"/>
          <w:sz w:val="22"/>
          <w:szCs w:val="22"/>
        </w:rPr>
        <w:t xml:space="preserve">Core Pain Point</w:t>
      </w:r>
    </w:p>
    <w:p>
      <w:pPr>
        <w:spacing w:after="120" w:line="276"/>
      </w:pPr>
      <w:r>
        <w:rPr>
          <w:b/>
          <w:bCs/>
          <w:color w:val="1B2A4A"/>
          <w:sz w:val="21"/>
          <w:szCs w:val="21"/>
        </w:rPr>
        <w:t xml:space="preserve">Every new or proprietary log source requires manual parser engineering — this doesn't scale, and it's the bottleneck NTRO is explicitly asking to remove.</w:t>
      </w:r>
    </w:p>
    <w:p>
      <w:pPr>
        <w:pStyle w:val="Heading1"/>
        <w:pBdr>
          <w:bottom w:val="single" w:color="2E6F6E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2. Objective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Build a Universal Log Pre-processing Framework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Ingests logs from heterogeneous sources and formats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Auto-detects format and normalizes it into a common, analytics-ready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Automatically infers parsing rules for unknown or proprietary formats — without a human writing regex/Grok patterns from 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Detects schema drift when a source's log format changes, and adapts instead of silently failing.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Scores confidence on every auto-generated parse and routes low-confidence output through human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Scales horizontally to handle enterprise-grade log volume.</w:t>
      </w:r>
    </w:p>
    <w:p>
      <w:pPr>
        <w:pStyle w:val="Heading1"/>
        <w:pBdr>
          <w:bottom w:val="single" w:color="2E6F6E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3. Key Innovation — What Makes This Non-Trivial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A basic version of this — parsers for 4–5 known formats mapped to one schema — is a weekend project. We are deliberately building past that baseline:</w:t>
      </w:r>
    </w:p>
    <w:p>
      <w:pPr>
        <w:pStyle w:val="Heading2"/>
        <w:spacing w:after="100" w:before="240"/>
      </w:pPr>
      <w:r>
        <w:rPr>
          <w:b/>
          <w:bCs/>
          <w:color w:val="2E6F6E"/>
          <w:sz w:val="22"/>
          <w:szCs w:val="22"/>
        </w:rPr>
        <w:t xml:space="preserve">3.1 Auto-Parser Inference Engine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For unknown/proprietary formats, the system mines the raw log stream for structure — delimiter detection, token clustering, positional pattern mining — and proposes a field-level parsing rule automatically, instead of requiring a human to hand-write one.</w:t>
      </w:r>
    </w:p>
    <w:p>
      <w:pPr>
        <w:pStyle w:val="Heading2"/>
        <w:spacing w:after="100" w:before="240"/>
      </w:pPr>
      <w:r>
        <w:rPr>
          <w:b/>
          <w:bCs/>
          <w:color w:val="2E6F6E"/>
          <w:sz w:val="22"/>
          <w:szCs w:val="22"/>
        </w:rPr>
        <w:t xml:space="preserve">3.2 Schema Drift Detection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Vendors change log formats over time. The framework continuously monitors parser match rates; a drop triggers automatic re-inference rather than silent data loss or mis-mapped fields.</w:t>
      </w:r>
    </w:p>
    <w:p>
      <w:pPr>
        <w:pStyle w:val="Heading2"/>
        <w:spacing w:after="100" w:before="240"/>
      </w:pPr>
      <w:r>
        <w:rPr>
          <w:b/>
          <w:bCs/>
          <w:color w:val="2E6F6E"/>
          <w:sz w:val="22"/>
          <w:szCs w:val="22"/>
        </w:rPr>
        <w:t xml:space="preserve">3.3 Confidence-Scored Human-in-the-Loop Review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Every auto-inferred mapping ships with a confidence score. Low-confidence parses are flagged in a review dashboard before being trusted — critical in a security context, where a bad parse can mean a missed threat.</w:t>
      </w:r>
    </w:p>
    <w:p>
      <w:pPr>
        <w:pStyle w:val="Heading2"/>
        <w:spacing w:after="100" w:before="240"/>
      </w:pPr>
      <w:r>
        <w:rPr>
          <w:b/>
          <w:bCs/>
          <w:color w:val="2E6F6E"/>
          <w:sz w:val="22"/>
          <w:szCs w:val="22"/>
        </w:rPr>
        <w:t xml:space="preserve">3.4 Malformed / Partial Log Recovery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Truncated or corrupted logs are not silently dropped — the framework attempts partial-match recovery and routes true failures to a dead-letter queue for analyst inspection.</w:t>
      </w:r>
    </w:p>
    <w:p>
      <w:pPr>
        <w:pStyle w:val="Heading2"/>
        <w:spacing w:after="100" w:before="240"/>
      </w:pPr>
      <w:r>
        <w:rPr>
          <w:b/>
          <w:bCs/>
          <w:color w:val="2E6F6E"/>
          <w:sz w:val="22"/>
          <w:szCs w:val="22"/>
        </w:rPr>
        <w:t xml:space="preserve">3.5 Throughput at Scale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Designed and benchmarked for sustained high-volume ingestion, not a demo-only toy pipeline — horizontally scaled parser workers behind a streaming backbone.</w:t>
      </w:r>
    </w:p>
    <w:p>
      <w:pPr>
        <w:pStyle w:val="Heading1"/>
        <w:pBdr>
          <w:bottom w:val="single" w:color="2E6F6E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4. System Architecture</w:t>
      </w:r>
    </w:p>
    <w:p>
      <w:pPr>
        <w:pStyle w:val="Heading2"/>
        <w:spacing w:after="100" w:before="240"/>
      </w:pPr>
      <w:r>
        <w:rPr>
          <w:b/>
          <w:bCs/>
          <w:color w:val="2E6F6E"/>
          <w:sz w:val="22"/>
          <w:szCs w:val="22"/>
        </w:rPr>
        <w:t xml:space="preserve">4.1 Pipeline Overview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Ingestion Layer — multi-protocol collectors: Syslog (UDP/TCP/TLS), file/agent tail, HTTP webhook, Kafka topic ingestion.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Format Detection — heuristic + lightweight classifier identifies JSON / XML / CEF / LEEF / CSV / Syslog / unknown.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Parsing Engine — pluggable parsers per known format; unknown formats routed to the Auto-Parser Inference Engine.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Normalization — all parsed events mapped to a common schema (OCSF — Open Cybersecurity Schema Framework, or ECS).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Enrichment — GeoIP tagging, asset/user context, threat-intel lookups.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Drift &amp; Confidence Monitor — tracks parser match rates and confidence scores; triggers re-inference or human review.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Output Connectors — SIEM (Splunk / Elastic), data lake (S3 / Parquet), Kafka sink for downstream ML.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Dashboard — source onboarding wizard, parser rule management, live throughput and drift monitoring.</w:t>
      </w:r>
    </w:p>
    <w:p>
      <w:pPr>
        <w:pStyle w:val="Heading2"/>
        <w:spacing w:after="100" w:before="240"/>
      </w:pPr>
      <w:r>
        <w:rPr>
          <w:b/>
          <w:bCs/>
          <w:color w:val="2E6F6E"/>
          <w:sz w:val="22"/>
          <w:szCs w:val="22"/>
        </w:rPr>
        <w:t xml:space="preserve">4.2 Component → Technology Mapping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280"/>
      </w:tblGrid>
      <w:tr>
        <w:tc>
          <w:tcPr>
            <w:tcW w:type="dxa" w:w="3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8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4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Ingestion collectors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Go microservices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High-throughput, low-latency, cheap concurrency for streaming collectors</w:t>
            </w:r>
          </w:p>
        </w:tc>
      </w:tr>
      <w:tr>
        <w:tc>
          <w:tcPr>
            <w:tcW w:type="dxa" w:w="34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Streaming backbone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Decouples ingestion from parsing; enables horizontal scaling &amp; backpressure handling</w:t>
            </w:r>
          </w:p>
        </w:tc>
      </w:tr>
      <w:tr>
        <w:tc>
          <w:tcPr>
            <w:tcW w:type="dxa" w:w="34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Auto-parser inference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Python / FastAPI service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Pattern-mining &amp; ML-assisted field extraction for unknown formats</w:t>
            </w:r>
          </w:p>
        </w:tc>
      </w:tr>
      <w:tr>
        <w:tc>
          <w:tcPr>
            <w:tcW w:type="dxa" w:w="34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Normalized storage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ClickHouse / Elasticsearch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Fast analytical queries over normalized log schema</w:t>
            </w:r>
          </w:p>
        </w:tc>
      </w:tr>
      <w:tr>
        <w:tc>
          <w:tcPr>
            <w:tcW w:type="dxa" w:w="34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Dashboard / UI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React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Onboarding wizard, rule review, drift &amp; throughput monitoring</w:t>
            </w:r>
          </w:p>
        </w:tc>
      </w:tr>
      <w:tr>
        <w:tc>
          <w:tcPr>
            <w:tcW w:type="dxa" w:w="34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Schema standard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OCSF / ECS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Industry-recognized common schema for SIEM &amp; data lake interoperability</w:t>
            </w:r>
          </w:p>
        </w:tc>
      </w:tr>
    </w:tbl>
    <w:p>
      <w:pPr>
        <w:pStyle w:val="Heading1"/>
        <w:pBdr>
          <w:bottom w:val="single" w:color="2E6F6E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5. Feasibility &amp; Scalability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Known-format parsers (Syslog, JSON, CSV, CEF, LEEF) are well-understood — low risk, fast to implement, gives an early working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Auto-parser inference for unknowns is the highest-effort, highest-payoff component — scoped as: delimiter/token clustering → candidate field boundaries → confidence score → human approval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Kafka-backed ingestion allows horizontal scaling of parser workers — demo can show a live throughput benchmark (events/sec) as concrete proof of scalability.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MVP scope for prototype: 3–4 sample sources (Syslog, JSON app log, CEF firewall log, one deliberately unfamiliar proprietary format) → ingestion → auto-detect → normalize to OCSF → live auto-parser inference on the unknown format → dashboard showing before/after.</w:t>
      </w:r>
    </w:p>
    <w:p>
      <w:pPr>
        <w:pStyle w:val="Heading1"/>
        <w:pBdr>
          <w:bottom w:val="single" w:color="2E6F6E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6. Expected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Cuts the manual engineering effort security teams spend building source-specific parsers — directly answers NTRO's stated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Faster onboarding of new/unknown log sources into SIEM and data lake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Reduced blind spots from format drift or malformed logs going unnoticed.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reusable, source-agnostic foundation applicable across government and enterprise security operations — not a one-off connector.</w:t>
      </w:r>
    </w:p>
    <w:p>
      <w:pPr>
        <w:pStyle w:val="Heading1"/>
        <w:pBdr>
          <w:bottom w:val="single" w:color="2E6F6E" w:sz="6" w:space="4"/>
        </w:pBdr>
        <w:spacing w:after="160" w:before="360"/>
      </w:pPr>
      <w:r>
        <w:rPr>
          <w:b/>
          <w:bCs/>
          <w:color w:val="1B2A4A"/>
          <w:sz w:val="26"/>
          <w:szCs w:val="26"/>
        </w:rPr>
        <w:t xml:space="preserve">7. Team Fit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Shivanshu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Full-stack — frontend, backend, AI; leads system architecture and Go microservices for the ingestion layer</w:t>
            </w:r>
          </w:p>
        </w:tc>
      </w:tr>
      <w:tr>
        <w:tc>
          <w:tcPr>
            <w:tcW w:type="dxa" w:w="30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Hannu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Backend-focused, strong in complex backend systems and system design — owns normalization &amp; storage layer</w:t>
            </w:r>
          </w:p>
        </w:tc>
      </w:tr>
      <w:tr>
        <w:tc>
          <w:tcPr>
            <w:tcW w:type="dxa" w:w="30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Shriyansh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Strong design/UI — owns the dashboard and onboarding-wizard experience</w:t>
            </w:r>
          </w:p>
        </w:tc>
      </w:tr>
      <w:tr>
        <w:tc>
          <w:tcPr>
            <w:tcW w:type="dxa" w:w="3000"/>
            <w:shd w:fill="EF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Reyansh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Strong app development — supports tooling and integration work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A5A5A"/>
        <w:sz w:val="16"/>
        <w:szCs w:val="16"/>
      </w:rPr>
      <w:t xml:space="preserve">SIH26156 — Universal Log Pre-processing Framework</w:t>
    </w:r>
    <w:r>
      <w:rPr>
        <w:color w:val="5A5A5A"/>
        <w:sz w:val="16"/>
        <w:szCs w:val="16"/>
      </w:rPr>
      <w:t xml:space="preserve">	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2026-09-03T09:17:55.368Z</dcterms:created>
  <dcterms:modified xsi:type="dcterms:W3CDTF">2026-09-03T09:17:55.380Z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