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0253F"/>
          <w:sz w:val="64"/>
        </w:rPr>
        <w:t>VENDORVERSE</w:t>
      </w:r>
    </w:p>
    <w:p>
      <w:pPr>
        <w:jc w:val="center"/>
      </w:pPr>
      <w:r>
        <w:rPr>
          <w:b/>
          <w:color w:val="007F79"/>
          <w:sz w:val="38"/>
        </w:rPr>
        <w:t>Comprehensive Product Requirements Specification</w:t>
      </w:r>
    </w:p>
    <w:p>
      <w:pPr>
        <w:jc w:val="center"/>
      </w:pPr>
      <w:r>
        <w:rPr>
          <w:sz w:val="21"/>
        </w:rPr>
        <w:t>Detailed functional requirements • RBAC • State transitions • Scenarios • Acceptance criteria • Release controls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Document control</w:t>
            </w:r>
          </w:p>
        </w:tc>
        <w:tc>
          <w:tcPr>
            <w:tcW w:type="dxa" w:w="5112"/>
            <w:vAlign w:val="center"/>
            <w:shd w:fill="10253F"/>
          </w:tcPr>
          <w:p>
            <w:pPr>
              <w:spacing w:after="0"/>
            </w:pPr>
            <w:r/>
            <w:r>
              <w:rPr>
                <w:rFonts w:ascii="Aptos" w:hAnsi="Aptos"/>
                <w:b/>
                <w:color w:val="FFFFFF"/>
                <w:sz w:val="16"/>
              </w:rPr>
              <w:t>Details</w:t>
            </w:r>
          </w:p>
        </w:tc>
      </w:tr>
      <w:tr>
        <w:tc>
          <w:tcPr>
            <w:tcW w:type="dxa" w:w="5112"/>
            <w:vAlign w:val="center"/>
          </w:tcPr>
          <w:p>
            <w:pPr>
              <w:spacing w:after="0"/>
            </w:pPr>
            <w:r/>
            <w:r>
              <w:rPr>
                <w:rFonts w:ascii="Aptos" w:hAnsi="Aptos"/>
                <w:b w:val="0"/>
                <w:sz w:val="15"/>
              </w:rPr>
              <w:t>Product</w:t>
            </w:r>
          </w:p>
        </w:tc>
        <w:tc>
          <w:tcPr>
            <w:tcW w:type="dxa" w:w="5112"/>
            <w:vAlign w:val="center"/>
          </w:tcPr>
          <w:p>
            <w:pPr>
              <w:spacing w:after="0"/>
            </w:pPr>
            <w:r/>
            <w:r>
              <w:rPr>
                <w:rFonts w:ascii="Aptos" w:hAnsi="Aptos"/>
                <w:b w:val="0"/>
                <w:sz w:val="15"/>
              </w:rPr>
              <w:t>VendorVerse — global universal vendor marketplace (architecture global from day one; initial launch in selected cities and categories)</w:t>
            </w:r>
          </w:p>
        </w:tc>
      </w:tr>
      <w:tr>
        <w:tc>
          <w:tcPr>
            <w:tcW w:type="dxa" w:w="5112"/>
            <w:vAlign w:val="center"/>
            <w:shd w:fill="F2F6F8"/>
          </w:tcPr>
          <w:p>
            <w:pPr>
              <w:spacing w:after="0"/>
            </w:pPr>
            <w:r/>
            <w:r>
              <w:rPr>
                <w:rFonts w:ascii="Aptos" w:hAnsi="Aptos"/>
                <w:b w:val="0"/>
                <w:sz w:val="15"/>
              </w:rPr>
              <w:t>Owner / prepared for</w:t>
            </w:r>
          </w:p>
        </w:tc>
        <w:tc>
          <w:tcPr>
            <w:tcW w:type="dxa" w:w="5112"/>
            <w:vAlign w:val="center"/>
            <w:shd w:fill="F2F6F8"/>
          </w:tcPr>
          <w:p>
            <w:pPr>
              <w:spacing w:after="0"/>
            </w:pPr>
            <w:r/>
            <w:r>
              <w:rPr>
                <w:rFonts w:ascii="Aptos" w:hAnsi="Aptos"/>
                <w:b w:val="0"/>
                <w:sz w:val="15"/>
              </w:rPr>
              <w:t>ADRS Techno Private Limited</w:t>
            </w:r>
          </w:p>
        </w:tc>
      </w:tr>
      <w:tr>
        <w:tc>
          <w:tcPr>
            <w:tcW w:type="dxa" w:w="5112"/>
            <w:vAlign w:val="center"/>
          </w:tcPr>
          <w:p>
            <w:pPr>
              <w:spacing w:after="0"/>
            </w:pPr>
            <w:r/>
            <w:r>
              <w:rPr>
                <w:rFonts w:ascii="Aptos" w:hAnsi="Aptos"/>
                <w:b w:val="0"/>
                <w:sz w:val="15"/>
              </w:rPr>
              <w:t>Version</w:t>
            </w:r>
          </w:p>
        </w:tc>
        <w:tc>
          <w:tcPr>
            <w:tcW w:type="dxa" w:w="5112"/>
            <w:vAlign w:val="center"/>
          </w:tcPr>
          <w:p>
            <w:pPr>
              <w:spacing w:after="0"/>
            </w:pPr>
            <w:r/>
            <w:r>
              <w:rPr>
                <w:rFonts w:ascii="Aptos" w:hAnsi="Aptos"/>
                <w:b w:val="0"/>
                <w:sz w:val="15"/>
              </w:rPr>
              <w:t>3.0 — global marketplace extension (Simplified RBAC)</w:t>
            </w:r>
          </w:p>
        </w:tc>
      </w:tr>
      <w:tr>
        <w:tc>
          <w:tcPr>
            <w:tcW w:type="dxa" w:w="5112"/>
            <w:vAlign w:val="center"/>
            <w:shd w:fill="F2F6F8"/>
          </w:tcPr>
          <w:p>
            <w:pPr>
              <w:spacing w:after="0"/>
            </w:pPr>
            <w:r/>
            <w:r>
              <w:rPr>
                <w:rFonts w:ascii="Aptos" w:hAnsi="Aptos"/>
                <w:b w:val="0"/>
                <w:sz w:val="15"/>
              </w:rPr>
              <w:t>Date</w:t>
            </w:r>
          </w:p>
        </w:tc>
        <w:tc>
          <w:tcPr>
            <w:tcW w:type="dxa" w:w="5112"/>
            <w:vAlign w:val="center"/>
            <w:shd w:fill="F2F6F8"/>
          </w:tcPr>
          <w:p>
            <w:pPr>
              <w:spacing w:after="0"/>
            </w:pPr>
            <w:r/>
            <w:r>
              <w:rPr>
                <w:rFonts w:ascii="Aptos" w:hAnsi="Aptos"/>
                <w:b w:val="0"/>
                <w:sz w:val="15"/>
              </w:rPr>
              <w:t>24 October 2026</w:t>
            </w:r>
          </w:p>
        </w:tc>
      </w:tr>
      <w:tr>
        <w:tc>
          <w:tcPr>
            <w:tcW w:type="dxa" w:w="5112"/>
            <w:vAlign w:val="center"/>
          </w:tcPr>
          <w:p>
            <w:pPr>
              <w:spacing w:after="0"/>
            </w:pPr>
            <w:r/>
            <w:r>
              <w:rPr>
                <w:rFonts w:ascii="Aptos" w:hAnsi="Aptos"/>
                <w:b w:val="0"/>
                <w:sz w:val="15"/>
              </w:rPr>
              <w:t>Status</w:t>
            </w:r>
          </w:p>
        </w:tc>
        <w:tc>
          <w:tcPr>
            <w:tcW w:type="dxa" w:w="5112"/>
            <w:vAlign w:val="center"/>
          </w:tcPr>
          <w:p>
            <w:pPr>
              <w:spacing w:after="0"/>
            </w:pPr>
            <w:r/>
            <w:r>
              <w:rPr>
                <w:rFonts w:ascii="Aptos" w:hAnsi="Aptos"/>
                <w:b w:val="0"/>
                <w:sz w:val="15"/>
              </w:rPr>
              <w:t>Detailed product requirements baseline; implementation/configuration items explicitly identified</w:t>
            </w:r>
          </w:p>
        </w:tc>
      </w:tr>
      <w:tr>
        <w:tc>
          <w:tcPr>
            <w:tcW w:type="dxa" w:w="5112"/>
            <w:vAlign w:val="center"/>
            <w:shd w:fill="F2F6F8"/>
          </w:tcPr>
          <w:p>
            <w:pPr>
              <w:spacing w:after="0"/>
            </w:pPr>
            <w:r/>
            <w:r>
              <w:rPr>
                <w:rFonts w:ascii="Aptos" w:hAnsi="Aptos"/>
                <w:b w:val="0"/>
                <w:sz w:val="15"/>
              </w:rPr>
              <w:t>Platforms</w:t>
            </w:r>
          </w:p>
        </w:tc>
        <w:tc>
          <w:tcPr>
            <w:tcW w:type="dxa" w:w="5112"/>
            <w:vAlign w:val="center"/>
            <w:shd w:fill="F2F6F8"/>
          </w:tcPr>
          <w:p>
            <w:pPr>
              <w:spacing w:after="0"/>
            </w:pPr>
            <w:r/>
            <w:r>
              <w:rPr>
                <w:rFonts w:ascii="Aptos" w:hAnsi="Aptos"/>
                <w:b w:val="0"/>
                <w:sz w:val="15"/>
              </w:rPr>
              <w:t>Web, Android and iOS</w:t>
            </w:r>
          </w:p>
        </w:tc>
      </w:tr>
      <w:tr>
        <w:tc>
          <w:tcPr>
            <w:tcW w:type="dxa" w:w="5112"/>
            <w:vAlign w:val="center"/>
          </w:tcPr>
          <w:p>
            <w:pPr>
              <w:spacing w:after="0"/>
            </w:pPr>
            <w:r/>
            <w:r>
              <w:rPr>
                <w:rFonts w:ascii="Aptos" w:hAnsi="Aptos"/>
                <w:b w:val="0"/>
                <w:sz w:val="15"/>
              </w:rPr>
              <w:t>Launch language</w:t>
            </w:r>
          </w:p>
        </w:tc>
        <w:tc>
          <w:tcPr>
            <w:tcW w:type="dxa" w:w="5112"/>
            <w:vAlign w:val="center"/>
          </w:tcPr>
          <w:p>
            <w:pPr>
              <w:spacing w:after="0"/>
            </w:pPr>
            <w:r/>
            <w:r>
              <w:rPr>
                <w:rFonts w:ascii="Aptos" w:hAnsi="Aptos"/>
                <w:b w:val="0"/>
                <w:sz w:val="15"/>
              </w:rPr>
              <w:t>English and Hindi</w:t>
            </w:r>
          </w:p>
        </w:tc>
      </w:tr>
      <w:tr>
        <w:tc>
          <w:tcPr>
            <w:tcW w:type="dxa" w:w="5112"/>
            <w:vAlign w:val="center"/>
            <w:shd w:fill="F2F6F8"/>
          </w:tcPr>
          <w:p>
            <w:pPr>
              <w:spacing w:after="0"/>
            </w:pPr>
            <w:r/>
            <w:r>
              <w:rPr>
                <w:rFonts w:ascii="Aptos" w:hAnsi="Aptos"/>
                <w:b w:val="0"/>
                <w:sz w:val="15"/>
              </w:rPr>
              <w:t>Release 1</w:t>
            </w:r>
          </w:p>
        </w:tc>
        <w:tc>
          <w:tcPr>
            <w:tcW w:type="dxa" w:w="5112"/>
            <w:vAlign w:val="center"/>
            <w:shd w:fill="F2F6F8"/>
          </w:tcPr>
          <w:p>
            <w:pPr>
              <w:spacing w:after="0"/>
            </w:pPr>
            <w:r/>
            <w:r>
              <w:rPr>
                <w:rFonts w:ascii="Aptos" w:hAnsi="Aptos"/>
                <w:b w:val="0"/>
                <w:sz w:val="15"/>
              </w:rPr>
              <w:t>Vendor discovery, service booking, RFQ and structured quotation workflows</w:t>
            </w:r>
          </w:p>
        </w:tc>
      </w:tr>
      <w:tr>
        <w:tc>
          <w:tcPr>
            <w:tcW w:type="dxa" w:w="5112"/>
            <w:vAlign w:val="center"/>
          </w:tcPr>
          <w:p>
            <w:pPr>
              <w:spacing w:after="0"/>
            </w:pPr>
            <w:r/>
            <w:r>
              <w:rPr>
                <w:rFonts w:ascii="Aptos" w:hAnsi="Aptos"/>
                <w:b w:val="0"/>
                <w:sz w:val="15"/>
              </w:rPr>
              <w:t>Commercial model</w:t>
            </w:r>
          </w:p>
        </w:tc>
        <w:tc>
          <w:tcPr>
            <w:tcW w:type="dxa" w:w="5112"/>
            <w:vAlign w:val="center"/>
          </w:tcPr>
          <w:p>
            <w:pPr>
              <w:spacing w:after="0"/>
            </w:pPr>
            <w:r/>
            <w:r>
              <w:rPr>
                <w:rFonts w:ascii="Aptos" w:hAnsi="Aptos"/>
                <w:b w:val="0"/>
                <w:sz w:val="15"/>
              </w:rPr>
              <w:t>Vendor subscriptions and clearly labelled paid visibility; customer pays vendor directly</w:t>
            </w:r>
          </w:p>
        </w:tc>
      </w:tr>
      <w:tr>
        <w:trPr>
          <w:cantSplit/>
        </w:trPr>
        <w:tc>
          <w:tcPr>
            <w:tcW w:type="dxa" w:w="5112"/>
            <w:vAlign w:val="center"/>
            <w:shd w:fill="F2F6F8"/>
          </w:tcPr>
          <w:p>
            <w:pPr>
              <w:spacing w:after="0"/>
            </w:pPr>
            <w:r/>
            <w:r>
              <w:rPr>
                <w:rFonts w:ascii="Aptos" w:hAnsi="Aptos"/>
                <w:b w:val="0"/>
                <w:sz w:val="15"/>
              </w:rPr>
              <w:t xml:space="preserve">Market scope</w:t>
            </w:r>
          </w:p>
        </w:tc>
        <w:tc>
          <w:tcPr>
            <w:tcW w:type="dxa" w:w="5112"/>
            <w:vAlign w:val="center"/>
            <w:shd w:fill="F2F6F8"/>
          </w:tcPr>
          <w:p>
            <w:pPr>
              <w:spacing w:after="0"/>
            </w:pPr>
            <w:r/>
            <w:r>
              <w:rPr>
                <w:rFonts w:ascii="Aptos" w:hAnsi="Aptos"/>
                <w:b w:val="0"/>
                <w:sz w:val="15"/>
              </w:rPr>
              <w:t xml:space="preserve">Every industry, category, service provider, supplier, manufacturer, contractor and business vendor worldwide; public launch in selected cities and categories (CFG-13).</w:t>
            </w:r>
          </w:p>
        </w:tc>
      </w:tr>
      <w:tr>
        <w:trPr>
          <w:cantSplit/>
        </w:trPr>
        <w:tc>
          <w:tcPr>
            <w:tcW w:type="dxa" w:w="5112"/>
            <w:vAlign w:val="center"/>
          </w:tcPr>
          <w:p>
            <w:pPr>
              <w:spacing w:after="0"/>
            </w:pPr>
            <w:r/>
            <w:r>
              <w:rPr>
                <w:rFonts w:ascii="Aptos" w:hAnsi="Aptos"/>
                <w:b w:val="0"/>
                <w:sz w:val="15"/>
              </w:rPr>
              <w:t xml:space="preserve">Booking modes</w:t>
            </w:r>
          </w:p>
        </w:tc>
        <w:tc>
          <w:tcPr>
            <w:tcW w:type="dxa" w:w="5112"/>
            <w:vAlign w:val="center"/>
          </w:tcPr>
          <w:p>
            <w:pPr>
              <w:spacing w:after="0"/>
            </w:pPr>
            <w:r/>
            <w:r>
              <w:rPr>
                <w:rFonts w:ascii="Aptos" w:hAnsi="Aptos"/>
                <w:b w:val="0"/>
                <w:sz w:val="15"/>
              </w:rPr>
              <w:t xml:space="preserve">Instant, scheduled, RFQ and contract bookings (§26.5).</w:t>
            </w:r>
          </w:p>
        </w:tc>
      </w:tr>
    </w:tbl>
    <w:p>
      <w:pPr>
        <w:spacing w:after="0"/>
      </w:pPr>
    </w:p>
    <w:p>
      <w:r>
        <w:t>Document usage: product, design, engineering, QA, operations, support and security teams should use this as a shared requirements baseline. Any deviation should be recorded as a change request with impact on permissions, states, data, APIs, tests and rollout.</w:t>
      </w:r>
    </w:p>
    <w:p>
      <w:r>
        <w:br w:type="page"/>
      </w:r>
    </w:p>
    <w:p>
      <w:pPr>
        <w:pStyle w:val="Heading1"/>
      </w:pPr>
      <w:r>
        <w:t xml:space="preserve">Version 3.0 change summary</w:t>
      </w:r>
    </w:p>
    <w:p>
      <w:r>
        <w:t xml:space="preserve">This table lists every addition or clarification made for the global marketplace extension and where it is written. Page numbers are live references: in Word, select all and press F9 to refresh them after editing.</w:t>
      </w:r>
    </w:p>
    <w:tbl>
      <w:tblPr>
        <w:tblStyle w:val="TableGrid"/>
        <w:tblW w:type="auto" w:w="0"/>
        <w:jc w:val="center"/>
        <w:tblLook w:firstColumn="1" w:firstRow="1" w:lastColumn="0" w:lastRow="0" w:noHBand="0" w:noVBand="1" w:val="04A0"/>
      </w:tblPr>
      <w:tblGrid>
        <w:gridCol w:w="2300"/>
        <w:gridCol w:w="4300"/>
        <w:gridCol w:w="2824"/>
        <w:gridCol w:w="800"/>
      </w:tblGrid>
      <w:tr>
        <w:trPr>
          <w:cantSplit/>
          <w:tblHeader/>
        </w:trPr>
        <w:tc>
          <w:tcPr>
            <w:tcW w:type="dxa" w:w="2300"/>
            <w:vAlign w:val="center"/>
            <w:shd w:fill="10253F"/>
          </w:tcPr>
          <w:p>
            <w:pPr>
              <w:spacing w:after="0"/>
            </w:pPr>
            <w:r/>
            <w:r>
              <w:rPr>
                <w:rFonts w:ascii="Aptos" w:hAnsi="Aptos"/>
                <w:b/>
                <w:color w:val="FFFFFF"/>
                <w:sz w:val="16"/>
              </w:rPr>
              <w:t xml:space="preserve">Feature</w:t>
            </w:r>
          </w:p>
        </w:tc>
        <w:tc>
          <w:tcPr>
            <w:tcW w:type="dxa" w:w="4300"/>
            <w:vAlign w:val="center"/>
            <w:shd w:fill="10253F"/>
          </w:tcPr>
          <w:p>
            <w:pPr>
              <w:spacing w:after="0"/>
            </w:pPr>
            <w:r/>
            <w:r>
              <w:rPr>
                <w:rFonts w:ascii="Aptos" w:hAnsi="Aptos"/>
                <w:b/>
                <w:color w:val="FFFFFF"/>
                <w:sz w:val="16"/>
              </w:rPr>
              <w:t xml:space="preserve">What was added or clarified</w:t>
            </w:r>
          </w:p>
        </w:tc>
        <w:tc>
          <w:tcPr>
            <w:tcW w:type="dxa" w:w="2824"/>
            <w:vAlign w:val="center"/>
            <w:shd w:fill="10253F"/>
          </w:tcPr>
          <w:p>
            <w:pPr>
              <w:spacing w:after="0"/>
            </w:pPr>
            <w:r/>
            <w:r>
              <w:rPr>
                <w:rFonts w:ascii="Aptos" w:hAnsi="Aptos"/>
                <w:b/>
                <w:color w:val="FFFFFF"/>
                <w:sz w:val="16"/>
              </w:rPr>
              <w:t xml:space="preserve">Section</w:t>
            </w:r>
          </w:p>
        </w:tc>
        <w:tc>
          <w:tcPr>
            <w:tcW w:type="dxa" w:w="800"/>
            <w:vAlign w:val="center"/>
            <w:shd w:fill="10253F"/>
          </w:tcPr>
          <w:p>
            <w:pPr>
              <w:spacing w:after="0"/>
            </w:pPr>
            <w:r/>
            <w:r>
              <w:rPr>
                <w:rFonts w:ascii="Aptos" w:hAnsi="Aptos"/>
                <w:b/>
                <w:color w:val="FFFFFF"/>
                <w:sz w:val="16"/>
              </w:rPr>
              <w:t xml:space="preserve">Page</w:t>
            </w:r>
          </w:p>
        </w:tc>
      </w:tr>
      <w:tr>
        <w:trPr>
          <w:cantSplit/>
        </w:trPr>
        <w:tc>
          <w:tcPr>
            <w:tcW w:type="dxa" w:w="2300"/>
            <w:vAlign w:val="center"/>
          </w:tcPr>
          <w:p>
            <w:pPr>
              <w:spacing w:after="0"/>
            </w:pPr>
            <w:r/>
            <w:r>
              <w:rPr>
                <w:rFonts w:ascii="Aptos" w:hAnsi="Aptos"/>
                <w:b w:val="0"/>
                <w:sz w:val="15"/>
              </w:rPr>
              <w:t xml:space="preserve">Global positioning</w:t>
            </w:r>
          </w:p>
        </w:tc>
        <w:tc>
          <w:tcPr>
            <w:tcW w:type="dxa" w:w="4300"/>
            <w:vAlign w:val="center"/>
          </w:tcPr>
          <w:p>
            <w:pPr>
              <w:spacing w:after="0"/>
            </w:pPr>
            <w:r/>
            <w:r>
              <w:rPr>
                <w:rFonts w:ascii="Aptos" w:hAnsi="Aptos"/>
                <w:b w:val="0"/>
                <w:sz w:val="15"/>
              </w:rPr>
              <w:t xml:space="preserve">Purpose rewritten for a global universal marketplace; “global by design, local by launch” principle added.</w:t>
            </w:r>
          </w:p>
        </w:tc>
        <w:tc>
          <w:tcPr>
            <w:tcW w:type="dxa" w:w="2824"/>
            <w:vAlign w:val="center"/>
          </w:tcPr>
          <w:p>
            <w:pPr>
              <w:spacing w:after="0"/>
            </w:pPr>
            <w:r/>
            <w:r>
              <w:rPr>
                <w:rFonts w:ascii="Aptos" w:hAnsi="Aptos"/>
                <w:b w:val="0"/>
                <w:sz w:val="15"/>
              </w:rPr>
              <w:t xml:space="preserve">§1 Purpose, scope and governing principles</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gm_c1_intro \h </w:instrText>
            </w:r>
            <w:r>
              <w:rPr>
                <w:rFonts w:ascii="Aptos" w:hAnsi="Aptos"/>
                <w:b w:val="0"/>
                <w:sz w:val="15"/>
              </w:rPr>
              <w:fldChar w:fldCharType="separate"/>
            </w:r>
            <w:r>
              <w:rPr>
                <w:rFonts w:ascii="Aptos" w:hAnsi="Aptos"/>
                <w:b w:val="0"/>
                <w:sz w:val="15"/>
              </w:rPr>
              <w:t>3</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Requirement language and precedence</w:t>
            </w:r>
          </w:p>
        </w:tc>
        <w:tc>
          <w:tcPr>
            <w:tcW w:type="dxa" w:w="4300"/>
            <w:vAlign w:val="center"/>
            <w:shd w:fill="F2F6F8"/>
          </w:tcPr>
          <w:p>
            <w:pPr>
              <w:spacing w:after="0"/>
            </w:pPr>
            <w:r/>
            <w:r>
              <w:rPr>
                <w:rFonts w:ascii="Aptos" w:hAnsi="Aptos"/>
                <w:b w:val="0"/>
                <w:sz w:val="15"/>
              </w:rPr>
              <w:t xml:space="preserve">How “must” applies to launch waves; chapter 26 precedence over India-only statements.</w:t>
            </w:r>
          </w:p>
        </w:tc>
        <w:tc>
          <w:tcPr>
            <w:tcW w:type="dxa" w:w="2824"/>
            <w:vAlign w:val="center"/>
            <w:shd w:fill="F2F6F8"/>
          </w:tcPr>
          <w:p>
            <w:pPr>
              <w:spacing w:after="0"/>
            </w:pPr>
            <w:r/>
            <w:r>
              <w:rPr>
                <w:rFonts w:ascii="Aptos" w:hAnsi="Aptos"/>
                <w:b w:val="0"/>
                <w:sz w:val="15"/>
              </w:rPr>
              <w:t xml:space="preserve">§1.1 and §1.2</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gm_c11 \h </w:instrText>
            </w:r>
            <w:r>
              <w:rPr>
                <w:rFonts w:ascii="Aptos" w:hAnsi="Aptos"/>
                <w:b w:val="0"/>
                <w:sz w:val="15"/>
              </w:rPr>
              <w:fldChar w:fldCharType="separate"/>
            </w:r>
            <w:r>
              <w:rPr>
                <w:rFonts w:ascii="Aptos" w:hAnsi="Aptos"/>
                <w:b w:val="0"/>
                <w:sz w:val="15"/>
              </w:rPr>
              <w:t>3</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Product objectives</w:t>
            </w:r>
          </w:p>
        </w:tc>
        <w:tc>
          <w:tcPr>
            <w:tcW w:type="dxa" w:w="4300"/>
            <w:vAlign w:val="center"/>
          </w:tcPr>
          <w:p>
            <w:pPr>
              <w:spacing w:after="0"/>
            </w:pPr>
            <w:r/>
            <w:r>
              <w:rPr>
                <w:rFonts w:ascii="Aptos" w:hAnsi="Aptos"/>
                <w:b w:val="0"/>
                <w:sz w:val="15"/>
              </w:rPr>
              <w:t xml:space="preserve">Global reach and focused-launch objectives.</w:t>
            </w:r>
          </w:p>
        </w:tc>
        <w:tc>
          <w:tcPr>
            <w:tcW w:type="dxa" w:w="2824"/>
            <w:vAlign w:val="center"/>
          </w:tcPr>
          <w:p>
            <w:pPr>
              <w:spacing w:after="0"/>
            </w:pPr>
            <w:r/>
            <w:r>
              <w:rPr>
                <w:rFonts w:ascii="Aptos" w:hAnsi="Aptos"/>
                <w:b w:val="0"/>
                <w:sz w:val="15"/>
              </w:rPr>
              <w:t xml:space="preserve">§1.3 Product objectives</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gm_c13 \h </w:instrText>
            </w:r>
            <w:r>
              <w:rPr>
                <w:rFonts w:ascii="Aptos" w:hAnsi="Aptos"/>
                <w:b w:val="0"/>
                <w:sz w:val="15"/>
              </w:rPr>
              <w:fldChar w:fldCharType="separate"/>
            </w:r>
            <w:r>
              <w:rPr>
                <w:rFonts w:ascii="Aptos" w:hAnsi="Aptos"/>
                <w:b w:val="0"/>
                <w:sz w:val="15"/>
              </w:rPr>
              <w:t>3</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Release scope</w:t>
            </w:r>
          </w:p>
        </w:tc>
        <w:tc>
          <w:tcPr>
            <w:tcW w:type="dxa" w:w="4300"/>
            <w:vAlign w:val="center"/>
            <w:shd w:fill="F2F6F8"/>
          </w:tcPr>
          <w:p>
            <w:pPr>
              <w:spacing w:after="0"/>
            </w:pPr>
            <w:r/>
            <w:r>
              <w:rPr>
                <w:rFonts w:ascii="Aptos" w:hAnsi="Aptos"/>
                <w:b w:val="0"/>
                <w:sz w:val="15"/>
              </w:rPr>
              <w:t xml:space="preserve">Six scope rows added; direct-payment boundary clarified.</w:t>
            </w:r>
          </w:p>
        </w:tc>
        <w:tc>
          <w:tcPr>
            <w:tcW w:type="dxa" w:w="2824"/>
            <w:vAlign w:val="center"/>
            <w:shd w:fill="F2F6F8"/>
          </w:tcPr>
          <w:p>
            <w:pPr>
              <w:spacing w:after="0"/>
            </w:pPr>
            <w:r/>
            <w:r>
              <w:rPr>
                <w:rFonts w:ascii="Aptos" w:hAnsi="Aptos"/>
                <w:b w:val="0"/>
                <w:sz w:val="15"/>
              </w:rPr>
              <w:t xml:space="preserve">§2 Release scope and exclusions</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gm_c2_row \h </w:instrText>
            </w:r>
            <w:r>
              <w:rPr>
                <w:rFonts w:ascii="Aptos" w:hAnsi="Aptos"/>
                <w:b w:val="0"/>
                <w:sz w:val="15"/>
              </w:rPr>
              <w:fldChar w:fldCharType="separate"/>
            </w:r>
            <w:r>
              <w:rPr>
                <w:rFonts w:ascii="Aptos" w:hAnsi="Aptos"/>
                <w:b w:val="0"/>
                <w:sz w:val="15"/>
              </w:rPr>
              <w:t>4</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Launch markets and languages</w:t>
            </w:r>
          </w:p>
        </w:tc>
        <w:tc>
          <w:tcPr>
            <w:tcW w:type="dxa" w:w="4300"/>
            <w:vAlign w:val="center"/>
          </w:tcPr>
          <w:p>
            <w:pPr>
              <w:spacing w:after="0"/>
            </w:pPr>
            <w:r/>
            <w:r>
              <w:rPr>
                <w:rFonts w:ascii="Aptos" w:hAnsi="Aptos"/>
                <w:b w:val="0"/>
                <w:sz w:val="15"/>
              </w:rPr>
              <w:t xml:space="preserve">Replaced nationwide-only wording with launch markets, country activation and extra languages.</w:t>
            </w:r>
          </w:p>
        </w:tc>
        <w:tc>
          <w:tcPr>
            <w:tcW w:type="dxa" w:w="2824"/>
            <w:vAlign w:val="center"/>
          </w:tcPr>
          <w:p>
            <w:pPr>
              <w:spacing w:after="0"/>
            </w:pPr>
            <w:r/>
            <w:r>
              <w:rPr>
                <w:rFonts w:ascii="Aptos" w:hAnsi="Aptos"/>
                <w:b w:val="0"/>
                <w:sz w:val="15"/>
              </w:rPr>
              <w:t xml:space="preserve">§2.1 Launch platforms and markets</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gm_c21_bul \h </w:instrText>
            </w:r>
            <w:r>
              <w:rPr>
                <w:rFonts w:ascii="Aptos" w:hAnsi="Aptos"/>
                <w:b w:val="0"/>
                <w:sz w:val="15"/>
              </w:rPr>
              <w:fldChar w:fldCharType="separate"/>
            </w:r>
            <w:r>
              <w:rPr>
                <w:rFonts w:ascii="Aptos" w:hAnsi="Aptos"/>
                <w:b w:val="0"/>
                <w:sz w:val="15"/>
              </w:rPr>
              <w:t>4</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Permissions</w:t>
            </w:r>
          </w:p>
        </w:tc>
        <w:tc>
          <w:tcPr>
            <w:tcW w:type="dxa" w:w="4300"/>
            <w:vAlign w:val="center"/>
            <w:shd w:fill="F2F6F8"/>
          </w:tcPr>
          <w:p>
            <w:pPr>
              <w:spacing w:after="0"/>
            </w:pPr>
            <w:r/>
            <w:r>
              <w:rPr>
                <w:rFonts w:ascii="Aptos" w:hAnsi="Aptos"/>
                <w:b w:val="0"/>
                <w:sz w:val="15"/>
              </w:rPr>
              <w:t xml:space="preserve">No new roles; four new permission groups.</w:t>
            </w:r>
          </w:p>
        </w:tc>
        <w:tc>
          <w:tcPr>
            <w:tcW w:type="dxa" w:w="2824"/>
            <w:vAlign w:val="center"/>
            <w:shd w:fill="F2F6F8"/>
          </w:tcPr>
          <w:p>
            <w:pPr>
              <w:spacing w:after="0"/>
            </w:pPr>
            <w:r/>
            <w:r>
              <w:rPr>
                <w:rFonts w:ascii="Aptos" w:hAnsi="Aptos"/>
                <w:b w:val="0"/>
                <w:sz w:val="15"/>
              </w:rPr>
              <w:t xml:space="preserve">§4 note and §26.8</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gm_c4 \h </w:instrText>
            </w:r>
            <w:r>
              <w:rPr>
                <w:rFonts w:ascii="Aptos" w:hAnsi="Aptos"/>
                <w:b w:val="0"/>
                <w:sz w:val="15"/>
              </w:rPr>
              <w:fldChar w:fldCharType="separate"/>
            </w:r>
            <w:r>
              <w:rPr>
                <w:rFonts w:ascii="Aptos" w:hAnsi="Aptos"/>
                <w:b w:val="0"/>
                <w:sz w:val="15"/>
              </w:rPr>
              <w:t>6</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Categories (existing chapter)</w:t>
            </w:r>
          </w:p>
        </w:tc>
        <w:tc>
          <w:tcPr>
            <w:tcW w:type="dxa" w:w="4300"/>
            <w:vAlign w:val="center"/>
          </w:tcPr>
          <w:p>
            <w:pPr>
              <w:spacing w:after="0"/>
            </w:pPr>
            <w:r/>
            <w:r>
              <w:rPr>
                <w:rFonts w:ascii="Aptos" w:hAnsi="Aptos"/>
                <w:b w:val="0"/>
                <w:sz w:val="15"/>
              </w:rPr>
              <w:t xml:space="preserve">More category groups, “not a limit” clarification, four new configuration rows.</w:t>
            </w:r>
          </w:p>
        </w:tc>
        <w:tc>
          <w:tcPr>
            <w:tcW w:type="dxa" w:w="2824"/>
            <w:vAlign w:val="center"/>
          </w:tcPr>
          <w:p>
            <w:pPr>
              <w:spacing w:after="0"/>
            </w:pPr>
            <w:r/>
            <w:r>
              <w:rPr>
                <w:rFonts w:ascii="Aptos" w:hAnsi="Aptos"/>
                <w:b w:val="0"/>
                <w:sz w:val="15"/>
              </w:rPr>
              <w:t xml:space="preserve">§6.1 and §6.2</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gm_c61 \h </w:instrText>
            </w:r>
            <w:r>
              <w:rPr>
                <w:rFonts w:ascii="Aptos" w:hAnsi="Aptos"/>
                <w:b w:val="0"/>
                <w:sz w:val="15"/>
              </w:rPr>
              <w:fldChar w:fldCharType="separate"/>
            </w:r>
            <w:r>
              <w:rPr>
                <w:rFonts w:ascii="Aptos" w:hAnsi="Aptos"/>
                <w:b w:val="0"/>
                <w:sz w:val="15"/>
              </w:rPr>
              <w:t>9</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Search (existing chapter)</w:t>
            </w:r>
          </w:p>
        </w:tc>
        <w:tc>
          <w:tcPr>
            <w:tcW w:type="dxa" w:w="4300"/>
            <w:vAlign w:val="center"/>
            <w:shd w:fill="F2F6F8"/>
          </w:tcPr>
          <w:p>
            <w:pPr>
              <w:spacing w:after="0"/>
            </w:pPr>
            <w:r/>
            <w:r>
              <w:rPr>
                <w:rFonts w:ascii="Aptos" w:hAnsi="Aptos"/>
                <w:b w:val="0"/>
                <w:sz w:val="15"/>
              </w:rPr>
              <w:t xml:space="preserve">Global location hierarchy, remote and ships-to filters.</w:t>
            </w:r>
          </w:p>
        </w:tc>
        <w:tc>
          <w:tcPr>
            <w:tcW w:type="dxa" w:w="2824"/>
            <w:vAlign w:val="center"/>
            <w:shd w:fill="F2F6F8"/>
          </w:tcPr>
          <w:p>
            <w:pPr>
              <w:spacing w:after="0"/>
            </w:pPr>
            <w:r/>
            <w:r>
              <w:rPr>
                <w:rFonts w:ascii="Aptos" w:hAnsi="Aptos"/>
                <w:b w:val="0"/>
                <w:sz w:val="15"/>
              </w:rPr>
              <w:t xml:space="preserve">§7.1 Search inputs and filters</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gm_c71 \h </w:instrText>
            </w:r>
            <w:r>
              <w:rPr>
                <w:rFonts w:ascii="Aptos" w:hAnsi="Aptos"/>
                <w:b w:val="0"/>
                <w:sz w:val="15"/>
              </w:rPr>
              <w:fldChar w:fldCharType="separate"/>
            </w:r>
            <w:r>
              <w:rPr>
                <w:rFonts w:ascii="Aptos" w:hAnsi="Aptos"/>
                <w:b w:val="0"/>
                <w:sz w:val="15"/>
              </w:rPr>
              <w:t>10</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Booking (existing chapter)</w:t>
            </w:r>
          </w:p>
        </w:tc>
        <w:tc>
          <w:tcPr>
            <w:tcW w:type="dxa" w:w="4300"/>
            <w:vAlign w:val="center"/>
          </w:tcPr>
          <w:p>
            <w:pPr>
              <w:spacing w:after="0"/>
            </w:pPr>
            <w:r/>
            <w:r>
              <w:rPr>
                <w:rFonts w:ascii="Aptos" w:hAnsi="Aptos"/>
                <w:b w:val="0"/>
                <w:sz w:val="15"/>
              </w:rPr>
              <w:t xml:space="preserve">Four booking modes introduced.</w:t>
            </w:r>
          </w:p>
        </w:tc>
        <w:tc>
          <w:tcPr>
            <w:tcW w:type="dxa" w:w="2824"/>
            <w:vAlign w:val="center"/>
          </w:tcPr>
          <w:p>
            <w:pPr>
              <w:spacing w:after="0"/>
            </w:pPr>
            <w:r/>
            <w:r>
              <w:rPr>
                <w:rFonts w:ascii="Aptos" w:hAnsi="Aptos"/>
                <w:b w:val="0"/>
                <w:sz w:val="15"/>
              </w:rPr>
              <w:t xml:space="preserve">§8 note before §8.2</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gm_c81 \h </w:instrText>
            </w:r>
            <w:r>
              <w:rPr>
                <w:rFonts w:ascii="Aptos" w:hAnsi="Aptos"/>
                <w:b w:val="0"/>
                <w:sz w:val="15"/>
              </w:rPr>
              <w:fldChar w:fldCharType="separate"/>
            </w:r>
            <w:r>
              <w:rPr>
                <w:rFonts w:ascii="Aptos" w:hAnsi="Aptos"/>
                <w:b w:val="0"/>
                <w:sz w:val="15"/>
              </w:rPr>
              <w:t>11</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Subscriptions and payments (existing chapter)</w:t>
            </w:r>
          </w:p>
        </w:tc>
        <w:tc>
          <w:tcPr>
            <w:tcW w:type="dxa" w:w="4300"/>
            <w:vAlign w:val="center"/>
            <w:shd w:fill="F2F6F8"/>
          </w:tcPr>
          <w:p>
            <w:pPr>
              <w:spacing w:after="0"/>
            </w:pPr>
            <w:r/>
            <w:r>
              <w:rPr>
                <w:rFonts w:ascii="Aptos" w:hAnsi="Aptos"/>
                <w:b w:val="0"/>
                <w:sz w:val="15"/>
              </w:rPr>
              <w:t xml:space="preserve">Per-market plans; pointer to commission framework.</w:t>
            </w:r>
          </w:p>
        </w:tc>
        <w:tc>
          <w:tcPr>
            <w:tcW w:type="dxa" w:w="2824"/>
            <w:vAlign w:val="center"/>
            <w:shd w:fill="F2F6F8"/>
          </w:tcPr>
          <w:p>
            <w:pPr>
              <w:spacing w:after="0"/>
            </w:pPr>
            <w:r/>
            <w:r>
              <w:rPr>
                <w:rFonts w:ascii="Aptos" w:hAnsi="Aptos"/>
                <w:b w:val="0"/>
                <w:sz w:val="15"/>
              </w:rPr>
              <w:t xml:space="preserve">§11.1 and note after §11.3</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gm_c111 \h </w:instrText>
            </w:r>
            <w:r>
              <w:rPr>
                <w:rFonts w:ascii="Aptos" w:hAnsi="Aptos"/>
                <w:b w:val="0"/>
                <w:sz w:val="15"/>
              </w:rPr>
              <w:fldChar w:fldCharType="separate"/>
            </w:r>
            <w:r>
              <w:rPr>
                <w:rFonts w:ascii="Aptos" w:hAnsi="Aptos"/>
                <w:b w:val="0"/>
                <w:sz w:val="15"/>
              </w:rPr>
              <w:t>14</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Reviews, admin queues</w:t>
            </w:r>
          </w:p>
        </w:tc>
        <w:tc>
          <w:tcPr>
            <w:tcW w:type="dxa" w:w="4300"/>
            <w:vAlign w:val="center"/>
          </w:tcPr>
          <w:p>
            <w:pPr>
              <w:spacing w:after="0"/>
            </w:pPr>
            <w:r/>
            <w:r>
              <w:rPr>
                <w:rFonts w:ascii="Aptos" w:hAnsi="Aptos"/>
                <w:b w:val="0"/>
                <w:sz w:val="15"/>
              </w:rPr>
              <w:t xml:space="preserve">Contract-based review eligibility; three new admin queues.</w:t>
            </w:r>
          </w:p>
        </w:tc>
        <w:tc>
          <w:tcPr>
            <w:tcW w:type="dxa" w:w="2824"/>
            <w:vAlign w:val="center"/>
          </w:tcPr>
          <w:p>
            <w:pPr>
              <w:spacing w:after="0"/>
            </w:pPr>
            <w:r/>
            <w:r>
              <w:rPr>
                <w:rFonts w:ascii="Aptos" w:hAnsi="Aptos"/>
                <w:b w:val="0"/>
                <w:sz w:val="15"/>
              </w:rPr>
              <w:t xml:space="preserve">§12.1 and §13.1</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gm_c121 \h </w:instrText>
            </w:r>
            <w:r>
              <w:rPr>
                <w:rFonts w:ascii="Aptos" w:hAnsi="Aptos"/>
                <w:b w:val="0"/>
                <w:sz w:val="15"/>
              </w:rPr>
              <w:fldChar w:fldCharType="separate"/>
            </w:r>
            <w:r>
              <w:rPr>
                <w:rFonts w:ascii="Aptos" w:hAnsi="Aptos"/>
                <w:b w:val="0"/>
                <w:sz w:val="15"/>
              </w:rPr>
              <w:t>15</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Data model, API, NFR</w:t>
            </w:r>
          </w:p>
        </w:tc>
        <w:tc>
          <w:tcPr>
            <w:tcW w:type="dxa" w:w="4300"/>
            <w:vAlign w:val="center"/>
            <w:shd w:fill="F2F6F8"/>
          </w:tcPr>
          <w:p>
            <w:pPr>
              <w:spacing w:after="0"/>
            </w:pPr>
            <w:r/>
            <w:r>
              <w:rPr>
                <w:rFonts w:ascii="Aptos" w:hAnsi="Aptos"/>
                <w:b w:val="0"/>
                <w:sz w:val="15"/>
              </w:rPr>
              <w:t xml:space="preserve">Six new entities; new API groups; localization and scalability additions.</w:t>
            </w:r>
          </w:p>
        </w:tc>
        <w:tc>
          <w:tcPr>
            <w:tcW w:type="dxa" w:w="2824"/>
            <w:vAlign w:val="center"/>
            <w:shd w:fill="F2F6F8"/>
          </w:tcPr>
          <w:p>
            <w:pPr>
              <w:spacing w:after="0"/>
            </w:pPr>
            <w:r/>
            <w:r>
              <w:rPr>
                <w:rFonts w:ascii="Aptos" w:hAnsi="Aptos"/>
                <w:b w:val="0"/>
                <w:sz w:val="15"/>
              </w:rPr>
              <w:t xml:space="preserve">§14, §15 and §17</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gm_c14_row \h </w:instrText>
            </w:r>
            <w:r>
              <w:rPr>
                <w:rFonts w:ascii="Aptos" w:hAnsi="Aptos"/>
                <w:b w:val="0"/>
                <w:sz w:val="15"/>
              </w:rPr>
              <w:fldChar w:fldCharType="separate"/>
            </w:r>
            <w:r>
              <w:rPr>
                <w:rFonts w:ascii="Aptos" w:hAnsi="Aptos"/>
                <w:b w:val="0"/>
                <w:sz w:val="15"/>
              </w:rPr>
              <w:t>17</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UX screens</w:t>
            </w:r>
          </w:p>
        </w:tc>
        <w:tc>
          <w:tcPr>
            <w:tcW w:type="dxa" w:w="4300"/>
            <w:vAlign w:val="center"/>
          </w:tcPr>
          <w:p>
            <w:pPr>
              <w:spacing w:after="0"/>
            </w:pPr>
            <w:r/>
            <w:r>
              <w:rPr>
                <w:rFonts w:ascii="Aptos" w:hAnsi="Aptos"/>
                <w:b w:val="0"/>
                <w:sz w:val="15"/>
              </w:rPr>
              <w:t xml:space="preserve">Five new screen rows; responsive and RTL bullet.</w:t>
            </w:r>
          </w:p>
        </w:tc>
        <w:tc>
          <w:tcPr>
            <w:tcW w:type="dxa" w:w="2824"/>
            <w:vAlign w:val="center"/>
          </w:tcPr>
          <w:p>
            <w:pPr>
              <w:spacing w:after="0"/>
            </w:pPr>
            <w:r/>
            <w:r>
              <w:rPr>
                <w:rFonts w:ascii="Aptos" w:hAnsi="Aptos"/>
                <w:b w:val="0"/>
                <w:sz w:val="15"/>
              </w:rPr>
              <w:t xml:space="preserve">§19 UX requirements and screen inventory</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gm_c19_row \h </w:instrText>
            </w:r>
            <w:r>
              <w:rPr>
                <w:rFonts w:ascii="Aptos" w:hAnsi="Aptos"/>
                <w:b w:val="0"/>
                <w:sz w:val="15"/>
              </w:rPr>
              <w:fldChar w:fldCharType="separate"/>
            </w:r>
            <w:r>
              <w:rPr>
                <w:rFonts w:ascii="Aptos" w:hAnsi="Aptos"/>
                <w:b w:val="0"/>
                <w:sz w:val="15"/>
              </w:rPr>
              <w:t>19</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Scenarios</w:t>
            </w:r>
          </w:p>
        </w:tc>
        <w:tc>
          <w:tcPr>
            <w:tcW w:type="dxa" w:w="4300"/>
            <w:vAlign w:val="center"/>
            <w:shd w:fill="F2F6F8"/>
          </w:tcPr>
          <w:p>
            <w:pPr>
              <w:spacing w:after="0"/>
            </w:pPr>
            <w:r/>
            <w:r>
              <w:rPr>
                <w:rFonts w:ascii="Aptos" w:hAnsi="Aptos"/>
                <w:b w:val="0"/>
                <w:sz w:val="15"/>
              </w:rPr>
              <w:t xml:space="preserve">Six new scenarios SC-041 to SC-046.</w:t>
            </w:r>
          </w:p>
        </w:tc>
        <w:tc>
          <w:tcPr>
            <w:tcW w:type="dxa" w:w="2824"/>
            <w:vAlign w:val="center"/>
            <w:shd w:fill="F2F6F8"/>
          </w:tcPr>
          <w:p>
            <w:pPr>
              <w:spacing w:after="0"/>
            </w:pPr>
            <w:r/>
            <w:r>
              <w:rPr>
                <w:rFonts w:ascii="Aptos" w:hAnsi="Aptos"/>
                <w:b w:val="0"/>
                <w:sz w:val="15"/>
              </w:rPr>
              <w:t xml:space="preserve">§20 End-to-end scenario catalogue</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gm_sc \h </w:instrText>
            </w:r>
            <w:r>
              <w:rPr>
                <w:rFonts w:ascii="Aptos" w:hAnsi="Aptos"/>
                <w:b w:val="0"/>
                <w:sz w:val="15"/>
              </w:rPr>
              <w:fldChar w:fldCharType="separate"/>
            </w:r>
            <w:r>
              <w:rPr>
                <w:rFonts w:ascii="Aptos" w:hAnsi="Aptos"/>
                <w:b w:val="0"/>
                <w:sz w:val="15"/>
              </w:rPr>
              <w:t>23</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Release gates and phases</w:t>
            </w:r>
          </w:p>
        </w:tc>
        <w:tc>
          <w:tcPr>
            <w:tcW w:type="dxa" w:w="4300"/>
            <w:vAlign w:val="center"/>
          </w:tcPr>
          <w:p>
            <w:pPr>
              <w:spacing w:after="0"/>
            </w:pPr>
            <w:r/>
            <w:r>
              <w:rPr>
                <w:rFonts w:ascii="Aptos" w:hAnsi="Aptos"/>
                <w:b w:val="0"/>
                <w:sz w:val="15"/>
              </w:rPr>
              <w:t xml:space="preserve">New “Global marketplace” gate; phase mapping.</w:t>
            </w:r>
          </w:p>
        </w:tc>
        <w:tc>
          <w:tcPr>
            <w:tcW w:type="dxa" w:w="2824"/>
            <w:vAlign w:val="center"/>
          </w:tcPr>
          <w:p>
            <w:pPr>
              <w:spacing w:after="0"/>
            </w:pPr>
            <w:r/>
            <w:r>
              <w:rPr>
                <w:rFonts w:ascii="Aptos" w:hAnsi="Aptos"/>
                <w:b w:val="0"/>
                <w:sz w:val="15"/>
              </w:rPr>
              <w:t xml:space="preserve">§21 and §22</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gm_c21_row \h </w:instrText>
            </w:r>
            <w:r>
              <w:rPr>
                <w:rFonts w:ascii="Aptos" w:hAnsi="Aptos"/>
                <w:b w:val="0"/>
                <w:sz w:val="15"/>
              </w:rPr>
              <w:fldChar w:fldCharType="separate"/>
            </w:r>
            <w:r>
              <w:rPr>
                <w:rFonts w:ascii="Aptos" w:hAnsi="Aptos"/>
                <w:b w:val="0"/>
                <w:sz w:val="15"/>
              </w:rPr>
              <w:t>23</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Open configuration</w:t>
            </w:r>
          </w:p>
        </w:tc>
        <w:tc>
          <w:tcPr>
            <w:tcW w:type="dxa" w:w="4300"/>
            <w:vAlign w:val="center"/>
            <w:shd w:fill="F2F6F8"/>
          </w:tcPr>
          <w:p>
            <w:pPr>
              <w:spacing w:after="0"/>
            </w:pPr>
            <w:r/>
            <w:r>
              <w:rPr>
                <w:rFonts w:ascii="Aptos" w:hAnsi="Aptos"/>
                <w:b w:val="0"/>
                <w:sz w:val="15"/>
              </w:rPr>
              <w:t xml:space="preserve">Seven new open items CFG-13 to CFG-19.</w:t>
            </w:r>
          </w:p>
        </w:tc>
        <w:tc>
          <w:tcPr>
            <w:tcW w:type="dxa" w:w="2824"/>
            <w:vAlign w:val="center"/>
            <w:shd w:fill="F2F6F8"/>
          </w:tcPr>
          <w:p>
            <w:pPr>
              <w:spacing w:after="0"/>
            </w:pPr>
            <w:r/>
            <w:r>
              <w:rPr>
                <w:rFonts w:ascii="Aptos" w:hAnsi="Aptos"/>
                <w:b w:val="0"/>
                <w:sz w:val="15"/>
              </w:rPr>
              <w:t xml:space="preserve">§23 Open configuration register</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gm_c23_row \h </w:instrText>
            </w:r>
            <w:r>
              <w:rPr>
                <w:rFonts w:ascii="Aptos" w:hAnsi="Aptos"/>
                <w:b w:val="0"/>
                <w:sz w:val="15"/>
              </w:rPr>
              <w:fldChar w:fldCharType="separate"/>
            </w:r>
            <w:r>
              <w:rPr>
                <w:rFonts w:ascii="Aptos" w:hAnsi="Aptos"/>
                <w:b w:val="0"/>
                <w:sz w:val="15"/>
              </w:rPr>
              <w:t>24</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Deferred roadmap and glossary</w:t>
            </w:r>
          </w:p>
        </w:tc>
        <w:tc>
          <w:tcPr>
            <w:tcW w:type="dxa" w:w="4300"/>
            <w:vAlign w:val="center"/>
          </w:tcPr>
          <w:p>
            <w:pPr>
              <w:spacing w:after="0"/>
            </w:pPr>
            <w:r/>
            <w:r>
              <w:rPr>
                <w:rFonts w:ascii="Aptos" w:hAnsi="Aptos"/>
                <w:b w:val="0"/>
                <w:sz w:val="15"/>
              </w:rPr>
              <w:t xml:space="preserve">Payment and international-launch rows updated; six glossary terms.</w:t>
            </w:r>
          </w:p>
        </w:tc>
        <w:tc>
          <w:tcPr>
            <w:tcW w:type="dxa" w:w="2824"/>
            <w:vAlign w:val="center"/>
          </w:tcPr>
          <w:p>
            <w:pPr>
              <w:spacing w:after="0"/>
            </w:pPr>
            <w:r/>
            <w:r>
              <w:rPr>
                <w:rFonts w:ascii="Aptos" w:hAnsi="Aptos"/>
                <w:b w:val="0"/>
                <w:sz w:val="15"/>
              </w:rPr>
              <w:t xml:space="preserve">§24 and §25</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gm_c25_row \h </w:instrText>
            </w:r>
            <w:r>
              <w:rPr>
                <w:rFonts w:ascii="Aptos" w:hAnsi="Aptos"/>
                <w:b w:val="0"/>
                <w:sz w:val="15"/>
              </w:rPr>
              <w:fldChar w:fldCharType="separate"/>
            </w:r>
            <w:r>
              <w:rPr>
                <w:rFonts w:ascii="Aptos" w:hAnsi="Aptos"/>
                <w:b w:val="0"/>
                <w:sz w:val="15"/>
              </w:rPr>
              <w:t>25</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1. Branding and homepage</w:t>
            </w:r>
          </w:p>
        </w:tc>
        <w:tc>
          <w:tcPr>
            <w:tcW w:type="dxa" w:w="4300"/>
            <w:vAlign w:val="center"/>
            <w:shd w:fill="F2F6F8"/>
          </w:tcPr>
          <w:p>
            <w:pPr>
              <w:spacing w:after="0"/>
            </w:pPr>
            <w:r/>
            <w:r>
              <w:rPr>
                <w:rFonts w:ascii="Aptos" w:hAnsi="Aptos"/>
                <w:b w:val="0"/>
                <w:sz w:val="15"/>
              </w:rPr>
              <w:t xml:space="preserve">GM-01 to GM-10.</w:t>
            </w:r>
          </w:p>
        </w:tc>
        <w:tc>
          <w:tcPr>
            <w:tcW w:type="dxa" w:w="2824"/>
            <w:vAlign w:val="center"/>
            <w:shd w:fill="F2F6F8"/>
          </w:tcPr>
          <w:p>
            <w:pPr>
              <w:spacing w:after="0"/>
            </w:pPr>
            <w:r/>
            <w:r>
              <w:rPr>
                <w:rFonts w:ascii="Aptos" w:hAnsi="Aptos"/>
                <w:b w:val="0"/>
                <w:sz w:val="15"/>
              </w:rPr>
              <w:t xml:space="preserve">§26.1</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gm_s261 \h </w:instrText>
            </w:r>
            <w:r>
              <w:rPr>
                <w:rFonts w:ascii="Aptos" w:hAnsi="Aptos"/>
                <w:b w:val="0"/>
                <w:sz w:val="15"/>
              </w:rPr>
              <w:fldChar w:fldCharType="separate"/>
            </w:r>
            <w:r>
              <w:rPr>
                <w:rFonts w:ascii="Aptos" w:hAnsi="Aptos"/>
                <w:b w:val="0"/>
                <w:sz w:val="15"/>
              </w:rPr>
              <w:t>26</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2. Dynamic unlimited categories</w:t>
            </w:r>
          </w:p>
        </w:tc>
        <w:tc>
          <w:tcPr>
            <w:tcW w:type="dxa" w:w="4300"/>
            <w:vAlign w:val="center"/>
          </w:tcPr>
          <w:p>
            <w:pPr>
              <w:spacing w:after="0"/>
            </w:pPr>
            <w:r/>
            <w:r>
              <w:rPr>
                <w:rFonts w:ascii="Aptos" w:hAnsi="Aptos"/>
                <w:b w:val="0"/>
                <w:sz w:val="15"/>
              </w:rPr>
              <w:t xml:space="preserve">GM-11 to GM-18.</w:t>
            </w:r>
          </w:p>
        </w:tc>
        <w:tc>
          <w:tcPr>
            <w:tcW w:type="dxa" w:w="2824"/>
            <w:vAlign w:val="center"/>
          </w:tcPr>
          <w:p>
            <w:pPr>
              <w:spacing w:after="0"/>
            </w:pPr>
            <w:r/>
            <w:r>
              <w:rPr>
                <w:rFonts w:ascii="Aptos" w:hAnsi="Aptos"/>
                <w:b w:val="0"/>
                <w:sz w:val="15"/>
              </w:rPr>
              <w:t xml:space="preserve">§26.2</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gm_s262 \h </w:instrText>
            </w:r>
            <w:r>
              <w:rPr>
                <w:rFonts w:ascii="Aptos" w:hAnsi="Aptos"/>
                <w:b w:val="0"/>
                <w:sz w:val="15"/>
              </w:rPr>
              <w:fldChar w:fldCharType="separate"/>
            </w:r>
            <w:r>
              <w:rPr>
                <w:rFonts w:ascii="Aptos" w:hAnsi="Aptos"/>
                <w:b w:val="0"/>
                <w:sz w:val="15"/>
              </w:rPr>
              <w:t>26</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3. Country, state and city search</w:t>
            </w:r>
          </w:p>
        </w:tc>
        <w:tc>
          <w:tcPr>
            <w:tcW w:type="dxa" w:w="4300"/>
            <w:vAlign w:val="center"/>
            <w:shd w:fill="F2F6F8"/>
          </w:tcPr>
          <w:p>
            <w:pPr>
              <w:spacing w:after="0"/>
            </w:pPr>
            <w:r/>
            <w:r>
              <w:rPr>
                <w:rFonts w:ascii="Aptos" w:hAnsi="Aptos"/>
                <w:b w:val="0"/>
                <w:sz w:val="15"/>
              </w:rPr>
              <w:t xml:space="preserve">GM-19 to GM-27.</w:t>
            </w:r>
          </w:p>
        </w:tc>
        <w:tc>
          <w:tcPr>
            <w:tcW w:type="dxa" w:w="2824"/>
            <w:vAlign w:val="center"/>
            <w:shd w:fill="F2F6F8"/>
          </w:tcPr>
          <w:p>
            <w:pPr>
              <w:spacing w:after="0"/>
            </w:pPr>
            <w:r/>
            <w:r>
              <w:rPr>
                <w:rFonts w:ascii="Aptos" w:hAnsi="Aptos"/>
                <w:b w:val="0"/>
                <w:sz w:val="15"/>
              </w:rPr>
              <w:t xml:space="preserve">§26.3</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gm_s263 \h </w:instrText>
            </w:r>
            <w:r>
              <w:rPr>
                <w:rFonts w:ascii="Aptos" w:hAnsi="Aptos"/>
                <w:b w:val="0"/>
                <w:sz w:val="15"/>
              </w:rPr>
              <w:fldChar w:fldCharType="separate"/>
            </w:r>
            <w:r>
              <w:rPr>
                <w:rFonts w:ascii="Aptos" w:hAnsi="Aptos"/>
                <w:b w:val="0"/>
                <w:sz w:val="15"/>
              </w:rPr>
              <w:t>27</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4. Customer and vendor profiles</w:t>
            </w:r>
          </w:p>
        </w:tc>
        <w:tc>
          <w:tcPr>
            <w:tcW w:type="dxa" w:w="4300"/>
            <w:vAlign w:val="center"/>
          </w:tcPr>
          <w:p>
            <w:pPr>
              <w:spacing w:after="0"/>
            </w:pPr>
            <w:r/>
            <w:r>
              <w:rPr>
                <w:rFonts w:ascii="Aptos" w:hAnsi="Aptos"/>
                <w:b w:val="0"/>
                <w:sz w:val="15"/>
              </w:rPr>
              <w:t xml:space="preserve">Field-level profile definitions.</w:t>
            </w:r>
          </w:p>
        </w:tc>
        <w:tc>
          <w:tcPr>
            <w:tcW w:type="dxa" w:w="2824"/>
            <w:vAlign w:val="center"/>
          </w:tcPr>
          <w:p>
            <w:pPr>
              <w:spacing w:after="0"/>
            </w:pPr>
            <w:r/>
            <w:r>
              <w:rPr>
                <w:rFonts w:ascii="Aptos" w:hAnsi="Aptos"/>
                <w:b w:val="0"/>
                <w:sz w:val="15"/>
              </w:rPr>
              <w:t xml:space="preserve">§26.4</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gm_s264 \h </w:instrText>
            </w:r>
            <w:r>
              <w:rPr>
                <w:rFonts w:ascii="Aptos" w:hAnsi="Aptos"/>
                <w:b w:val="0"/>
                <w:sz w:val="15"/>
              </w:rPr>
              <w:fldChar w:fldCharType="separate"/>
            </w:r>
            <w:r>
              <w:rPr>
                <w:rFonts w:ascii="Aptos" w:hAnsi="Aptos"/>
                <w:b w:val="0"/>
                <w:sz w:val="15"/>
              </w:rPr>
              <w:t>27</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5. Instant, scheduled, RFQ, contract bookings</w:t>
            </w:r>
          </w:p>
        </w:tc>
        <w:tc>
          <w:tcPr>
            <w:tcW w:type="dxa" w:w="4300"/>
            <w:vAlign w:val="center"/>
            <w:shd w:fill="F2F6F8"/>
          </w:tcPr>
          <w:p>
            <w:pPr>
              <w:spacing w:after="0"/>
            </w:pPr>
            <w:r/>
            <w:r>
              <w:rPr>
                <w:rFonts w:ascii="Aptos" w:hAnsi="Aptos"/>
                <w:b w:val="0"/>
                <w:sz w:val="15"/>
              </w:rPr>
              <w:t xml:space="preserve">Four modes and contract lifecycle.</w:t>
            </w:r>
          </w:p>
        </w:tc>
        <w:tc>
          <w:tcPr>
            <w:tcW w:type="dxa" w:w="2824"/>
            <w:vAlign w:val="center"/>
            <w:shd w:fill="F2F6F8"/>
          </w:tcPr>
          <w:p>
            <w:pPr>
              <w:spacing w:after="0"/>
            </w:pPr>
            <w:r/>
            <w:r>
              <w:rPr>
                <w:rFonts w:ascii="Aptos" w:hAnsi="Aptos"/>
                <w:b w:val="0"/>
                <w:sz w:val="15"/>
              </w:rPr>
              <w:t xml:space="preserve">§26.5</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gm_s265 \h </w:instrText>
            </w:r>
            <w:r>
              <w:rPr>
                <w:rFonts w:ascii="Aptos" w:hAnsi="Aptos"/>
                <w:b w:val="0"/>
                <w:sz w:val="15"/>
              </w:rPr>
              <w:fldChar w:fldCharType="separate"/>
            </w:r>
            <w:r>
              <w:rPr>
                <w:rFonts w:ascii="Aptos" w:hAnsi="Aptos"/>
                <w:b w:val="0"/>
                <w:sz w:val="15"/>
              </w:rPr>
              <w:t>28</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6. Verification and rating</w:t>
            </w:r>
          </w:p>
        </w:tc>
        <w:tc>
          <w:tcPr>
            <w:tcW w:type="dxa" w:w="4300"/>
            <w:vAlign w:val="center"/>
          </w:tcPr>
          <w:p>
            <w:pPr>
              <w:spacing w:after="0"/>
            </w:pPr>
            <w:r/>
            <w:r>
              <w:rPr>
                <w:rFonts w:ascii="Aptos" w:hAnsi="Aptos"/>
                <w:b w:val="0"/>
                <w:sz w:val="15"/>
              </w:rPr>
              <w:t xml:space="preserve">Levels L0 to L4 and rating rules.</w:t>
            </w:r>
          </w:p>
        </w:tc>
        <w:tc>
          <w:tcPr>
            <w:tcW w:type="dxa" w:w="2824"/>
            <w:vAlign w:val="center"/>
          </w:tcPr>
          <w:p>
            <w:pPr>
              <w:spacing w:after="0"/>
            </w:pPr>
            <w:r/>
            <w:r>
              <w:rPr>
                <w:rFonts w:ascii="Aptos" w:hAnsi="Aptos"/>
                <w:b w:val="0"/>
                <w:sz w:val="15"/>
              </w:rPr>
              <w:t xml:space="preserve">§26.6</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gm_s266 \h </w:instrText>
            </w:r>
            <w:r>
              <w:rPr>
                <w:rFonts w:ascii="Aptos" w:hAnsi="Aptos"/>
                <w:b w:val="0"/>
                <w:sz w:val="15"/>
              </w:rPr>
              <w:fldChar w:fldCharType="separate"/>
            </w:r>
            <w:r>
              <w:rPr>
                <w:rFonts w:ascii="Aptos" w:hAnsi="Aptos"/>
                <w:b w:val="0"/>
                <w:sz w:val="15"/>
              </w:rPr>
              <w:t>29</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7. Supplier and manufacturer listings</w:t>
            </w:r>
          </w:p>
        </w:tc>
        <w:tc>
          <w:tcPr>
            <w:tcW w:type="dxa" w:w="4300"/>
            <w:vAlign w:val="center"/>
            <w:shd w:fill="F2F6F8"/>
          </w:tcPr>
          <w:p>
            <w:pPr>
              <w:spacing w:after="0"/>
            </w:pPr>
            <w:r/>
            <w:r>
              <w:rPr>
                <w:rFonts w:ascii="Aptos" w:hAnsi="Aptos"/>
                <w:b w:val="0"/>
                <w:sz w:val="15"/>
              </w:rPr>
              <w:t xml:space="preserve">Catalogue, trade terms and compliance.</w:t>
            </w:r>
          </w:p>
        </w:tc>
        <w:tc>
          <w:tcPr>
            <w:tcW w:type="dxa" w:w="2824"/>
            <w:vAlign w:val="center"/>
            <w:shd w:fill="F2F6F8"/>
          </w:tcPr>
          <w:p>
            <w:pPr>
              <w:spacing w:after="0"/>
            </w:pPr>
            <w:r/>
            <w:r>
              <w:rPr>
                <w:rFonts w:ascii="Aptos" w:hAnsi="Aptos"/>
                <w:b w:val="0"/>
                <w:sz w:val="15"/>
              </w:rPr>
              <w:t xml:space="preserve">§26.7</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gm_s267 \h </w:instrText>
            </w:r>
            <w:r>
              <w:rPr>
                <w:rFonts w:ascii="Aptos" w:hAnsi="Aptos"/>
                <w:b w:val="0"/>
                <w:sz w:val="15"/>
              </w:rPr>
              <w:fldChar w:fldCharType="separate"/>
            </w:r>
            <w:r>
              <w:rPr>
                <w:rFonts w:ascii="Aptos" w:hAnsi="Aptos"/>
                <w:b w:val="0"/>
                <w:sz w:val="15"/>
              </w:rPr>
              <w:t>29</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8. Dashboards</w:t>
            </w:r>
          </w:p>
        </w:tc>
        <w:tc>
          <w:tcPr>
            <w:tcW w:type="dxa" w:w="4300"/>
            <w:vAlign w:val="center"/>
          </w:tcPr>
          <w:p>
            <w:pPr>
              <w:spacing w:after="0"/>
            </w:pPr>
            <w:r/>
            <w:r>
              <w:rPr>
                <w:rFonts w:ascii="Aptos" w:hAnsi="Aptos"/>
                <w:b w:val="0"/>
                <w:sz w:val="15"/>
              </w:rPr>
              <w:t xml:space="preserve">Customer, vendor, sales and admin dashboards.</w:t>
            </w:r>
          </w:p>
        </w:tc>
        <w:tc>
          <w:tcPr>
            <w:tcW w:type="dxa" w:w="2824"/>
            <w:vAlign w:val="center"/>
          </w:tcPr>
          <w:p>
            <w:pPr>
              <w:spacing w:after="0"/>
            </w:pPr>
            <w:r/>
            <w:r>
              <w:rPr>
                <w:rFonts w:ascii="Aptos" w:hAnsi="Aptos"/>
                <w:b w:val="0"/>
                <w:sz w:val="15"/>
              </w:rPr>
              <w:t xml:space="preserve">§26.8</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gm_s268 \h </w:instrText>
            </w:r>
            <w:r>
              <w:rPr>
                <w:rFonts w:ascii="Aptos" w:hAnsi="Aptos"/>
                <w:b w:val="0"/>
                <w:sz w:val="15"/>
              </w:rPr>
              <w:fldChar w:fldCharType="separate"/>
            </w:r>
            <w:r>
              <w:rPr>
                <w:rFonts w:ascii="Aptos" w:hAnsi="Aptos"/>
                <w:b w:val="0"/>
                <w:sz w:val="15"/>
              </w:rPr>
              <w:t>30</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9. Payment, commission, subscription</w:t>
            </w:r>
          </w:p>
        </w:tc>
        <w:tc>
          <w:tcPr>
            <w:tcW w:type="dxa" w:w="4300"/>
            <w:vAlign w:val="center"/>
            <w:shd w:fill="F2F6F8"/>
          </w:tcPr>
          <w:p>
            <w:pPr>
              <w:spacing w:after="0"/>
            </w:pPr>
            <w:r/>
            <w:r>
              <w:rPr>
                <w:rFonts w:ascii="Aptos" w:hAnsi="Aptos"/>
                <w:b w:val="0"/>
                <w:sz w:val="15"/>
              </w:rPr>
              <w:t xml:space="preserve">Payment modes A to C, commission and subscription flows.</w:t>
            </w:r>
          </w:p>
        </w:tc>
        <w:tc>
          <w:tcPr>
            <w:tcW w:type="dxa" w:w="2824"/>
            <w:vAlign w:val="center"/>
            <w:shd w:fill="F2F6F8"/>
          </w:tcPr>
          <w:p>
            <w:pPr>
              <w:spacing w:after="0"/>
            </w:pPr>
            <w:r/>
            <w:r>
              <w:rPr>
                <w:rFonts w:ascii="Aptos" w:hAnsi="Aptos"/>
                <w:b w:val="0"/>
                <w:sz w:val="15"/>
              </w:rPr>
              <w:t xml:space="preserve">§26.9</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gm_s269 \h </w:instrText>
            </w:r>
            <w:r>
              <w:rPr>
                <w:rFonts w:ascii="Aptos" w:hAnsi="Aptos"/>
                <w:b w:val="0"/>
                <w:sz w:val="15"/>
              </w:rPr>
              <w:fldChar w:fldCharType="separate"/>
            </w:r>
            <w:r>
              <w:rPr>
                <w:rFonts w:ascii="Aptos" w:hAnsi="Aptos"/>
                <w:b w:val="0"/>
                <w:sz w:val="15"/>
              </w:rPr>
              <w:t>31</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10. Responsive web and mobile UI/UX</w:t>
            </w:r>
          </w:p>
        </w:tc>
        <w:tc>
          <w:tcPr>
            <w:tcW w:type="dxa" w:w="4300"/>
            <w:vAlign w:val="center"/>
          </w:tcPr>
          <w:p>
            <w:pPr>
              <w:spacing w:after="0"/>
            </w:pPr>
            <w:r/>
            <w:r>
              <w:rPr>
                <w:rFonts w:ascii="Aptos" w:hAnsi="Aptos"/>
                <w:b w:val="0"/>
                <w:sz w:val="15"/>
              </w:rPr>
              <w:t xml:space="preserve">Layout, navigation, i18n and accessibility.</w:t>
            </w:r>
          </w:p>
        </w:tc>
        <w:tc>
          <w:tcPr>
            <w:tcW w:type="dxa" w:w="2824"/>
            <w:vAlign w:val="center"/>
          </w:tcPr>
          <w:p>
            <w:pPr>
              <w:spacing w:after="0"/>
            </w:pPr>
            <w:r/>
            <w:r>
              <w:rPr>
                <w:rFonts w:ascii="Aptos" w:hAnsi="Aptos"/>
                <w:b w:val="0"/>
                <w:sz w:val="15"/>
              </w:rPr>
              <w:t xml:space="preserve">§26.10</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gm_s2610 \h </w:instrText>
            </w:r>
            <w:r>
              <w:rPr>
                <w:rFonts w:ascii="Aptos" w:hAnsi="Aptos"/>
                <w:b w:val="0"/>
                <w:sz w:val="15"/>
              </w:rPr>
              <w:fldChar w:fldCharType="separate"/>
            </w:r>
            <w:r>
              <w:rPr>
                <w:rFonts w:ascii="Aptos" w:hAnsi="Aptos"/>
                <w:b w:val="0"/>
                <w:sz w:val="15"/>
              </w:rPr>
              <w:t>31</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Scalability and phased launch</w:t>
            </w:r>
          </w:p>
        </w:tc>
        <w:tc>
          <w:tcPr>
            <w:tcW w:type="dxa" w:w="4300"/>
            <w:vAlign w:val="center"/>
            <w:shd w:fill="F2F6F8"/>
          </w:tcPr>
          <w:p>
            <w:pPr>
              <w:spacing w:after="0"/>
            </w:pPr>
            <w:r/>
            <w:r>
              <w:rPr>
                <w:rFonts w:ascii="Aptos" w:hAnsi="Aptos"/>
                <w:b w:val="0"/>
                <w:sz w:val="15"/>
              </w:rPr>
              <w:t xml:space="preserve">Architecture requirements, launch waves and activation checklist.</w:t>
            </w:r>
          </w:p>
        </w:tc>
        <w:tc>
          <w:tcPr>
            <w:tcW w:type="dxa" w:w="2824"/>
            <w:vAlign w:val="center"/>
            <w:shd w:fill="F2F6F8"/>
          </w:tcPr>
          <w:p>
            <w:pPr>
              <w:spacing w:after="0"/>
            </w:pPr>
            <w:r/>
            <w:r>
              <w:rPr>
                <w:rFonts w:ascii="Aptos" w:hAnsi="Aptos"/>
                <w:b w:val="0"/>
                <w:sz w:val="15"/>
              </w:rPr>
              <w:t xml:space="preserve">§26.11</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gm_s2611 \h </w:instrText>
            </w:r>
            <w:r>
              <w:rPr>
                <w:rFonts w:ascii="Aptos" w:hAnsi="Aptos"/>
                <w:b w:val="0"/>
                <w:sz w:val="15"/>
              </w:rPr>
              <w:fldChar w:fldCharType="separate"/>
            </w:r>
            <w:r>
              <w:rPr>
                <w:rFonts w:ascii="Aptos" w:hAnsi="Aptos"/>
                <w:b w:val="0"/>
                <w:sz w:val="15"/>
              </w:rPr>
              <w:t>32</w:t>
            </w:r>
            <w:r>
              <w:rPr>
                <w:rFonts w:ascii="Aptos" w:hAnsi="Aptos"/>
                <w:b w:val="0"/>
                <w:sz w:val="15"/>
              </w:rPr>
              <w:fldChar w:fldCharType="end"/>
            </w:r>
          </w:p>
        </w:tc>
      </w:tr>
      <w:tr>
        <w:trPr>
          <w:cantSplit/>
        </w:trPr>
        <w:tc>
          <w:tcPr>
            <w:tcW w:type="dxa" w:w="2300"/>
            <w:vAlign w:val="center"/>
          </w:tcPr>
          <w:p>
            <w:pPr>
              <w:spacing w:after="0"/>
            </w:pPr>
            <w:r/>
            <w:r>
              <w:rPr>
                <w:rFonts w:ascii="Aptos" w:hAnsi="Aptos"/>
                <w:b w:val="0"/>
                <w:sz w:val="15"/>
              </w:rPr>
              <w:t xml:space="preserve">Traceability</w:t>
            </w:r>
          </w:p>
        </w:tc>
        <w:tc>
          <w:tcPr>
            <w:tcW w:type="dxa" w:w="4300"/>
            <w:vAlign w:val="center"/>
          </w:tcPr>
          <w:p>
            <w:pPr>
              <w:spacing w:after="0"/>
            </w:pPr>
            <w:r/>
            <w:r>
              <w:rPr>
                <w:rFonts w:ascii="Aptos" w:hAnsi="Aptos"/>
                <w:b w:val="0"/>
                <w:sz w:val="15"/>
              </w:rPr>
              <w:t xml:space="preserve">Ten focus areas mapped to requirements and gates.</w:t>
            </w:r>
          </w:p>
        </w:tc>
        <w:tc>
          <w:tcPr>
            <w:tcW w:type="dxa" w:w="2824"/>
            <w:vAlign w:val="center"/>
          </w:tcPr>
          <w:p>
            <w:pPr>
              <w:spacing w:after="0"/>
            </w:pPr>
            <w:r/>
            <w:r>
              <w:rPr>
                <w:rFonts w:ascii="Aptos" w:hAnsi="Aptos"/>
                <w:b w:val="0"/>
                <w:sz w:val="15"/>
              </w:rPr>
              <w:t xml:space="preserve">§26.12</w:t>
            </w:r>
          </w:p>
        </w:tc>
        <w:tc>
          <w:tcPr>
            <w:tcW w:type="dxa" w:w="800"/>
            <w:vAlign w:val="center"/>
          </w:tcPr>
          <w:p>
            <w:pPr>
              <w:spacing w:after="0"/>
            </w:pPr>
            <w:r>
              <w:rPr>
                <w:rFonts w:ascii="Aptos" w:hAnsi="Aptos"/>
                <w:b w:val="0"/>
                <w:sz w:val="15"/>
              </w:rPr>
              <w:fldChar w:fldCharType="begin"/>
            </w:r>
            <w:r>
              <w:rPr>
                <w:rFonts w:ascii="Aptos" w:hAnsi="Aptos"/>
                <w:b w:val="0"/>
                <w:sz w:val="15"/>
              </w:rPr>
              <w:instrText xml:space="preserve"> PAGEREF gm_s2612 \h </w:instrText>
            </w:r>
            <w:r>
              <w:rPr>
                <w:rFonts w:ascii="Aptos" w:hAnsi="Aptos"/>
                <w:b w:val="0"/>
                <w:sz w:val="15"/>
              </w:rPr>
              <w:fldChar w:fldCharType="separate"/>
            </w:r>
            <w:r>
              <w:rPr>
                <w:rFonts w:ascii="Aptos" w:hAnsi="Aptos"/>
                <w:b w:val="0"/>
                <w:sz w:val="15"/>
              </w:rPr>
              <w:t>32</w:t>
            </w:r>
            <w:r>
              <w:rPr>
                <w:rFonts w:ascii="Aptos" w:hAnsi="Aptos"/>
                <w:b w:val="0"/>
                <w:sz w:val="15"/>
              </w:rPr>
              <w:fldChar w:fldCharType="end"/>
            </w:r>
          </w:p>
        </w:tc>
      </w:tr>
      <w:tr>
        <w:trPr>
          <w:cantSplit/>
        </w:trPr>
        <w:tc>
          <w:tcPr>
            <w:tcW w:type="dxa" w:w="2300"/>
            <w:vAlign w:val="center"/>
            <w:shd w:fill="F2F6F8"/>
          </w:tcPr>
          <w:p>
            <w:pPr>
              <w:spacing w:after="0"/>
            </w:pPr>
            <w:r/>
            <w:r>
              <w:rPr>
                <w:rFonts w:ascii="Aptos" w:hAnsi="Aptos"/>
                <w:b w:val="0"/>
                <w:sz w:val="15"/>
              </w:rPr>
              <w:t xml:space="preserve">Appendices</w:t>
            </w:r>
          </w:p>
        </w:tc>
        <w:tc>
          <w:tcPr>
            <w:tcW w:type="dxa" w:w="4300"/>
            <w:vAlign w:val="center"/>
            <w:shd w:fill="F2F6F8"/>
          </w:tcPr>
          <w:p>
            <w:pPr>
              <w:spacing w:after="0"/>
            </w:pPr>
            <w:r/>
            <w:r>
              <w:rPr>
                <w:rFonts w:ascii="Aptos" w:hAnsi="Aptos"/>
                <w:b w:val="0"/>
                <w:sz w:val="15"/>
              </w:rPr>
              <w:t xml:space="preserve">Traceability and source-document entries.</w:t>
            </w:r>
          </w:p>
        </w:tc>
        <w:tc>
          <w:tcPr>
            <w:tcW w:type="dxa" w:w="2824"/>
            <w:vAlign w:val="center"/>
            <w:shd w:fill="F2F6F8"/>
          </w:tcPr>
          <w:p>
            <w:pPr>
              <w:spacing w:after="0"/>
            </w:pPr>
            <w:r/>
            <w:r>
              <w:rPr>
                <w:rFonts w:ascii="Aptos" w:hAnsi="Aptos"/>
                <w:b w:val="0"/>
                <w:sz w:val="15"/>
              </w:rPr>
              <w:t xml:space="preserve">Appendix A and Appendix B</w:t>
            </w:r>
          </w:p>
        </w:tc>
        <w:tc>
          <w:tcPr>
            <w:tcW w:type="dxa" w:w="800"/>
            <w:vAlign w:val="center"/>
            <w:shd w:fill="F2F6F8"/>
          </w:tcPr>
          <w:p>
            <w:pPr>
              <w:spacing w:after="0"/>
            </w:pPr>
            <w:r>
              <w:rPr>
                <w:rFonts w:ascii="Aptos" w:hAnsi="Aptos"/>
                <w:b w:val="0"/>
                <w:sz w:val="15"/>
              </w:rPr>
              <w:fldChar w:fldCharType="begin"/>
            </w:r>
            <w:r>
              <w:rPr>
                <w:rFonts w:ascii="Aptos" w:hAnsi="Aptos"/>
                <w:b w:val="0"/>
                <w:sz w:val="15"/>
              </w:rPr>
              <w:instrText xml:space="preserve"> PAGEREF gm_appA \h </w:instrText>
            </w:r>
            <w:r>
              <w:rPr>
                <w:rFonts w:ascii="Aptos" w:hAnsi="Aptos"/>
                <w:b w:val="0"/>
                <w:sz w:val="15"/>
              </w:rPr>
              <w:fldChar w:fldCharType="separate"/>
            </w:r>
            <w:r>
              <w:rPr>
                <w:rFonts w:ascii="Aptos" w:hAnsi="Aptos"/>
                <w:b w:val="0"/>
                <w:sz w:val="15"/>
              </w:rPr>
              <w:t>33</w:t>
            </w:r>
            <w:r>
              <w:rPr>
                <w:rFonts w:ascii="Aptos" w:hAnsi="Aptos"/>
                <w:b w:val="0"/>
                <w:sz w:val="15"/>
              </w:rPr>
              <w:fldChar w:fldCharType="end"/>
            </w:r>
          </w:p>
        </w:tc>
      </w:tr>
    </w:tbl>
    <w:p>
      <w:pPr>
        <w:spacing w:after="0"/>
      </w:pPr>
    </w:p>
    <w:p>
      <w:r>
        <w:br w:type="page"/>
      </w:r>
    </w:p>
    <w:p>
      <w:pPr>
        <w:pStyle w:val="Heading1"/>
      </w:pPr>
      <w:r>
        <w:t>1. Purpose, scope and governing principles</w:t>
      </w:r>
    </w:p>
    <w:p>
      <w:bookmarkStart w:id="9001" w:name="gm_c1_intro"/>
      <w:r>
        <w:t>VendorVerse helps individuals and businesses discover suitable vendors and manage service booking and quotation-request workflows. It is designed as a global universal vendor marketplace for every industry, category, service provider, supplier, manufacturer, contractor and business vendor worldwide. The initial public launch is limited to selected cities and categories, and search results remain constrained by category, service area, publication eligibility, verification requirements, market activation and relevance.</w:t>
      </w:r>
      <w:bookmarkEnd w:id="9001"/>
    </w:p>
    <w:p>
      <w:pPr>
        <w:pStyle w:val="ListBullet"/>
      </w:pPr>
      <w:r>
        <w:t>One user identity can switch between customer and vendor modes. A user may participate in customer journeys while owning a vendor organization.</w:t>
      </w:r>
    </w:p>
    <w:p>
      <w:pPr>
        <w:pStyle w:val="ListBullet"/>
      </w:pPr>
      <w:r>
        <w:t>Core business rules must be consistent across web, Android and iOS. UI presentation may differ where platform conventions require it, but permission checks, state transitions and validation must not.</w:t>
      </w:r>
    </w:p>
    <w:p>
      <w:pPr>
        <w:pStyle w:val="ListBullet"/>
      </w:pPr>
      <w:r>
        <w:t>Release 1 does not collect or settle customer-to-vendor service payments. VendorVerse manages platform subscriptions and may sell clearly labelled sponsored visibility.</w:t>
      </w:r>
    </w:p>
    <w:p>
      <w:pPr>
        <w:pStyle w:val="ListBullet"/>
      </w:pPr>
      <w:r>
        <w:t>Publication is a gated state, not a simple boolean: the vendor account, subscription eligibility, listing review and applicable verification must all permit publication.</w:t>
      </w:r>
    </w:p>
    <w:p>
      <w:pPr>
        <w:pStyle w:val="ListBullet"/>
      </w:pPr>
      <w:r>
        <w:t>All sensitive actions are authorized server-side. UI hiding is not a security control.</w:t>
      </w:r>
    </w:p>
    <w:p>
      <w:pPr>
        <w:pStyle w:val="ListBullet"/>
      </w:pPr>
      <w:r>
        <w:t>Missing data is displayed transparently. Never infer or fabricate price, availability, credentials, rating, review count, verification or experience.</w:t>
      </w:r>
    </w:p>
    <w:p>
      <w:pPr>
        <w:pStyle w:val="ListBullet"/>
      </w:pPr>
      <w:r>
        <w:t>Administrative decisions and important business transitions must be auditable.</w:t>
      </w:r>
    </w:p>
    <w:p>
      <w:pPr>
        <w:pStyle w:val="ListBullet"/>
      </w:pPr>
      <w:r>
        <w:t>Category-specific differences should be configuration-driven where practical, not copied into separate hard-coded implementations.</w:t>
      </w:r>
    </w:p>
    <w:p>
      <w:pPr>
        <w:pStyle w:val="ListBullet"/>
      </w:pPr>
      <w:bookmarkStart w:id="9002" w:name="gm_c1_bul"/>
      <w:r>
        <w:rPr>
          <w:b/>
        </w:rPr>
        <w:t xml:space="preserve">Global by design, local by launch. </w:t>
      </w:r>
      <w:r>
        <w:t xml:space="preserve">Country, state, city, currency, language, tax setting and payment mode are market configuration, not hard-coded behavior. Public availability in any market is a controlled decision (§26.11).</w:t>
      </w:r>
      <w:bookmarkEnd w:id="9002"/>
    </w:p>
    <w:p>
      <w:pPr>
        <w:pStyle w:val="ListBullet"/>
      </w:pPr>
      <w:r>
        <w:rPr>
          <w:b/>
        </w:rPr>
        <w:t xml:space="preserve">Explicit geography. </w:t>
      </w:r>
      <w:r>
        <w:t xml:space="preserve">Cross-border information is shown transparently: coverage, ships-to countries, currency and trade terms are explicit and never assumed.</w:t>
      </w:r>
    </w:p>
    <w:p>
      <w:pPr>
        <w:pStyle w:val="Heading2"/>
      </w:pPr>
      <w:r>
        <w:t>1.1 Requirement language</w:t>
      </w:r>
    </w:p>
    <w:p>
      <w:r>
        <w:t>“Must” means mandatory for Release 1. “Should” means strongly recommended unless a documented reason prevents it. “May” means optional or configurable. “Future” means excluded from the Release 1 delivery commitment.</w:t>
      </w:r>
    </w:p>
    <w:p>
      <w:bookmarkStart w:id="9003" w:name="gm_c11"/>
      <w:r>
        <w:rPr>
          <w:b/>
        </w:rPr>
        <w:t xml:space="preserve">v3.0 note. </w:t>
      </w:r>
      <w:r>
        <w:t xml:space="preserve">Chapter 26 clarification: for global-marketplace requirements, “must” applies to the release wave in which the capability is enabled (§26.11). Capabilities marked “gated” are specified now and stay disabled until their open decisions (CFG-13 to CFG-19) are closed.</w:t>
      </w:r>
      <w:bookmarkEnd w:id="9003"/>
    </w:p>
    <w:p>
      <w:pPr>
        <w:pStyle w:val="Heading2"/>
      </w:pPr>
      <w:r>
        <w:t>1.2 Source and decision precedence</w:t>
      </w:r>
    </w:p>
    <w:p>
      <w:r>
        <w:t>This specification expands the uploaded VendorVerse Enhanced Feature List and Developer PRD using the confirmed product decisions. Where an earlier draft or example conflicts with a confirmed decision, the confirmed decision takes precedence. This document distinguishes confirmed behavior from open configuration instead of silently inventing values.</w:t>
      </w:r>
    </w:p>
    <w:p>
      <w:bookmarkStart w:id="9004" w:name="gm_c12"/>
      <w:r>
        <w:rPr>
          <w:b/>
        </w:rPr>
        <w:t xml:space="preserve">v3.0 precedence. </w:t>
      </w:r>
      <w:r>
        <w:t xml:space="preserve">Chapter 26 (v3.0) supersedes earlier statements that limited scope to India or to a single launch geography. All other confirmed decisions remain in force. New behavior that needs a business or legal decision is recorded as open configuration (CFG-13 to CFG-19) rather than stated as confirmed.</w:t>
      </w:r>
      <w:bookmarkEnd w:id="9004"/>
    </w:p>
    <w:p>
      <w:pPr>
        <w:pStyle w:val="Heading2"/>
      </w:pPr>
      <w:r>
        <w:t>1.3 Product objectives</w:t>
      </w:r>
    </w:p>
    <w:p>
      <w:pPr>
        <w:pStyle w:val="ListBullet"/>
      </w:pPr>
      <w:r>
        <w:t>Improve discovery of relevant vendors serving a customer's location.</w:t>
      </w:r>
    </w:p>
    <w:p>
      <w:pPr>
        <w:pStyle w:val="ListBullet"/>
      </w:pPr>
      <w:r>
        <w:t>Make vendor trust, verification, availability and missing information understandable.</w:t>
      </w:r>
    </w:p>
    <w:p>
      <w:pPr>
        <w:pStyle w:val="ListBullet"/>
      </w:pPr>
      <w:r>
        <w:t>Convert discovery into structured booking requests and RFQs with traceable states.</w:t>
      </w:r>
    </w:p>
    <w:p>
      <w:pPr>
        <w:pStyle w:val="ListBullet"/>
      </w:pPr>
      <w:r>
        <w:t>Provide vendors with simple tools to manage listings, requests, quotes and customer conversations.</w:t>
      </w:r>
    </w:p>
    <w:p>
      <w:pPr>
        <w:pStyle w:val="ListBullet"/>
      </w:pPr>
      <w:r>
        <w:t>Support sustainable subscription monetization without using paid plan tier as a quality signal.</w:t>
      </w:r>
    </w:p>
    <w:p>
      <w:pPr>
        <w:pStyle w:val="ListBullet"/>
      </w:pPr>
      <w:r>
        <w:t>Reduce fraud, misleading listings, unauthorized access, unresolved support cases and ambiguous transaction commitments.</w:t>
      </w:r>
    </w:p>
    <w:p>
      <w:pPr>
        <w:pStyle w:val="ListBullet"/>
      </w:pPr>
      <w:bookmarkStart w:id="9005" w:name="gm_c13"/>
      <w:r>
        <w:rPr>
          <w:b/>
        </w:rPr>
        <w:t xml:space="preserve">Global reach. </w:t>
      </w:r>
      <w:r>
        <w:t xml:space="preserve">Enable vendors of every industry and type — service providers, contractors, suppliers and manufacturers — to be discovered by customers worldwide through one consistent marketplace.</w:t>
      </w:r>
      <w:bookmarkEnd w:id="9005"/>
    </w:p>
    <w:p>
      <w:pPr>
        <w:pStyle w:val="ListBullet"/>
      </w:pPr>
      <w:r>
        <w:rPr>
          <w:b/>
        </w:rPr>
        <w:t xml:space="preserve">Focused launch. </w:t>
      </w:r>
      <w:r>
        <w:t xml:space="preserve">Launch in selected cities and categories first, and expand market by market through controlled activation rather than a single big-bang launch.</w:t>
      </w:r>
    </w:p>
    <w:p>
      <w:pPr>
        <w:pStyle w:val="Heading1"/>
      </w:pPr>
      <w:r>
        <w:t>2. Release scope and exclusions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Scope area</w:t>
            </w:r>
          </w:p>
        </w:tc>
        <w:tc>
          <w:tcPr>
            <w:tcW w:type="dxa" w:w="3408"/>
            <w:vAlign w:val="center"/>
            <w:shd w:fill="10253F"/>
          </w:tcPr>
          <w:p>
            <w:pPr>
              <w:spacing w:after="0"/>
            </w:pPr>
            <w:r/>
            <w:r>
              <w:rPr>
                <w:rFonts w:ascii="Aptos" w:hAnsi="Aptos"/>
                <w:b/>
                <w:color w:val="FFFFFF"/>
                <w:sz w:val="16"/>
              </w:rPr>
              <w:t>Release 1 treatment</w:t>
            </w:r>
          </w:p>
        </w:tc>
        <w:tc>
          <w:tcPr>
            <w:tcW w:type="dxa" w:w="3408"/>
            <w:vAlign w:val="center"/>
            <w:shd w:fill="10253F"/>
          </w:tcPr>
          <w:p>
            <w:pPr>
              <w:spacing w:after="0"/>
            </w:pPr>
            <w:r/>
            <w:r>
              <w:rPr>
                <w:rFonts w:ascii="Aptos" w:hAnsi="Aptos"/>
                <w:b/>
                <w:color w:val="FFFFFF"/>
                <w:sz w:val="16"/>
              </w:rPr>
              <w:t>Boundary / note</w:t>
            </w:r>
          </w:p>
        </w:tc>
      </w:tr>
      <w:tr>
        <w:tc>
          <w:tcPr>
            <w:tcW w:type="dxa" w:w="3408"/>
            <w:vAlign w:val="center"/>
          </w:tcPr>
          <w:p>
            <w:pPr>
              <w:spacing w:after="0"/>
            </w:pPr>
            <w:r/>
            <w:r>
              <w:rPr>
                <w:rFonts w:ascii="Aptos" w:hAnsi="Aptos"/>
                <w:b w:val="0"/>
                <w:sz w:val="15"/>
              </w:rPr>
              <w:t>Discovery and search</w:t>
            </w:r>
          </w:p>
        </w:tc>
        <w:tc>
          <w:tcPr>
            <w:tcW w:type="dxa" w:w="3408"/>
            <w:vAlign w:val="center"/>
          </w:tcPr>
          <w:p>
            <w:pPr>
              <w:spacing w:after="0"/>
            </w:pPr>
            <w:r/>
            <w:r>
              <w:rPr>
                <w:rFonts w:ascii="Aptos" w:hAnsi="Aptos"/>
                <w:b w:val="0"/>
                <w:sz w:val="15"/>
              </w:rPr>
              <w:t>Included</w:t>
            </w:r>
          </w:p>
        </w:tc>
        <w:tc>
          <w:tcPr>
            <w:tcW w:type="dxa" w:w="3408"/>
            <w:vAlign w:val="center"/>
          </w:tcPr>
          <w:p>
            <w:pPr>
              <w:spacing w:after="0"/>
            </w:pPr>
            <w:r/>
            <w:r>
              <w:rPr>
                <w:rFonts w:ascii="Aptos" w:hAnsi="Aptos"/>
                <w:b w:val="0"/>
                <w:sz w:val="15"/>
              </w:rPr>
              <w:t>Category, keyword, location/service-area matching, filters, listing detail and organic ranking.</w:t>
            </w:r>
          </w:p>
        </w:tc>
      </w:tr>
      <w:tr>
        <w:tc>
          <w:tcPr>
            <w:tcW w:type="dxa" w:w="3408"/>
            <w:vAlign w:val="center"/>
            <w:shd w:fill="F2F6F8"/>
          </w:tcPr>
          <w:p>
            <w:pPr>
              <w:spacing w:after="0"/>
            </w:pPr>
            <w:r/>
            <w:r>
              <w:rPr>
                <w:rFonts w:ascii="Aptos" w:hAnsi="Aptos"/>
                <w:b w:val="0"/>
                <w:sz w:val="15"/>
              </w:rPr>
              <w:t>Vendor onboarding/listings</w:t>
            </w:r>
          </w:p>
        </w:tc>
        <w:tc>
          <w:tcPr>
            <w:tcW w:type="dxa" w:w="3408"/>
            <w:vAlign w:val="center"/>
            <w:shd w:fill="F2F6F8"/>
          </w:tcPr>
          <w:p>
            <w:pPr>
              <w:spacing w:after="0"/>
            </w:pPr>
            <w:r/>
            <w:r>
              <w:rPr>
                <w:rFonts w:ascii="Aptos" w:hAnsi="Aptos"/>
                <w:b w:val="0"/>
                <w:sz w:val="15"/>
              </w:rPr>
              <w:t>Included</w:t>
            </w:r>
          </w:p>
        </w:tc>
        <w:tc>
          <w:tcPr>
            <w:tcW w:type="dxa" w:w="3408"/>
            <w:vAlign w:val="center"/>
            <w:shd w:fill="F2F6F8"/>
          </w:tcPr>
          <w:p>
            <w:pPr>
              <w:spacing w:after="0"/>
            </w:pPr>
            <w:r/>
            <w:r>
              <w:rPr>
                <w:rFonts w:ascii="Aptos" w:hAnsi="Aptos"/>
                <w:b w:val="0"/>
                <w:sz w:val="15"/>
              </w:rPr>
              <w:t>Owner-managed profiles/listings, publication gates, review, verification and duplicate detection.</w:t>
            </w:r>
          </w:p>
        </w:tc>
      </w:tr>
      <w:tr>
        <w:tc>
          <w:tcPr>
            <w:tcW w:type="dxa" w:w="3408"/>
            <w:vAlign w:val="center"/>
          </w:tcPr>
          <w:p>
            <w:pPr>
              <w:spacing w:after="0"/>
            </w:pPr>
            <w:r/>
            <w:r>
              <w:rPr>
                <w:rFonts w:ascii="Aptos" w:hAnsi="Aptos"/>
                <w:b w:val="0"/>
                <w:sz w:val="15"/>
              </w:rPr>
              <w:t>Service booking</w:t>
            </w:r>
          </w:p>
        </w:tc>
        <w:tc>
          <w:tcPr>
            <w:tcW w:type="dxa" w:w="3408"/>
            <w:vAlign w:val="center"/>
          </w:tcPr>
          <w:p>
            <w:pPr>
              <w:spacing w:after="0"/>
            </w:pPr>
            <w:r/>
            <w:r>
              <w:rPr>
                <w:rFonts w:ascii="Aptos" w:hAnsi="Aptos"/>
                <w:b w:val="0"/>
                <w:sz w:val="15"/>
              </w:rPr>
              <w:t>Included</w:t>
            </w:r>
          </w:p>
        </w:tc>
        <w:tc>
          <w:tcPr>
            <w:tcW w:type="dxa" w:w="3408"/>
            <w:vAlign w:val="center"/>
          </w:tcPr>
          <w:p>
            <w:pPr>
              <w:spacing w:after="0"/>
            </w:pPr>
            <w:r/>
            <w:r>
              <w:rPr>
                <w:rFonts w:ascii="Aptos" w:hAnsi="Aptos"/>
                <w:b w:val="0"/>
                <w:sz w:val="15"/>
              </w:rPr>
              <w:t>Request/accept/decline/expire, confirmation, modification, cancellation, completion and issue reporting.</w:t>
            </w:r>
          </w:p>
        </w:tc>
      </w:tr>
      <w:tr>
        <w:tc>
          <w:tcPr>
            <w:tcW w:type="dxa" w:w="3408"/>
            <w:vAlign w:val="center"/>
            <w:shd w:fill="F2F6F8"/>
          </w:tcPr>
          <w:p>
            <w:pPr>
              <w:spacing w:after="0"/>
            </w:pPr>
            <w:r/>
            <w:r>
              <w:rPr>
                <w:rFonts w:ascii="Aptos" w:hAnsi="Aptos"/>
                <w:b w:val="0"/>
                <w:sz w:val="15"/>
              </w:rPr>
              <w:t>RFQ and quotations</w:t>
            </w:r>
          </w:p>
        </w:tc>
        <w:tc>
          <w:tcPr>
            <w:tcW w:type="dxa" w:w="3408"/>
            <w:vAlign w:val="center"/>
            <w:shd w:fill="F2F6F8"/>
          </w:tcPr>
          <w:p>
            <w:pPr>
              <w:spacing w:after="0"/>
            </w:pPr>
            <w:r/>
            <w:r>
              <w:rPr>
                <w:rFonts w:ascii="Aptos" w:hAnsi="Aptos"/>
                <w:b w:val="0"/>
                <w:sz w:val="15"/>
              </w:rPr>
              <w:t>Included</w:t>
            </w:r>
          </w:p>
        </w:tc>
        <w:tc>
          <w:tcPr>
            <w:tcW w:type="dxa" w:w="3408"/>
            <w:vAlign w:val="center"/>
            <w:shd w:fill="F2F6F8"/>
          </w:tcPr>
          <w:p>
            <w:pPr>
              <w:spacing w:after="0"/>
            </w:pPr>
            <w:r/>
            <w:r>
              <w:rPr>
                <w:rFonts w:ascii="Aptos" w:hAnsi="Aptos"/>
                <w:b w:val="0"/>
                <w:sz w:val="15"/>
              </w:rPr>
              <w:t>Structured RFQ, vendor responses, negotiation, validity, one accepted quote, accepted-terms snapshot.</w:t>
            </w:r>
          </w:p>
        </w:tc>
      </w:tr>
      <w:tr>
        <w:tc>
          <w:tcPr>
            <w:tcW w:type="dxa" w:w="3408"/>
            <w:vAlign w:val="center"/>
          </w:tcPr>
          <w:p>
            <w:pPr>
              <w:spacing w:after="0"/>
            </w:pPr>
            <w:r/>
            <w:r>
              <w:rPr>
                <w:rFonts w:ascii="Aptos" w:hAnsi="Aptos"/>
                <w:b w:val="0"/>
                <w:sz w:val="15"/>
              </w:rPr>
              <w:t>Messaging/notifications</w:t>
            </w:r>
          </w:p>
        </w:tc>
        <w:tc>
          <w:tcPr>
            <w:tcW w:type="dxa" w:w="3408"/>
            <w:vAlign w:val="center"/>
          </w:tcPr>
          <w:p>
            <w:pPr>
              <w:spacing w:after="0"/>
            </w:pPr>
            <w:r/>
            <w:r>
              <w:rPr>
                <w:rFonts w:ascii="Aptos" w:hAnsi="Aptos"/>
                <w:b w:val="0"/>
                <w:sz w:val="15"/>
              </w:rPr>
              <w:t>Included</w:t>
            </w:r>
          </w:p>
        </w:tc>
        <w:tc>
          <w:tcPr>
            <w:tcW w:type="dxa" w:w="3408"/>
            <w:vAlign w:val="center"/>
          </w:tcPr>
          <w:p>
            <w:pPr>
              <w:spacing w:after="0"/>
            </w:pPr>
            <w:r/>
            <w:r>
              <w:rPr>
                <w:rFonts w:ascii="Aptos" w:hAnsi="Aptos"/>
                <w:b w:val="0"/>
                <w:sz w:val="15"/>
              </w:rPr>
              <w:t>In-app conversations tied to transactions, privacy controls and transactional alerts.</w:t>
            </w:r>
          </w:p>
        </w:tc>
      </w:tr>
      <w:tr>
        <w:tc>
          <w:tcPr>
            <w:tcW w:type="dxa" w:w="3408"/>
            <w:vAlign w:val="center"/>
            <w:shd w:fill="F2F6F8"/>
          </w:tcPr>
          <w:p>
            <w:pPr>
              <w:spacing w:after="0"/>
            </w:pPr>
            <w:r/>
            <w:r>
              <w:rPr>
                <w:rFonts w:ascii="Aptos" w:hAnsi="Aptos"/>
                <w:b w:val="0"/>
                <w:sz w:val="15"/>
              </w:rPr>
              <w:t>Subscription/visibility</w:t>
            </w:r>
          </w:p>
        </w:tc>
        <w:tc>
          <w:tcPr>
            <w:tcW w:type="dxa" w:w="3408"/>
            <w:vAlign w:val="center"/>
            <w:shd w:fill="F2F6F8"/>
          </w:tcPr>
          <w:p>
            <w:pPr>
              <w:spacing w:after="0"/>
            </w:pPr>
            <w:r/>
            <w:r>
              <w:rPr>
                <w:rFonts w:ascii="Aptos" w:hAnsi="Aptos"/>
                <w:b w:val="0"/>
                <w:sz w:val="15"/>
              </w:rPr>
              <w:t>Included</w:t>
            </w:r>
          </w:p>
        </w:tc>
        <w:tc>
          <w:tcPr>
            <w:tcW w:type="dxa" w:w="3408"/>
            <w:vAlign w:val="center"/>
            <w:shd w:fill="F2F6F8"/>
          </w:tcPr>
          <w:p>
            <w:pPr>
              <w:spacing w:after="0"/>
            </w:pPr>
            <w:r/>
            <w:r>
              <w:rPr>
                <w:rFonts w:ascii="Aptos" w:hAnsi="Aptos"/>
                <w:b w:val="0"/>
                <w:sz w:val="15"/>
              </w:rPr>
              <w:t>Paid publication eligibility, plan entitlements, renewal grace, expiry handling and sponsored labels.</w:t>
            </w:r>
          </w:p>
        </w:tc>
      </w:tr>
      <w:tr>
        <w:tc>
          <w:tcPr>
            <w:tcW w:type="dxa" w:w="3408"/>
            <w:vAlign w:val="center"/>
          </w:tcPr>
          <w:p>
            <w:pPr>
              <w:spacing w:after="0"/>
            </w:pPr>
            <w:r/>
            <w:r>
              <w:rPr>
                <w:rFonts w:ascii="Aptos" w:hAnsi="Aptos"/>
                <w:b w:val="0"/>
                <w:sz w:val="15"/>
              </w:rPr>
              <w:t>Reviews/trust/support</w:t>
            </w:r>
          </w:p>
        </w:tc>
        <w:tc>
          <w:tcPr>
            <w:tcW w:type="dxa" w:w="3408"/>
            <w:vAlign w:val="center"/>
          </w:tcPr>
          <w:p>
            <w:pPr>
              <w:spacing w:after="0"/>
            </w:pPr>
            <w:r/>
            <w:r>
              <w:rPr>
                <w:rFonts w:ascii="Aptos" w:hAnsi="Aptos"/>
                <w:b w:val="0"/>
                <w:sz w:val="15"/>
              </w:rPr>
              <w:t>Included</w:t>
            </w:r>
          </w:p>
        </w:tc>
        <w:tc>
          <w:tcPr>
            <w:tcW w:type="dxa" w:w="3408"/>
            <w:vAlign w:val="center"/>
          </w:tcPr>
          <w:p>
            <w:pPr>
              <w:spacing w:after="0"/>
            </w:pPr>
            <w:r/>
            <w:r>
              <w:rPr>
                <w:rFonts w:ascii="Aptos" w:hAnsi="Aptos"/>
                <w:b w:val="0"/>
                <w:sz w:val="15"/>
              </w:rPr>
              <w:t>Eligible reviews, reporting, moderation, appeals, support and proportionate platform enforcement.</w:t>
            </w:r>
          </w:p>
        </w:tc>
      </w:tr>
      <w:tr>
        <w:tc>
          <w:tcPr>
            <w:tcW w:type="dxa" w:w="3408"/>
            <w:vAlign w:val="center"/>
            <w:shd w:fill="F2F6F8"/>
          </w:tcPr>
          <w:p>
            <w:pPr>
              <w:spacing w:after="0"/>
            </w:pPr>
            <w:r/>
            <w:r>
              <w:rPr>
                <w:rFonts w:ascii="Aptos" w:hAnsi="Aptos"/>
                <w:b w:val="0"/>
                <w:sz w:val="15"/>
              </w:rPr>
              <w:t>Direct service payments</w:t>
            </w:r>
          </w:p>
        </w:tc>
        <w:tc>
          <w:tcPr>
            <w:tcW w:type="dxa" w:w="3408"/>
            <w:vAlign w:val="center"/>
            <w:shd w:fill="F2F6F8"/>
          </w:tcPr>
          <w:p>
            <w:pPr>
              <w:spacing w:after="0"/>
            </w:pPr>
            <w:r/>
            <w:r>
              <w:rPr>
                <w:rFonts w:ascii="Aptos" w:hAnsi="Aptos"/>
                <w:b w:val="0"/>
                <w:sz w:val="15"/>
              </w:rPr>
              <w:t>Excluded</w:t>
            </w:r>
          </w:p>
        </w:tc>
        <w:tc>
          <w:tcPr>
            <w:tcW w:type="dxa" w:w="3408"/>
            <w:vAlign w:val="center"/>
            <w:shd w:fill="F2F6F8"/>
          </w:tcPr>
          <w:p>
            <w:pPr>
              <w:spacing w:after="0"/>
            </w:pPr>
            <w:r/>
            <w:r>
              <w:rPr>
                <w:rFonts w:ascii="Aptos" w:hAnsi="Aptos"/>
                <w:b w:val="0"/>
                <w:sz w:val="15"/>
              </w:rPr>
              <w:t>Customer pays vendor directly; no platform-held service payments, escrow or payouts. This is the Release 1 baseline; gated future payment modes are described in §26.9.</w:t>
            </w:r>
          </w:p>
        </w:tc>
      </w:tr>
      <w:tr>
        <w:tc>
          <w:tcPr>
            <w:tcW w:type="dxa" w:w="3408"/>
            <w:vAlign w:val="center"/>
          </w:tcPr>
          <w:p>
            <w:pPr>
              <w:spacing w:after="0"/>
            </w:pPr>
            <w:r/>
            <w:r>
              <w:rPr>
                <w:rFonts w:ascii="Aptos" w:hAnsi="Aptos"/>
                <w:b w:val="0"/>
                <w:sz w:val="15"/>
              </w:rPr>
              <w:t>Product checkout/orders</w:t>
            </w:r>
          </w:p>
        </w:tc>
        <w:tc>
          <w:tcPr>
            <w:tcW w:type="dxa" w:w="3408"/>
            <w:vAlign w:val="center"/>
          </w:tcPr>
          <w:p>
            <w:pPr>
              <w:spacing w:after="0"/>
            </w:pPr>
            <w:r/>
            <w:r>
              <w:rPr>
                <w:rFonts w:ascii="Aptos" w:hAnsi="Aptos"/>
                <w:b w:val="0"/>
                <w:sz w:val="15"/>
              </w:rPr>
              <w:t>Future</w:t>
            </w:r>
          </w:p>
        </w:tc>
        <w:tc>
          <w:tcPr>
            <w:tcW w:type="dxa" w:w="3408"/>
            <w:vAlign w:val="center"/>
          </w:tcPr>
          <w:p>
            <w:pPr>
              <w:spacing w:after="0"/>
            </w:pPr>
            <w:r/>
            <w:r>
              <w:rPr>
                <w:rFonts w:ascii="Aptos" w:hAnsi="Aptos"/>
                <w:b w:val="0"/>
                <w:sz w:val="15"/>
              </w:rPr>
              <w:t>No cart, inventory checkout, shipping, return/refund transaction engine in Release 1.</w:t>
            </w:r>
          </w:p>
        </w:tc>
      </w:tr>
      <w:tr>
        <w:tc>
          <w:tcPr>
            <w:tcW w:type="dxa" w:w="3408"/>
            <w:vAlign w:val="center"/>
            <w:shd w:fill="F2F6F8"/>
          </w:tcPr>
          <w:p>
            <w:pPr>
              <w:spacing w:after="0"/>
            </w:pPr>
            <w:r/>
            <w:r>
              <w:rPr>
                <w:rFonts w:ascii="Aptos" w:hAnsi="Aptos"/>
                <w:b w:val="0"/>
                <w:sz w:val="15"/>
              </w:rPr>
              <w:t>Vendor staff/team accounts</w:t>
            </w:r>
          </w:p>
        </w:tc>
        <w:tc>
          <w:tcPr>
            <w:tcW w:type="dxa" w:w="3408"/>
            <w:vAlign w:val="center"/>
            <w:shd w:fill="F2F6F8"/>
          </w:tcPr>
          <w:p>
            <w:pPr>
              <w:spacing w:after="0"/>
            </w:pPr>
            <w:r/>
            <w:r>
              <w:rPr>
                <w:rFonts w:ascii="Aptos" w:hAnsi="Aptos"/>
                <w:b w:val="0"/>
                <w:sz w:val="15"/>
              </w:rPr>
              <w:t>Future</w:t>
            </w:r>
          </w:p>
        </w:tc>
        <w:tc>
          <w:tcPr>
            <w:tcW w:type="dxa" w:w="3408"/>
            <w:vAlign w:val="center"/>
            <w:shd w:fill="F2F6F8"/>
          </w:tcPr>
          <w:p>
            <w:pPr>
              <w:spacing w:after="0"/>
            </w:pPr>
            <w:r/>
            <w:r>
              <w:rPr>
                <w:rFonts w:ascii="Aptos" w:hAnsi="Aptos"/>
                <w:b w:val="0"/>
                <w:sz w:val="15"/>
              </w:rPr>
              <w:t>Vendor organization is owner-managed in Release 1.</w:t>
            </w:r>
          </w:p>
        </w:tc>
      </w:tr>
      <w:tr>
        <w:tc>
          <w:tcPr>
            <w:tcW w:type="dxa" w:w="3408"/>
            <w:vAlign w:val="center"/>
          </w:tcPr>
          <w:p>
            <w:pPr>
              <w:spacing w:after="0"/>
            </w:pPr>
            <w:r/>
            <w:r>
              <w:rPr>
                <w:rFonts w:ascii="Aptos" w:hAnsi="Aptos"/>
                <w:b w:val="0"/>
                <w:sz w:val="15"/>
              </w:rPr>
              <w:t>Enterprise procurement</w:t>
            </w:r>
          </w:p>
        </w:tc>
        <w:tc>
          <w:tcPr>
            <w:tcW w:type="dxa" w:w="3408"/>
            <w:vAlign w:val="center"/>
          </w:tcPr>
          <w:p>
            <w:pPr>
              <w:spacing w:after="0"/>
            </w:pPr>
            <w:r/>
            <w:r>
              <w:rPr>
                <w:rFonts w:ascii="Aptos" w:hAnsi="Aptos"/>
                <w:b w:val="0"/>
                <w:sz w:val="15"/>
              </w:rPr>
              <w:t>Future</w:t>
            </w:r>
          </w:p>
        </w:tc>
        <w:tc>
          <w:tcPr>
            <w:tcW w:type="dxa" w:w="3408"/>
            <w:vAlign w:val="center"/>
          </w:tcPr>
          <w:p>
            <w:pPr>
              <w:spacing w:after="0"/>
            </w:pPr>
            <w:r/>
            <w:r>
              <w:rPr>
                <w:rFonts w:ascii="Aptos" w:hAnsi="Aptos"/>
                <w:b w:val="0"/>
                <w:sz w:val="15"/>
              </w:rPr>
              <w:t>Approval chains, purchase orders, budgets and cost centres deferred.</w:t>
            </w:r>
          </w:p>
        </w:tc>
      </w:tr>
      <w:tr>
        <w:tc>
          <w:tcPr>
            <w:tcW w:type="dxa" w:w="3408"/>
            <w:vAlign w:val="center"/>
            <w:shd w:fill="F2F6F8"/>
          </w:tcPr>
          <w:p>
            <w:pPr>
              <w:spacing w:after="0"/>
            </w:pPr>
            <w:r/>
            <w:r>
              <w:rPr>
                <w:rFonts w:ascii="Aptos" w:hAnsi="Aptos"/>
                <w:b w:val="0"/>
                <w:sz w:val="15"/>
              </w:rPr>
              <w:t>AI workflows/field operations</w:t>
            </w:r>
          </w:p>
        </w:tc>
        <w:tc>
          <w:tcPr>
            <w:tcW w:type="dxa" w:w="3408"/>
            <w:vAlign w:val="center"/>
            <w:shd w:fill="F2F6F8"/>
          </w:tcPr>
          <w:p>
            <w:pPr>
              <w:spacing w:after="0"/>
            </w:pPr>
            <w:r/>
            <w:r>
              <w:rPr>
                <w:rFonts w:ascii="Aptos" w:hAnsi="Aptos"/>
                <w:b w:val="0"/>
                <w:sz w:val="15"/>
              </w:rPr>
              <w:t>Future</w:t>
            </w:r>
          </w:p>
        </w:tc>
        <w:tc>
          <w:tcPr>
            <w:tcW w:type="dxa" w:w="3408"/>
            <w:vAlign w:val="center"/>
            <w:shd w:fill="F2F6F8"/>
          </w:tcPr>
          <w:p>
            <w:pPr>
              <w:spacing w:after="0"/>
            </w:pPr>
            <w:r/>
            <w:r>
              <w:rPr>
                <w:rFonts w:ascii="Aptos" w:hAnsi="Aptos"/>
                <w:b w:val="0"/>
                <w:sz w:val="15"/>
              </w:rPr>
              <w:t>AI agents, price prediction, GPS check-ins, offline field staff and asset/warranty management deferred.</w:t>
            </w:r>
          </w:p>
        </w:tc>
      </w:tr>
      <w:tr>
        <w:tc>
          <w:tcPr>
            <w:tcW w:type="dxa" w:w="3408"/>
            <w:vAlign w:val="center"/>
          </w:tcPr>
          <w:p>
            <w:pPr>
              <w:spacing w:after="0"/>
            </w:pPr>
            <w:r/>
            <w:r>
              <w:rPr>
                <w:rFonts w:ascii="Aptos" w:hAnsi="Aptos"/>
                <w:b w:val="0"/>
                <w:sz w:val="15"/>
              </w:rPr>
              <w:t>Advanced analytics</w:t>
            </w:r>
          </w:p>
        </w:tc>
        <w:tc>
          <w:tcPr>
            <w:tcW w:type="dxa" w:w="3408"/>
            <w:vAlign w:val="center"/>
          </w:tcPr>
          <w:p>
            <w:pPr>
              <w:spacing w:after="0"/>
            </w:pPr>
            <w:r/>
            <w:r>
              <w:rPr>
                <w:rFonts w:ascii="Aptos" w:hAnsi="Aptos"/>
                <w:b w:val="0"/>
                <w:sz w:val="15"/>
              </w:rPr>
              <w:t>Future</w:t>
            </w:r>
          </w:p>
        </w:tc>
        <w:tc>
          <w:tcPr>
            <w:tcW w:type="dxa" w:w="3408"/>
            <w:vAlign w:val="center"/>
          </w:tcPr>
          <w:p>
            <w:pPr>
              <w:spacing w:after="0"/>
            </w:pPr>
            <w:r/>
            <w:r>
              <w:rPr>
                <w:rFonts w:ascii="Aptos" w:hAnsi="Aptos"/>
                <w:b w:val="0"/>
                <w:sz w:val="15"/>
              </w:rPr>
              <w:t>Basic operational metrics included; advanced intelligence is later scope.</w:t>
            </w:r>
          </w:p>
        </w:tc>
      </w:tr>
      <w:tr>
        <w:trPr>
          <w:cantSplit/>
        </w:trPr>
        <w:tc>
          <w:tcPr>
            <w:tcW w:type="dxa" w:w="3408"/>
            <w:vAlign w:val="center"/>
            <w:shd w:fill="F2F6F8"/>
          </w:tcPr>
          <w:p>
            <w:pPr>
              <w:spacing w:after="0"/>
            </w:pPr>
            <w:bookmarkStart w:id="9006" w:name="gm_c2_row"/>
            <w:r/>
            <w:r>
              <w:rPr>
                <w:rFonts w:ascii="Aptos" w:hAnsi="Aptos"/>
                <w:b w:val="0"/>
                <w:sz w:val="15"/>
              </w:rPr>
              <w:t xml:space="preserve">Global-ready architecture</w:t>
            </w:r>
            <w:bookmarkEnd w:id="9006"/>
          </w:p>
        </w:tc>
        <w:tc>
          <w:tcPr>
            <w:tcW w:type="dxa" w:w="3408"/>
            <w:vAlign w:val="center"/>
            <w:shd w:fill="F2F6F8"/>
          </w:tcPr>
          <w:p>
            <w:pPr>
              <w:spacing w:after="0"/>
            </w:pPr>
            <w:r/>
            <w:r>
              <w:rPr>
                <w:rFonts w:ascii="Aptos" w:hAnsi="Aptos"/>
                <w:b w:val="0"/>
                <w:sz w:val="15"/>
              </w:rPr>
              <w:t xml:space="preserve">Included (architecture)</w:t>
            </w:r>
          </w:p>
        </w:tc>
        <w:tc>
          <w:tcPr>
            <w:tcW w:type="dxa" w:w="3408"/>
            <w:vAlign w:val="center"/>
            <w:shd w:fill="F2F6F8"/>
          </w:tcPr>
          <w:p>
            <w:pPr>
              <w:spacing w:after="0"/>
            </w:pPr>
            <w:r/>
            <w:r>
              <w:rPr>
                <w:rFonts w:ascii="Aptos" w:hAnsi="Aptos"/>
                <w:b w:val="0"/>
                <w:sz w:val="15"/>
              </w:rPr>
              <w:t xml:space="preserve">Multi-country geography, currency, language, tax and payment-mode configuration built from the start; public availability only in activated markets (§26.11).</w:t>
            </w:r>
          </w:p>
        </w:tc>
      </w:tr>
      <w:tr>
        <w:trPr>
          <w:cantSplit/>
        </w:trPr>
        <w:tc>
          <w:tcPr>
            <w:tcW w:type="dxa" w:w="3408"/>
            <w:vAlign w:val="center"/>
          </w:tcPr>
          <w:p>
            <w:pPr>
              <w:spacing w:after="0"/>
            </w:pPr>
            <w:r/>
            <w:r>
              <w:rPr>
                <w:rFonts w:ascii="Aptos" w:hAnsi="Aptos"/>
                <w:b w:val="0"/>
                <w:sz w:val="15"/>
              </w:rPr>
              <w:t xml:space="preserve">Launch markets</w:t>
            </w:r>
          </w:p>
        </w:tc>
        <w:tc>
          <w:tcPr>
            <w:tcW w:type="dxa" w:w="3408"/>
            <w:vAlign w:val="center"/>
          </w:tcPr>
          <w:p>
            <w:pPr>
              <w:spacing w:after="0"/>
            </w:pPr>
            <w:r/>
            <w:r>
              <w:rPr>
                <w:rFonts w:ascii="Aptos" w:hAnsi="Aptos"/>
                <w:b w:val="0"/>
                <w:sz w:val="15"/>
              </w:rPr>
              <w:t xml:space="preserve">Selected cities and categories</w:t>
            </w:r>
          </w:p>
        </w:tc>
        <w:tc>
          <w:tcPr>
            <w:tcW w:type="dxa" w:w="3408"/>
            <w:vAlign w:val="center"/>
          </w:tcPr>
          <w:p>
            <w:pPr>
              <w:spacing w:after="0"/>
            </w:pPr>
            <w:r/>
            <w:r>
              <w:rPr>
                <w:rFonts w:ascii="Aptos" w:hAnsi="Aptos"/>
                <w:b w:val="0"/>
                <w:sz w:val="15"/>
              </w:rPr>
              <w:t xml:space="preserve">The Launch Market Register (CFG-13) controls which cities and categories are publicly live.</w:t>
            </w:r>
          </w:p>
        </w:tc>
      </w:tr>
      <w:tr>
        <w:trPr>
          <w:cantSplit/>
        </w:trPr>
        <w:tc>
          <w:tcPr>
            <w:tcW w:type="dxa" w:w="3408"/>
            <w:vAlign w:val="center"/>
            <w:shd w:fill="F2F6F8"/>
          </w:tcPr>
          <w:p>
            <w:pPr>
              <w:spacing w:after="0"/>
            </w:pPr>
            <w:r/>
            <w:r>
              <w:rPr>
                <w:rFonts w:ascii="Aptos" w:hAnsi="Aptos"/>
                <w:b w:val="0"/>
                <w:sz w:val="15"/>
              </w:rPr>
              <w:t xml:space="preserve">Instant and scheduled bookings</w:t>
            </w:r>
          </w:p>
        </w:tc>
        <w:tc>
          <w:tcPr>
            <w:tcW w:type="dxa" w:w="3408"/>
            <w:vAlign w:val="center"/>
            <w:shd w:fill="F2F6F8"/>
          </w:tcPr>
          <w:p>
            <w:pPr>
              <w:spacing w:after="0"/>
            </w:pPr>
            <w:r/>
            <w:r>
              <w:rPr>
                <w:rFonts w:ascii="Aptos" w:hAnsi="Aptos"/>
                <w:b w:val="0"/>
                <w:sz w:val="15"/>
              </w:rPr>
              <w:t xml:space="preserve">Included</w:t>
            </w:r>
          </w:p>
        </w:tc>
        <w:tc>
          <w:tcPr>
            <w:tcW w:type="dxa" w:w="3408"/>
            <w:vAlign w:val="center"/>
            <w:shd w:fill="F2F6F8"/>
          </w:tcPr>
          <w:p>
            <w:pPr>
              <w:spacing w:after="0"/>
            </w:pPr>
            <w:r/>
            <w:r>
              <w:rPr>
                <w:rFonts w:ascii="Aptos" w:hAnsi="Aptos"/>
                <w:b w:val="0"/>
                <w:sz w:val="15"/>
              </w:rPr>
              <w:t xml:space="preserve">Instant only where availability and price are reliable; scheduled and recurring bookings use request-and-accept (§26.5).</w:t>
            </w:r>
          </w:p>
        </w:tc>
      </w:tr>
      <w:tr>
        <w:trPr>
          <w:cantSplit/>
        </w:trPr>
        <w:tc>
          <w:tcPr>
            <w:tcW w:type="dxa" w:w="3408"/>
            <w:vAlign w:val="center"/>
          </w:tcPr>
          <w:p>
            <w:pPr>
              <w:spacing w:after="0"/>
            </w:pPr>
            <w:r/>
            <w:r>
              <w:rPr>
                <w:rFonts w:ascii="Aptos" w:hAnsi="Aptos"/>
                <w:b w:val="0"/>
                <w:sz w:val="15"/>
              </w:rPr>
              <w:t xml:space="preserve">Contract bookings</w:t>
            </w:r>
          </w:p>
        </w:tc>
        <w:tc>
          <w:tcPr>
            <w:tcW w:type="dxa" w:w="3408"/>
            <w:vAlign w:val="center"/>
          </w:tcPr>
          <w:p>
            <w:pPr>
              <w:spacing w:after="0"/>
            </w:pPr>
            <w:r/>
            <w:r>
              <w:rPr>
                <w:rFonts w:ascii="Aptos" w:hAnsi="Aptos"/>
                <w:b w:val="0"/>
                <w:sz w:val="15"/>
              </w:rPr>
              <w:t xml:space="preserve">Included (category-enabled)</w:t>
            </w:r>
          </w:p>
        </w:tc>
        <w:tc>
          <w:tcPr>
            <w:tcW w:type="dxa" w:w="3408"/>
            <w:vAlign w:val="center"/>
          </w:tcPr>
          <w:p>
            <w:pPr>
              <w:spacing w:after="0"/>
            </w:pPr>
            <w:r/>
            <w:r>
              <w:rPr>
                <w:rFonts w:ascii="Aptos" w:hAnsi="Aptos"/>
                <w:b w:val="0"/>
                <w:sz w:val="15"/>
              </w:rPr>
              <w:t xml:space="preserve">Formal ongoing or multi-phase agreements with versioned, two-party-accepted terms (§26.5).</w:t>
            </w:r>
          </w:p>
        </w:tc>
      </w:tr>
      <w:tr>
        <w:trPr>
          <w:cantSplit/>
        </w:trPr>
        <w:tc>
          <w:tcPr>
            <w:tcW w:type="dxa" w:w="3408"/>
            <w:vAlign w:val="center"/>
            <w:shd w:fill="F2F6F8"/>
          </w:tcPr>
          <w:p>
            <w:pPr>
              <w:spacing w:after="0"/>
            </w:pPr>
            <w:r/>
            <w:r>
              <w:rPr>
                <w:rFonts w:ascii="Aptos" w:hAnsi="Aptos"/>
                <w:b w:val="0"/>
                <w:sz w:val="15"/>
              </w:rPr>
              <w:t xml:space="preserve">Supplier and manufacturer listings</w:t>
            </w:r>
          </w:p>
        </w:tc>
        <w:tc>
          <w:tcPr>
            <w:tcW w:type="dxa" w:w="3408"/>
            <w:vAlign w:val="center"/>
            <w:shd w:fill="F2F6F8"/>
          </w:tcPr>
          <w:p>
            <w:pPr>
              <w:spacing w:after="0"/>
            </w:pPr>
            <w:r/>
            <w:r>
              <w:rPr>
                <w:rFonts w:ascii="Aptos" w:hAnsi="Aptos"/>
                <w:b w:val="0"/>
                <w:sz w:val="15"/>
              </w:rPr>
              <w:t xml:space="preserve">Included (catalogue and enquiry)</w:t>
            </w:r>
          </w:p>
        </w:tc>
        <w:tc>
          <w:tcPr>
            <w:tcW w:type="dxa" w:w="3408"/>
            <w:vAlign w:val="center"/>
            <w:shd w:fill="F2F6F8"/>
          </w:tcPr>
          <w:p>
            <w:pPr>
              <w:spacing w:after="0"/>
            </w:pPr>
            <w:r/>
            <w:r>
              <w:rPr>
                <w:rFonts w:ascii="Aptos" w:hAnsi="Aptos"/>
                <w:b w:val="0"/>
                <w:sz w:val="15"/>
              </w:rPr>
              <w:t xml:space="preserve">Catalogue display, minimum order, lead time and trade terms, RFQ and contract; no cart checkout (§26.7).</w:t>
            </w:r>
          </w:p>
        </w:tc>
      </w:tr>
      <w:tr>
        <w:trPr>
          <w:cantSplit/>
        </w:trPr>
        <w:tc>
          <w:tcPr>
            <w:tcW w:type="dxa" w:w="3408"/>
            <w:vAlign w:val="center"/>
          </w:tcPr>
          <w:p>
            <w:pPr>
              <w:spacing w:after="0"/>
            </w:pPr>
            <w:r/>
            <w:r>
              <w:rPr>
                <w:rFonts w:ascii="Aptos" w:hAnsi="Aptos"/>
                <w:b w:val="0"/>
                <w:sz w:val="15"/>
              </w:rPr>
              <w:t xml:space="preserve">Commission and platform-facilitated payments</w:t>
            </w:r>
          </w:p>
        </w:tc>
        <w:tc>
          <w:tcPr>
            <w:tcW w:type="dxa" w:w="3408"/>
            <w:vAlign w:val="center"/>
          </w:tcPr>
          <w:p>
            <w:pPr>
              <w:spacing w:after="0"/>
            </w:pPr>
            <w:r/>
            <w:r>
              <w:rPr>
                <w:rFonts w:ascii="Aptos" w:hAnsi="Aptos"/>
                <w:b w:val="0"/>
                <w:sz w:val="15"/>
              </w:rPr>
              <w:t xml:space="preserve">Designed, disabled by default</w:t>
            </w:r>
          </w:p>
        </w:tc>
        <w:tc>
          <w:tcPr>
            <w:tcW w:type="dxa" w:w="3408"/>
            <w:vAlign w:val="center"/>
          </w:tcPr>
          <w:p>
            <w:pPr>
              <w:spacing w:after="0"/>
            </w:pPr>
            <w:r/>
            <w:r>
              <w:rPr>
                <w:rFonts w:ascii="Aptos" w:hAnsi="Aptos"/>
                <w:b w:val="0"/>
                <w:sz w:val="15"/>
              </w:rPr>
              <w:t xml:space="preserve">Enabled per country and category only after CFG-15 and CFG-16 and legal review (§26.9).</w:t>
            </w:r>
          </w:p>
        </w:tc>
      </w:tr>
    </w:tbl>
    <w:p>
      <w:pPr>
        <w:spacing w:after="0"/>
      </w:pPr>
    </w:p>
    <w:p>
      <w:pPr>
        <w:pStyle w:val="Heading2"/>
      </w:pPr>
      <w:r>
        <w:t>2.1 Launch platforms and markets</w:t>
      </w:r>
    </w:p>
    <w:p>
      <w:pPr>
        <w:pStyle w:val="ListBullet"/>
      </w:pPr>
      <w:r>
        <w:t>Web, Android and iOS are intended to launch together.</w:t>
      </w:r>
    </w:p>
    <w:p>
      <w:pPr>
        <w:pStyle w:val="ListBullet"/>
      </w:pPr>
      <w:r>
        <w:t>Vendor registration is architecturally open to any country; actual vendor visibility is controlled by listing publication eligibility, service coverage and market activation.</w:t>
      </w:r>
    </w:p>
    <w:p>
      <w:pPr>
        <w:pStyle w:val="ListBullet"/>
      </w:pPr>
      <w:bookmarkStart w:id="9007" w:name="gm_c21_bul"/>
      <w:r>
        <w:rPr>
          <w:b/>
        </w:rPr>
        <w:t xml:space="preserve">Initial launch is limited to chosen markets. </w:t>
      </w:r>
      <w:r>
        <w:t xml:space="preserve">The initial public launch covers selected cities and categories listed in the Launch Market Register (CFG-13). Customers outside live markets see a waitlist and nearby live markets (§26.1, §26.3).</w:t>
      </w:r>
      <w:bookmarkEnd w:id="9007"/>
    </w:p>
    <w:p>
      <w:pPr>
        <w:pStyle w:val="ListBullet"/>
      </w:pPr>
      <w:r>
        <w:t>English and Hindi are launch languages. Architecture and content management must permit additional Indian and international languages, including right-to-left scripts (CFG-19).</w:t>
      </w:r>
    </w:p>
    <w:p>
      <w:pPr>
        <w:pStyle w:val="ListBullet"/>
      </w:pPr>
      <w:r>
        <w:t>The architecture is global from day one (§26.11), but each additional country becomes publicly live only through a country-activation review covering legal, tax, payment, localization, verification and operating readiness (CFG-14).</w:t>
      </w:r>
    </w:p>
    <w:p>
      <w:pPr>
        <w:pStyle w:val="Heading1"/>
      </w:pPr>
      <w:r>
        <w:t>3. Actors, personas and account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r>
              <w:t>Actor</w:t>
            </w:r>
          </w:p>
        </w:tc>
        <w:tc>
          <w:tcPr>
            <w:tcW w:type="dxa" w:w="3408"/>
            <w:vAlign w:val="center"/>
            <w:shd w:fill="10253F"/>
          </w:tcPr>
          <w:p>
            <w:r>
              <w:t>Primary goals</w:t>
            </w:r>
          </w:p>
        </w:tc>
        <w:tc>
          <w:tcPr>
            <w:tcW w:type="dxa" w:w="3408"/>
            <w:vAlign w:val="center"/>
            <w:shd w:fill="10253F"/>
          </w:tcPr>
          <w:p>
            <w:r>
              <w:t>Access model</w:t>
            </w:r>
          </w:p>
        </w:tc>
      </w:tr>
      <w:tr>
        <w:tc>
          <w:tcPr>
            <w:tcW w:type="dxa" w:w="3408"/>
            <w:vAlign w:val="center"/>
          </w:tcPr>
          <w:p>
            <w:r>
              <w:t>Customer</w:t>
            </w:r>
          </w:p>
        </w:tc>
        <w:tc>
          <w:tcPr>
            <w:tcW w:type="dxa" w:w="3408"/>
            <w:vAlign w:val="center"/>
          </w:tcPr>
          <w:p>
            <w:r>
              <w:t>Discover and compare vendors; save favorites; message vendors; create bookings and RFQs; review quotations; manage bookings; submit reviews and reports.</w:t>
            </w:r>
          </w:p>
        </w:tc>
        <w:tc>
          <w:tcPr>
            <w:tcW w:type="dxa" w:w="3408"/>
            <w:vAlign w:val="center"/>
          </w:tcPr>
          <w:p>
            <w:r>
              <w:t>Access to own profile, bookings, RFQs, quotations, conversations, reviews and cases.</w:t>
            </w:r>
          </w:p>
        </w:tc>
      </w:tr>
      <w:tr>
        <w:tc>
          <w:tcPr>
            <w:tcW w:type="dxa" w:w="3408"/>
            <w:vAlign w:val="center"/>
            <w:shd w:fill="F2F6F8"/>
          </w:tcPr>
          <w:p>
            <w:r>
              <w:t>Vendor</w:t>
            </w:r>
          </w:p>
        </w:tc>
        <w:tc>
          <w:tcPr>
            <w:tcW w:type="dxa" w:w="3408"/>
            <w:vAlign w:val="center"/>
            <w:shd w:fill="F2F6F8"/>
          </w:tcPr>
          <w:p>
            <w:r>
              <w:t>Manage vendor profile and listings; set service areas; manage subscription; receive enquiries; accept/decline bookings; respond to RFQs; send quotations; communicate with customers; fulfil commitments.</w:t>
            </w:r>
          </w:p>
        </w:tc>
        <w:tc>
          <w:tcPr>
            <w:tcW w:type="dxa" w:w="3408"/>
            <w:vAlign w:val="center"/>
            <w:shd w:fill="F2F6F8"/>
          </w:tcPr>
          <w:p>
            <w:r>
              <w:t>Access limited to the vendor organization and its listings, requests, quotations, bookings, subscription and conversations.</w:t>
            </w:r>
          </w:p>
        </w:tc>
      </w:tr>
      <w:tr>
        <w:tc>
          <w:tcPr>
            <w:tcW w:type="dxa" w:w="3408"/>
            <w:vAlign w:val="center"/>
          </w:tcPr>
          <w:p>
            <w:r>
              <w:t>Sales Agent</w:t>
            </w:r>
          </w:p>
        </w:tc>
        <w:tc>
          <w:tcPr>
            <w:tcW w:type="dxa" w:w="3408"/>
            <w:vAlign w:val="center"/>
          </w:tcPr>
          <w:p>
            <w:r>
              <w:t>Manage assigned sales leads; contact prospective vendors; support vendor onboarding; track registration and subscription conversion; record follow-up notes; view assigned sales performance.</w:t>
            </w:r>
          </w:p>
        </w:tc>
        <w:tc>
          <w:tcPr>
            <w:tcW w:type="dxa" w:w="3408"/>
            <w:vAlign w:val="center"/>
          </w:tcPr>
          <w:p>
            <w:r>
              <w:t>Access only to assigned leads and necessary onboarding status. No access to customer transactions, private conversations, verification decisions or global settings unless explicitly authorized.</w:t>
            </w:r>
          </w:p>
        </w:tc>
      </w:tr>
      <w:tr>
        <w:tc>
          <w:tcPr>
            <w:tcW w:type="dxa" w:w="3408"/>
            <w:vAlign w:val="center"/>
            <w:shd w:fill="F2F6F8"/>
          </w:tcPr>
          <w:p>
            <w:r>
              <w:t>Super Admin</w:t>
            </w:r>
          </w:p>
        </w:tc>
        <w:tc>
          <w:tcPr>
            <w:tcW w:type="dxa" w:w="3408"/>
            <w:vAlign w:val="center"/>
            <w:shd w:fill="F2F6F8"/>
          </w:tcPr>
          <w:p>
            <w:r>
              <w:t>Oversee platform users, vendors, listings, categories, verification, subscriptions, reports, disputes, moderation, sales agents, analytics and platform settings.</w:t>
            </w:r>
          </w:p>
        </w:tc>
        <w:tc>
          <w:tcPr>
            <w:tcW w:type="dxa" w:w="3408"/>
            <w:vAlign w:val="center"/>
            <w:shd w:fill="F2F6F8"/>
          </w:tcPr>
          <w:p>
            <w:r>
              <w:t>Platform-wide administrative access with individual accounts, strong authentication, reason capture and audit logging. Sensitive actions should remain explicitly permission-gated.</w:t>
            </w:r>
          </w:p>
        </w:tc>
      </w:tr>
    </w:tbl>
    <w:p>
      <w:pPr>
        <w:spacing w:after="0"/>
      </w:pPr>
    </w:p>
    <w:p>
      <w:pPr>
        <w:pStyle w:val="Heading2"/>
      </w:pPr>
      <w:r>
        <w:t>3.1 Single identity, multiple modes</w:t>
      </w:r>
    </w:p>
    <w:p>
      <w:pPr>
        <w:pStyle w:val="ListBullet"/>
      </w:pPr>
      <w:r>
        <w:t>A user may act as a customer and a vendor owner using one identity.</w:t>
      </w:r>
    </w:p>
    <w:p>
      <w:pPr>
        <w:pStyle w:val="ListBullet"/>
      </w:pPr>
      <w:r>
        <w:t>Mode selection is a user-experience context, not a privilege grant. A customer-mode user cannot invoke vendor-owner APIs without ownership authorization.</w:t>
      </w:r>
    </w:p>
    <w:p>
      <w:pPr>
        <w:pStyle w:val="ListBullet"/>
      </w:pPr>
      <w:r>
        <w:t>Vendor organization data and membership are separate from personal identity.</w:t>
      </w:r>
    </w:p>
    <w:p>
      <w:pPr>
        <w:pStyle w:val="ListBullet"/>
      </w:pPr>
      <w:r>
        <w:t>Release 1 uses a single Vendor role for the vendor owner. Team-member roles and granular vendor staff permissions are out of scope unless added in a later release.</w:t>
      </w:r>
    </w:p>
    <w:p>
      <w:pPr>
        <w:pStyle w:val="Heading2"/>
      </w:pPr>
      <w:r>
        <w:t>3.2 Account states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State</w:t>
            </w:r>
          </w:p>
        </w:tc>
        <w:tc>
          <w:tcPr>
            <w:tcW w:type="dxa" w:w="3408"/>
            <w:vAlign w:val="center"/>
            <w:shd w:fill="10253F"/>
          </w:tcPr>
          <w:p>
            <w:pPr>
              <w:spacing w:after="0"/>
            </w:pPr>
            <w:r/>
            <w:r>
              <w:rPr>
                <w:rFonts w:ascii="Aptos" w:hAnsi="Aptos"/>
                <w:b/>
                <w:color w:val="FFFFFF"/>
                <w:sz w:val="16"/>
              </w:rPr>
              <w:t>Meaning</w:t>
            </w:r>
          </w:p>
        </w:tc>
        <w:tc>
          <w:tcPr>
            <w:tcW w:type="dxa" w:w="3408"/>
            <w:vAlign w:val="center"/>
            <w:shd w:fill="10253F"/>
          </w:tcPr>
          <w:p>
            <w:pPr>
              <w:spacing w:after="0"/>
            </w:pPr>
            <w:r/>
            <w:r>
              <w:rPr>
                <w:rFonts w:ascii="Aptos" w:hAnsi="Aptos"/>
                <w:b/>
                <w:color w:val="FFFFFF"/>
                <w:sz w:val="16"/>
              </w:rPr>
              <w:t>Expected behavior</w:t>
            </w:r>
          </w:p>
        </w:tc>
      </w:tr>
      <w:tr>
        <w:tc>
          <w:tcPr>
            <w:tcW w:type="dxa" w:w="3408"/>
            <w:vAlign w:val="center"/>
          </w:tcPr>
          <w:p>
            <w:pPr>
              <w:spacing w:after="0"/>
            </w:pPr>
            <w:r/>
            <w:r>
              <w:rPr>
                <w:rFonts w:ascii="Aptos" w:hAnsi="Aptos"/>
                <w:b w:val="0"/>
                <w:sz w:val="15"/>
              </w:rPr>
              <w:t>Pending verification</w:t>
            </w:r>
          </w:p>
        </w:tc>
        <w:tc>
          <w:tcPr>
            <w:tcW w:type="dxa" w:w="3408"/>
            <w:vAlign w:val="center"/>
          </w:tcPr>
          <w:p>
            <w:pPr>
              <w:spacing w:after="0"/>
            </w:pPr>
            <w:r/>
            <w:r>
              <w:rPr>
                <w:rFonts w:ascii="Aptos" w:hAnsi="Aptos"/>
                <w:b w:val="0"/>
                <w:sz w:val="15"/>
              </w:rPr>
              <w:t>Required identity/contact checks incomplete.</w:t>
            </w:r>
          </w:p>
        </w:tc>
        <w:tc>
          <w:tcPr>
            <w:tcW w:type="dxa" w:w="3408"/>
            <w:vAlign w:val="center"/>
          </w:tcPr>
          <w:p>
            <w:pPr>
              <w:spacing w:after="0"/>
            </w:pPr>
            <w:r/>
            <w:r>
              <w:rPr>
                <w:rFonts w:ascii="Aptos" w:hAnsi="Aptos"/>
                <w:b w:val="0"/>
                <w:sz w:val="15"/>
              </w:rPr>
              <w:t>Restrict sensitive actions until required checks complete.</w:t>
            </w:r>
          </w:p>
        </w:tc>
      </w:tr>
      <w:tr>
        <w:tc>
          <w:tcPr>
            <w:tcW w:type="dxa" w:w="3408"/>
            <w:vAlign w:val="center"/>
            <w:shd w:fill="F2F6F8"/>
          </w:tcPr>
          <w:p>
            <w:pPr>
              <w:spacing w:after="0"/>
            </w:pPr>
            <w:r/>
            <w:r>
              <w:rPr>
                <w:rFonts w:ascii="Aptos" w:hAnsi="Aptos"/>
                <w:b w:val="0"/>
                <w:sz w:val="15"/>
              </w:rPr>
              <w:t>Active</w:t>
            </w:r>
          </w:p>
        </w:tc>
        <w:tc>
          <w:tcPr>
            <w:tcW w:type="dxa" w:w="3408"/>
            <w:vAlign w:val="center"/>
            <w:shd w:fill="F2F6F8"/>
          </w:tcPr>
          <w:p>
            <w:pPr>
              <w:spacing w:after="0"/>
            </w:pPr>
            <w:r/>
            <w:r>
              <w:rPr>
                <w:rFonts w:ascii="Aptos" w:hAnsi="Aptos"/>
                <w:b w:val="0"/>
                <w:sz w:val="15"/>
              </w:rPr>
              <w:t>Account can use features allowed by its roles and policies.</w:t>
            </w:r>
          </w:p>
        </w:tc>
        <w:tc>
          <w:tcPr>
            <w:tcW w:type="dxa" w:w="3408"/>
            <w:vAlign w:val="center"/>
            <w:shd w:fill="F2F6F8"/>
          </w:tcPr>
          <w:p>
            <w:pPr>
              <w:spacing w:after="0"/>
            </w:pPr>
            <w:r/>
            <w:r>
              <w:rPr>
                <w:rFonts w:ascii="Aptos" w:hAnsi="Aptos"/>
                <w:b w:val="0"/>
                <w:sz w:val="15"/>
              </w:rPr>
              <w:t>Normal access subject to subscription/listing/transaction state.</w:t>
            </w:r>
          </w:p>
        </w:tc>
      </w:tr>
      <w:tr>
        <w:tc>
          <w:tcPr>
            <w:tcW w:type="dxa" w:w="3408"/>
            <w:vAlign w:val="center"/>
          </w:tcPr>
          <w:p>
            <w:pPr>
              <w:spacing w:after="0"/>
            </w:pPr>
            <w:r/>
            <w:r>
              <w:rPr>
                <w:rFonts w:ascii="Aptos" w:hAnsi="Aptos"/>
                <w:b w:val="0"/>
                <w:sz w:val="15"/>
              </w:rPr>
              <w:t>Restricted</w:t>
            </w:r>
          </w:p>
        </w:tc>
        <w:tc>
          <w:tcPr>
            <w:tcW w:type="dxa" w:w="3408"/>
            <w:vAlign w:val="center"/>
          </w:tcPr>
          <w:p>
            <w:pPr>
              <w:spacing w:after="0"/>
            </w:pPr>
            <w:r/>
            <w:r>
              <w:rPr>
                <w:rFonts w:ascii="Aptos" w:hAnsi="Aptos"/>
                <w:b w:val="0"/>
                <w:sz w:val="15"/>
              </w:rPr>
              <w:t>Some capabilities disabled due to risk, policy or investigation.</w:t>
            </w:r>
          </w:p>
        </w:tc>
        <w:tc>
          <w:tcPr>
            <w:tcW w:type="dxa" w:w="3408"/>
            <w:vAlign w:val="center"/>
          </w:tcPr>
          <w:p>
            <w:pPr>
              <w:spacing w:after="0"/>
            </w:pPr>
            <w:r/>
            <w:r>
              <w:rPr>
                <w:rFonts w:ascii="Aptos" w:hAnsi="Aptos"/>
                <w:b w:val="0"/>
                <w:sz w:val="15"/>
              </w:rPr>
              <w:t>Show user-facing explanation where safe; enforce restrictions server-side.</w:t>
            </w:r>
          </w:p>
        </w:tc>
      </w:tr>
      <w:tr>
        <w:tc>
          <w:tcPr>
            <w:tcW w:type="dxa" w:w="3408"/>
            <w:vAlign w:val="center"/>
            <w:shd w:fill="F2F6F8"/>
          </w:tcPr>
          <w:p>
            <w:pPr>
              <w:spacing w:after="0"/>
            </w:pPr>
            <w:r/>
            <w:r>
              <w:rPr>
                <w:rFonts w:ascii="Aptos" w:hAnsi="Aptos"/>
                <w:b w:val="0"/>
                <w:sz w:val="15"/>
              </w:rPr>
              <w:t>Suspended</w:t>
            </w:r>
          </w:p>
        </w:tc>
        <w:tc>
          <w:tcPr>
            <w:tcW w:type="dxa" w:w="3408"/>
            <w:vAlign w:val="center"/>
            <w:shd w:fill="F2F6F8"/>
          </w:tcPr>
          <w:p>
            <w:pPr>
              <w:spacing w:after="0"/>
            </w:pPr>
            <w:r/>
            <w:r>
              <w:rPr>
                <w:rFonts w:ascii="Aptos" w:hAnsi="Aptos"/>
                <w:b w:val="0"/>
                <w:sz w:val="15"/>
              </w:rPr>
              <w:t>Access substantially disabled by authorized action.</w:t>
            </w:r>
          </w:p>
        </w:tc>
        <w:tc>
          <w:tcPr>
            <w:tcW w:type="dxa" w:w="3408"/>
            <w:vAlign w:val="center"/>
            <w:shd w:fill="F2F6F8"/>
          </w:tcPr>
          <w:p>
            <w:pPr>
              <w:spacing w:after="0"/>
            </w:pPr>
            <w:r/>
            <w:r>
              <w:rPr>
                <w:rFonts w:ascii="Aptos" w:hAnsi="Aptos"/>
                <w:b w:val="0"/>
                <w:sz w:val="15"/>
              </w:rPr>
              <w:t>Block relevant activity; preserve records and case/audit evidence.</w:t>
            </w:r>
          </w:p>
        </w:tc>
      </w:tr>
      <w:tr>
        <w:tc>
          <w:tcPr>
            <w:tcW w:type="dxa" w:w="3408"/>
            <w:vAlign w:val="center"/>
          </w:tcPr>
          <w:p>
            <w:pPr>
              <w:spacing w:after="0"/>
            </w:pPr>
            <w:r/>
            <w:r>
              <w:rPr>
                <w:rFonts w:ascii="Aptos" w:hAnsi="Aptos"/>
                <w:b w:val="0"/>
                <w:sz w:val="15"/>
              </w:rPr>
              <w:t>Deletion requested</w:t>
            </w:r>
          </w:p>
        </w:tc>
        <w:tc>
          <w:tcPr>
            <w:tcW w:type="dxa" w:w="3408"/>
            <w:vAlign w:val="center"/>
          </w:tcPr>
          <w:p>
            <w:pPr>
              <w:spacing w:after="0"/>
            </w:pPr>
            <w:r/>
            <w:r>
              <w:rPr>
                <w:rFonts w:ascii="Aptos" w:hAnsi="Aptos"/>
                <w:b w:val="0"/>
                <w:sz w:val="15"/>
              </w:rPr>
              <w:t>User requested deletion/closure.</w:t>
            </w:r>
          </w:p>
        </w:tc>
        <w:tc>
          <w:tcPr>
            <w:tcW w:type="dxa" w:w="3408"/>
            <w:vAlign w:val="center"/>
          </w:tcPr>
          <w:p>
            <w:pPr>
              <w:spacing w:after="0"/>
            </w:pPr>
            <w:r/>
            <w:r>
              <w:rPr>
                <w:rFonts w:ascii="Aptos" w:hAnsi="Aptos"/>
                <w:b w:val="0"/>
                <w:sz w:val="15"/>
              </w:rPr>
              <w:t>Follow verified identity, legal retention and deletion workflow; do not erase records needed for legal obligations without review.</w:t>
            </w:r>
          </w:p>
        </w:tc>
      </w:tr>
    </w:tbl>
    <w:p>
      <w:pPr>
        <w:spacing w:after="0"/>
      </w:pPr>
    </w:p>
    <w:p>
      <w:pPr>
        <w:pStyle w:val="Heading1"/>
      </w:pPr>
      <w:r>
        <w:t>4. Role-based access control (RBAC)</w:t>
      </w:r>
    </w:p>
    <w:p>
      <w:r>
        <w:t>VendorVerse uses four business roles: Customer, Vendor, Sales Agent and Super Admin. Permissions are checked server-side against role, ownership, assignment, account state and workflow state. Access is denied by default; the role alone never bypasses ownership or workflow rules.</w:t>
      </w:r>
    </w:p>
    <w:p>
      <w:pPr>
        <w:pStyle w:val="Heading2"/>
      </w:pPr>
      <w:r>
        <w:t>4.1 Permission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r>
              <w:t>Permission group</w:t>
            </w:r>
          </w:p>
        </w:tc>
        <w:tc>
          <w:tcPr>
            <w:tcW w:type="dxa" w:w="3408"/>
            <w:vAlign w:val="center"/>
            <w:shd w:fill="10253F"/>
          </w:tcPr>
          <w:p>
            <w:r>
              <w:t>Representative permissions</w:t>
            </w:r>
          </w:p>
        </w:tc>
        <w:tc>
          <w:tcPr>
            <w:tcW w:type="dxa" w:w="3408"/>
            <w:vAlign w:val="center"/>
            <w:shd w:fill="10253F"/>
          </w:tcPr>
          <w:p>
            <w:r>
              <w:t>Typical allowed roles</w:t>
            </w:r>
          </w:p>
        </w:tc>
      </w:tr>
      <w:tr>
        <w:tc>
          <w:tcPr>
            <w:tcW w:type="dxa" w:w="3408"/>
            <w:vAlign w:val="center"/>
          </w:tcPr>
          <w:p>
            <w:r>
              <w:t>Customer account</w:t>
            </w:r>
          </w:p>
        </w:tc>
        <w:tc>
          <w:tcPr>
            <w:tcW w:type="dxa" w:w="3408"/>
            <w:vAlign w:val="center"/>
          </w:tcPr>
          <w:p>
            <w:r>
              <w:t>Manage own profile and preferences; browse, search, compare and save published vendors.</w:t>
            </w:r>
          </w:p>
        </w:tc>
        <w:tc>
          <w:tcPr>
            <w:tcW w:type="dxa" w:w="3408"/>
            <w:vAlign w:val="center"/>
          </w:tcPr>
          <w:p>
            <w:r>
              <w:t>Customer; Super Admin only for audited support.</w:t>
            </w:r>
          </w:p>
        </w:tc>
      </w:tr>
      <w:tr>
        <w:tc>
          <w:tcPr>
            <w:tcW w:type="dxa" w:w="3408"/>
            <w:vAlign w:val="center"/>
            <w:shd w:fill="F2F6F8"/>
          </w:tcPr>
          <w:p>
            <w:r>
              <w:t>Vendor business</w:t>
            </w:r>
          </w:p>
        </w:tc>
        <w:tc>
          <w:tcPr>
            <w:tcW w:type="dxa" w:w="3408"/>
            <w:vAlign w:val="center"/>
            <w:shd w:fill="F2F6F8"/>
          </w:tcPr>
          <w:p>
            <w:r>
              <w:t>Manage own organization, listings, service areas, portfolio and availability.</w:t>
            </w:r>
          </w:p>
        </w:tc>
        <w:tc>
          <w:tcPr>
            <w:tcW w:type="dxa" w:w="3408"/>
            <w:vAlign w:val="center"/>
            <w:shd w:fill="F2F6F8"/>
          </w:tcPr>
          <w:p>
            <w:r>
              <w:t>Vendor; Super Admin for audited exceptional intervention.</w:t>
            </w:r>
          </w:p>
        </w:tc>
      </w:tr>
      <w:tr>
        <w:tc>
          <w:tcPr>
            <w:tcW w:type="dxa" w:w="3408"/>
            <w:vAlign w:val="center"/>
          </w:tcPr>
          <w:p>
            <w:r>
              <w:t>Sales pipeline</w:t>
            </w:r>
          </w:p>
        </w:tc>
        <w:tc>
          <w:tcPr>
            <w:tcW w:type="dxa" w:w="3408"/>
            <w:vAlign w:val="center"/>
          </w:tcPr>
          <w:p>
            <w:r>
              <w:t>Create/update assigned leads, record contact attempts and follow-ups, track onboarding and subscription conversion.</w:t>
            </w:r>
          </w:p>
        </w:tc>
        <w:tc>
          <w:tcPr>
            <w:tcW w:type="dxa" w:w="3408"/>
            <w:vAlign w:val="center"/>
          </w:tcPr>
          <w:p>
            <w:r>
              <w:t>Sales Agent for assigned leads; Super Admin for oversight.</w:t>
            </w:r>
          </w:p>
        </w:tc>
      </w:tr>
      <w:tr>
        <w:tc>
          <w:tcPr>
            <w:tcW w:type="dxa" w:w="3408"/>
            <w:vAlign w:val="center"/>
            <w:shd w:fill="F2F6F8"/>
          </w:tcPr>
          <w:p>
            <w:r>
              <w:t>Booking and RFQ</w:t>
            </w:r>
          </w:p>
        </w:tc>
        <w:tc>
          <w:tcPr>
            <w:tcW w:type="dxa" w:w="3408"/>
            <w:vAlign w:val="center"/>
            <w:shd w:fill="F2F6F8"/>
          </w:tcPr>
          <w:p>
            <w:r>
              <w:t>Create and manage own bookings/RFQs; respond to eligible requests; submit, revise, withdraw or accept quotations according to state.</w:t>
            </w:r>
          </w:p>
        </w:tc>
        <w:tc>
          <w:tcPr>
            <w:tcW w:type="dxa" w:w="3408"/>
            <w:vAlign w:val="center"/>
            <w:shd w:fill="F2F6F8"/>
          </w:tcPr>
          <w:p>
            <w:r>
              <w:t>Customer and Vendor according to transaction role and workflow state.</w:t>
            </w:r>
          </w:p>
        </w:tc>
      </w:tr>
      <w:tr>
        <w:tc>
          <w:tcPr>
            <w:tcW w:type="dxa" w:w="3408"/>
            <w:vAlign w:val="center"/>
          </w:tcPr>
          <w:p>
            <w:r>
              <w:t>Messaging</w:t>
            </w:r>
          </w:p>
        </w:tc>
        <w:tc>
          <w:tcPr>
            <w:tcW w:type="dxa" w:w="3408"/>
            <w:vAlign w:val="center"/>
          </w:tcPr>
          <w:p>
            <w:r>
              <w:t>Read/send messages in conversations where the user is a participant; report misuse.</w:t>
            </w:r>
          </w:p>
        </w:tc>
        <w:tc>
          <w:tcPr>
            <w:tcW w:type="dxa" w:w="3408"/>
            <w:vAlign w:val="center"/>
          </w:tcPr>
          <w:p>
            <w:r>
              <w:t>Customer and Vendor participants; Super Admin only when case-related and audited.</w:t>
            </w:r>
          </w:p>
        </w:tc>
      </w:tr>
      <w:tr>
        <w:tc>
          <w:tcPr>
            <w:tcW w:type="dxa" w:w="3408"/>
            <w:vAlign w:val="center"/>
            <w:shd w:fill="F2F6F8"/>
          </w:tcPr>
          <w:p>
            <w:r>
              <w:t>Subscription</w:t>
            </w:r>
          </w:p>
        </w:tc>
        <w:tc>
          <w:tcPr>
            <w:tcW w:type="dxa" w:w="3408"/>
            <w:vAlign w:val="center"/>
            <w:shd w:fill="F2F6F8"/>
          </w:tcPr>
          <w:p>
            <w:r>
              <w:t>View and manage own vendor subscription and renewal; inspect subscription status.</w:t>
            </w:r>
          </w:p>
        </w:tc>
        <w:tc>
          <w:tcPr>
            <w:tcW w:type="dxa" w:w="3408"/>
            <w:vAlign w:val="center"/>
            <w:shd w:fill="F2F6F8"/>
          </w:tcPr>
          <w:p>
            <w:r>
              <w:t>Vendor for own organization; Super Admin for platform oversight and authorized corrections.</w:t>
            </w:r>
          </w:p>
        </w:tc>
      </w:tr>
      <w:tr>
        <w:tc>
          <w:tcPr>
            <w:tcW w:type="dxa" w:w="3408"/>
            <w:vAlign w:val="center"/>
          </w:tcPr>
          <w:p>
            <w:r>
              <w:t>Reviews and reports</w:t>
            </w:r>
          </w:p>
        </w:tc>
        <w:tc>
          <w:tcPr>
            <w:tcW w:type="dxa" w:w="3408"/>
            <w:vAlign w:val="center"/>
          </w:tcPr>
          <w:p>
            <w:r>
              <w:t>Create eligible reviews, respond to reviews, report content/users and manage assigned cases.</w:t>
            </w:r>
          </w:p>
        </w:tc>
        <w:tc>
          <w:tcPr>
            <w:tcW w:type="dxa" w:w="3408"/>
            <w:vAlign w:val="center"/>
          </w:tcPr>
          <w:p>
            <w:r>
              <w:t>Customer, Vendor and Super Admin within the relevant workflow.</w:t>
            </w:r>
          </w:p>
        </w:tc>
      </w:tr>
      <w:tr>
        <w:tc>
          <w:tcPr>
            <w:tcW w:type="dxa" w:w="3408"/>
            <w:vAlign w:val="center"/>
            <w:shd w:fill="F2F6F8"/>
          </w:tcPr>
          <w:p>
            <w:r>
              <w:t>Verification and moderation</w:t>
            </w:r>
          </w:p>
        </w:tc>
        <w:tc>
          <w:tcPr>
            <w:tcW w:type="dxa" w:w="3408"/>
            <w:vAlign w:val="center"/>
            <w:shd w:fill="F2F6F8"/>
          </w:tcPr>
          <w:p>
            <w:r>
              <w:t>Submit documents and view status; review listings/documents, request corrections, approve/reject, restrict or remove content.</w:t>
            </w:r>
          </w:p>
        </w:tc>
        <w:tc>
          <w:tcPr>
            <w:tcW w:type="dxa" w:w="3408"/>
            <w:vAlign w:val="center"/>
            <w:shd w:fill="F2F6F8"/>
          </w:tcPr>
          <w:p>
            <w:r>
              <w:t>Vendor for own submissions; Super Admin for review and enforcement.</w:t>
            </w:r>
          </w:p>
        </w:tc>
      </w:tr>
      <w:tr>
        <w:tc>
          <w:tcPr>
            <w:tcW w:type="dxa" w:w="3408"/>
            <w:vAlign w:val="center"/>
          </w:tcPr>
          <w:p>
            <w:r>
              <w:t>Platform configuration</w:t>
            </w:r>
          </w:p>
        </w:tc>
        <w:tc>
          <w:tcPr>
            <w:tcW w:type="dxa" w:w="3408"/>
            <w:vAlign w:val="center"/>
          </w:tcPr>
          <w:p>
            <w:r>
              <w:t>Manage categories, workflows, plan configuration, platform settings, roles and security.</w:t>
            </w:r>
          </w:p>
        </w:tc>
        <w:tc>
          <w:tcPr>
            <w:tcW w:type="dxa" w:w="3408"/>
            <w:vAlign w:val="center"/>
          </w:tcPr>
          <w:p>
            <w:r>
              <w:t>Super Admin only.</w:t>
            </w:r>
          </w:p>
        </w:tc>
      </w:tr>
      <w:tr>
        <w:tc>
          <w:tcPr>
            <w:tcW w:type="dxa" w:w="3408"/>
            <w:vAlign w:val="center"/>
            <w:shd w:fill="F2F6F8"/>
          </w:tcPr>
          <w:p>
            <w:r>
              <w:t>Audit and analytics</w:t>
            </w:r>
          </w:p>
        </w:tc>
        <w:tc>
          <w:tcPr>
            <w:tcW w:type="dxa" w:w="3408"/>
            <w:vAlign w:val="center"/>
            <w:shd w:fill="F2F6F8"/>
          </w:tcPr>
          <w:p>
            <w:r>
              <w:t>View own activity and role-appropriate operational or sales reports.</w:t>
            </w:r>
          </w:p>
        </w:tc>
        <w:tc>
          <w:tcPr>
            <w:tcW w:type="dxa" w:w="3408"/>
            <w:vAlign w:val="center"/>
            <w:shd w:fill="F2F6F8"/>
          </w:tcPr>
          <w:p>
            <w:r>
              <w:t>Customer/Vendor for own activity; Sales Agent for assigned sales metrics; Super Admin for global authorized views.</w:t>
            </w:r>
          </w:p>
        </w:tc>
      </w:tr>
    </w:tbl>
    <w:p>
      <w:pPr>
        <w:spacing w:after="0"/>
      </w:pPr>
    </w:p>
    <w:p>
      <w:bookmarkStart w:id="9008" w:name="gm_c4"/>
      <w:r>
        <w:rPr>
          <w:b/>
        </w:rPr>
        <w:t xml:space="preserve">v3.0 note — roles. </w:t>
      </w:r>
      <w:r>
        <w:t xml:space="preserve">The four roles are unchanged. The new permission groups for geography and market activation, contracts, commission and payment configuration, and supplier catalogue are listed in §26.8 and are enforced server-side like all other permissions.</w:t>
      </w:r>
      <w:bookmarkEnd w:id="9008"/>
    </w:p>
    <w:p>
      <w:pPr>
        <w:pStyle w:val="Heading2"/>
      </w:pPr>
      <w:r>
        <w:t>4.2 Role permission matrix</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10253F"/>
          </w:tcPr>
          <w:p>
            <w:r>
              <w:t>Resource/action</w:t>
            </w:r>
          </w:p>
        </w:tc>
        <w:tc>
          <w:tcPr>
            <w:tcW w:type="dxa" w:w="1136"/>
            <w:vAlign w:val="center"/>
            <w:shd w:fill="10253F"/>
          </w:tcPr>
          <w:p>
            <w:r>
              <w:t>Customer</w:t>
            </w:r>
          </w:p>
        </w:tc>
        <w:tc>
          <w:tcPr>
            <w:tcW w:type="dxa" w:w="1136"/>
            <w:vAlign w:val="center"/>
            <w:shd w:fill="10253F"/>
          </w:tcPr>
          <w:p>
            <w:r>
              <w:t>Vendor</w:t>
            </w:r>
          </w:p>
        </w:tc>
        <w:tc>
          <w:tcPr>
            <w:tcW w:type="dxa" w:w="1136"/>
            <w:vAlign w:val="center"/>
            <w:shd w:fill="10253F"/>
          </w:tcPr>
          <w:p>
            <w:r>
              <w:t>Sales Agent</w:t>
            </w:r>
          </w:p>
        </w:tc>
        <w:tc>
          <w:tcPr>
            <w:tcW w:type="dxa" w:w="1136"/>
            <w:vAlign w:val="center"/>
            <w:shd w:fill="10253F"/>
          </w:tcPr>
          <w:p>
            <w:r>
              <w:t>Super Admin</w:t>
            </w:r>
          </w:p>
        </w:tc>
        <w:tc>
          <w:tcPr>
            <w:tcW w:type="dxa" w:w="1136"/>
            <w:vAlign w:val="center"/>
            <w:shd w:fill="10253F"/>
          </w:tcPr>
          <w:p>
            <w:r/>
          </w:p>
        </w:tc>
        <w:tc>
          <w:tcPr>
            <w:tcW w:type="dxa" w:w="1136"/>
            <w:vAlign w:val="center"/>
            <w:shd w:fill="10253F"/>
          </w:tcPr>
          <w:p>
            <w:r/>
          </w:p>
        </w:tc>
        <w:tc>
          <w:tcPr>
            <w:tcW w:type="dxa" w:w="1136"/>
            <w:vAlign w:val="center"/>
            <w:shd w:fill="10253F"/>
          </w:tcPr>
          <w:p>
            <w:r/>
          </w:p>
        </w:tc>
        <w:tc>
          <w:tcPr>
            <w:tcW w:type="dxa" w:w="1136"/>
            <w:vAlign w:val="center"/>
            <w:shd w:fill="10253F"/>
          </w:tcPr>
          <w:p>
            <w:r/>
          </w:p>
        </w:tc>
      </w:tr>
      <w:tr>
        <w:tc>
          <w:tcPr>
            <w:tcW w:type="dxa" w:w="1136"/>
            <w:vAlign w:val="center"/>
          </w:tcPr>
          <w:p>
            <w:r>
              <w:t>Browse published listings</w:t>
            </w:r>
          </w:p>
        </w:tc>
        <w:tc>
          <w:tcPr>
            <w:tcW w:type="dxa" w:w="1136"/>
            <w:vAlign w:val="center"/>
          </w:tcPr>
          <w:p>
            <w:r>
              <w:t>Yes</w:t>
            </w:r>
          </w:p>
        </w:tc>
        <w:tc>
          <w:tcPr>
            <w:tcW w:type="dxa" w:w="1136"/>
            <w:vAlign w:val="center"/>
          </w:tcPr>
          <w:p>
            <w:r>
              <w:t>Yes</w:t>
            </w:r>
          </w:p>
        </w:tc>
        <w:tc>
          <w:tcPr>
            <w:tcW w:type="dxa" w:w="1136"/>
            <w:vAlign w:val="center"/>
          </w:tcPr>
          <w:p>
            <w:r>
              <w:t>Limited to sales need</w:t>
            </w:r>
          </w:p>
        </w:tc>
        <w:tc>
          <w:tcPr>
            <w:tcW w:type="dxa" w:w="1136"/>
            <w:vAlign w:val="center"/>
          </w:tcPr>
          <w:p>
            <w:r>
              <w:t>Yes</w:t>
            </w:r>
          </w:p>
        </w:tc>
        <w:tc>
          <w:tcPr>
            <w:tcW w:type="dxa" w:w="1136"/>
            <w:vAlign w:val="center"/>
          </w:tcPr>
          <w:p>
            <w:r/>
          </w:p>
        </w:tc>
        <w:tc>
          <w:tcPr>
            <w:tcW w:type="dxa" w:w="1136"/>
            <w:vAlign w:val="center"/>
          </w:tcPr>
          <w:p>
            <w:r/>
          </w:p>
        </w:tc>
        <w:tc>
          <w:tcPr>
            <w:tcW w:type="dxa" w:w="1136"/>
            <w:vAlign w:val="center"/>
          </w:tcPr>
          <w:p>
            <w:r/>
          </w:p>
        </w:tc>
        <w:tc>
          <w:tcPr>
            <w:tcW w:type="dxa" w:w="1136"/>
            <w:vAlign w:val="center"/>
          </w:tcPr>
          <w:p>
            <w:r/>
          </w:p>
        </w:tc>
      </w:tr>
      <w:tr>
        <w:tc>
          <w:tcPr>
            <w:tcW w:type="dxa" w:w="1136"/>
            <w:vAlign w:val="center"/>
            <w:shd w:fill="F2F6F8"/>
          </w:tcPr>
          <w:p>
            <w:r>
              <w:t>Manage own profile</w:t>
            </w:r>
          </w:p>
        </w:tc>
        <w:tc>
          <w:tcPr>
            <w:tcW w:type="dxa" w:w="1136"/>
            <w:vAlign w:val="center"/>
            <w:shd w:fill="F2F6F8"/>
          </w:tcPr>
          <w:p>
            <w:r>
              <w:t>Own profile</w:t>
            </w:r>
          </w:p>
        </w:tc>
        <w:tc>
          <w:tcPr>
            <w:tcW w:type="dxa" w:w="1136"/>
            <w:vAlign w:val="center"/>
            <w:shd w:fill="F2F6F8"/>
          </w:tcPr>
          <w:p>
            <w:r>
              <w:t>Own identity and vendor organization</w:t>
            </w:r>
          </w:p>
        </w:tc>
        <w:tc>
          <w:tcPr>
            <w:tcW w:type="dxa" w:w="1136"/>
            <w:vAlign w:val="center"/>
            <w:shd w:fill="F2F6F8"/>
          </w:tcPr>
          <w:p>
            <w:r>
              <w:t>Own identity and assigned sales profile</w:t>
            </w:r>
          </w:p>
        </w:tc>
        <w:tc>
          <w:tcPr>
            <w:tcW w:type="dxa" w:w="1136"/>
            <w:vAlign w:val="center"/>
            <w:shd w:fill="F2F6F8"/>
          </w:tcPr>
          <w:p>
            <w:r>
              <w:t>Audited support only</w:t>
            </w:r>
          </w:p>
        </w:tc>
        <w:tc>
          <w:tcPr>
            <w:tcW w:type="dxa" w:w="1136"/>
            <w:vAlign w:val="center"/>
            <w:shd w:fill="F2F6F8"/>
          </w:tcPr>
          <w:p>
            <w:r/>
          </w:p>
        </w:tc>
        <w:tc>
          <w:tcPr>
            <w:tcW w:type="dxa" w:w="1136"/>
            <w:vAlign w:val="center"/>
            <w:shd w:fill="F2F6F8"/>
          </w:tcPr>
          <w:p>
            <w:r/>
          </w:p>
        </w:tc>
        <w:tc>
          <w:tcPr>
            <w:tcW w:type="dxa" w:w="1136"/>
            <w:vAlign w:val="center"/>
            <w:shd w:fill="F2F6F8"/>
          </w:tcPr>
          <w:p>
            <w:r/>
          </w:p>
        </w:tc>
        <w:tc>
          <w:tcPr>
            <w:tcW w:type="dxa" w:w="1136"/>
            <w:vAlign w:val="center"/>
            <w:shd w:fill="F2F6F8"/>
          </w:tcPr>
          <w:p>
            <w:r/>
          </w:p>
        </w:tc>
      </w:tr>
      <w:tr>
        <w:tc>
          <w:tcPr>
            <w:tcW w:type="dxa" w:w="1136"/>
            <w:vAlign w:val="center"/>
          </w:tcPr>
          <w:p>
            <w:r>
              <w:t>Create/manage listings</w:t>
            </w:r>
          </w:p>
        </w:tc>
        <w:tc>
          <w:tcPr>
            <w:tcW w:type="dxa" w:w="1136"/>
            <w:vAlign w:val="center"/>
          </w:tcPr>
          <w:p>
            <w:r>
              <w:t>No</w:t>
            </w:r>
          </w:p>
        </w:tc>
        <w:tc>
          <w:tcPr>
            <w:tcW w:type="dxa" w:w="1136"/>
            <w:vAlign w:val="center"/>
          </w:tcPr>
          <w:p>
            <w:r>
              <w:t>Own organization</w:t>
            </w:r>
          </w:p>
        </w:tc>
        <w:tc>
          <w:tcPr>
            <w:tcW w:type="dxa" w:w="1136"/>
            <w:vAlign w:val="center"/>
          </w:tcPr>
          <w:p>
            <w:r>
              <w:t>Assist onboarding; cannot publish as vendor</w:t>
            </w:r>
          </w:p>
        </w:tc>
        <w:tc>
          <w:tcPr>
            <w:tcW w:type="dxa" w:w="1136"/>
            <w:vAlign w:val="center"/>
          </w:tcPr>
          <w:p>
            <w:r>
              <w:t>Yes, audited</w:t>
            </w:r>
          </w:p>
        </w:tc>
        <w:tc>
          <w:tcPr>
            <w:tcW w:type="dxa" w:w="1136"/>
            <w:vAlign w:val="center"/>
          </w:tcPr>
          <w:p>
            <w:r/>
          </w:p>
        </w:tc>
        <w:tc>
          <w:tcPr>
            <w:tcW w:type="dxa" w:w="1136"/>
            <w:vAlign w:val="center"/>
          </w:tcPr>
          <w:p>
            <w:r/>
          </w:p>
        </w:tc>
        <w:tc>
          <w:tcPr>
            <w:tcW w:type="dxa" w:w="1136"/>
            <w:vAlign w:val="center"/>
          </w:tcPr>
          <w:p>
            <w:r/>
          </w:p>
        </w:tc>
        <w:tc>
          <w:tcPr>
            <w:tcW w:type="dxa" w:w="1136"/>
            <w:vAlign w:val="center"/>
          </w:tcPr>
          <w:p>
            <w:r/>
          </w:p>
        </w:tc>
      </w:tr>
      <w:tr>
        <w:tc>
          <w:tcPr>
            <w:tcW w:type="dxa" w:w="1136"/>
            <w:vAlign w:val="center"/>
            <w:shd w:fill="F2F6F8"/>
          </w:tcPr>
          <w:p>
            <w:r>
              <w:t>Create booking/RFQ</w:t>
            </w:r>
          </w:p>
        </w:tc>
        <w:tc>
          <w:tcPr>
            <w:tcW w:type="dxa" w:w="1136"/>
            <w:vAlign w:val="center"/>
            <w:shd w:fill="F2F6F8"/>
          </w:tcPr>
          <w:p>
            <w:r>
              <w:t>Own requests</w:t>
            </w:r>
          </w:p>
        </w:tc>
        <w:tc>
          <w:tcPr>
            <w:tcW w:type="dxa" w:w="1136"/>
            <w:vAlign w:val="center"/>
            <w:shd w:fill="F2F6F8"/>
          </w:tcPr>
          <w:p>
            <w:r>
              <w:t>If acting as customer</w:t>
            </w:r>
          </w:p>
        </w:tc>
        <w:tc>
          <w:tcPr>
            <w:tcW w:type="dxa" w:w="1136"/>
            <w:vAlign w:val="center"/>
            <w:shd w:fill="F2F6F8"/>
          </w:tcPr>
          <w:p>
            <w:r>
              <w:t>No</w:t>
            </w:r>
          </w:p>
        </w:tc>
        <w:tc>
          <w:tcPr>
            <w:tcW w:type="dxa" w:w="1136"/>
            <w:vAlign w:val="center"/>
            <w:shd w:fill="F2F6F8"/>
          </w:tcPr>
          <w:p>
            <w:r>
              <w:t>No routine action</w:t>
            </w:r>
          </w:p>
        </w:tc>
        <w:tc>
          <w:tcPr>
            <w:tcW w:type="dxa" w:w="1136"/>
            <w:vAlign w:val="center"/>
            <w:shd w:fill="F2F6F8"/>
          </w:tcPr>
          <w:p>
            <w:r/>
          </w:p>
        </w:tc>
        <w:tc>
          <w:tcPr>
            <w:tcW w:type="dxa" w:w="1136"/>
            <w:vAlign w:val="center"/>
            <w:shd w:fill="F2F6F8"/>
          </w:tcPr>
          <w:p>
            <w:r/>
          </w:p>
        </w:tc>
        <w:tc>
          <w:tcPr>
            <w:tcW w:type="dxa" w:w="1136"/>
            <w:vAlign w:val="center"/>
            <w:shd w:fill="F2F6F8"/>
          </w:tcPr>
          <w:p>
            <w:r/>
          </w:p>
        </w:tc>
        <w:tc>
          <w:tcPr>
            <w:tcW w:type="dxa" w:w="1136"/>
            <w:vAlign w:val="center"/>
            <w:shd w:fill="F2F6F8"/>
          </w:tcPr>
          <w:p>
            <w:r/>
          </w:p>
        </w:tc>
      </w:tr>
      <w:tr>
        <w:tc>
          <w:tcPr>
            <w:tcW w:type="dxa" w:w="1136"/>
            <w:vAlign w:val="center"/>
          </w:tcPr>
          <w:p>
            <w:r>
              <w:t>Respond to booking/RFQ</w:t>
            </w:r>
          </w:p>
        </w:tc>
        <w:tc>
          <w:tcPr>
            <w:tcW w:type="dxa" w:w="1136"/>
            <w:vAlign w:val="center"/>
          </w:tcPr>
          <w:p>
            <w:r>
              <w:t>Own customer requests</w:t>
            </w:r>
          </w:p>
        </w:tc>
        <w:tc>
          <w:tcPr>
            <w:tcW w:type="dxa" w:w="1136"/>
            <w:vAlign w:val="center"/>
          </w:tcPr>
          <w:p>
            <w:r>
              <w:t>Own organization requests</w:t>
            </w:r>
          </w:p>
        </w:tc>
        <w:tc>
          <w:tcPr>
            <w:tcW w:type="dxa" w:w="1136"/>
            <w:vAlign w:val="center"/>
          </w:tcPr>
          <w:p>
            <w:r>
              <w:t>No</w:t>
            </w:r>
          </w:p>
        </w:tc>
        <w:tc>
          <w:tcPr>
            <w:tcW w:type="dxa" w:w="1136"/>
            <w:vAlign w:val="center"/>
          </w:tcPr>
          <w:p>
            <w:r>
              <w:t>No routine action</w:t>
            </w:r>
          </w:p>
        </w:tc>
        <w:tc>
          <w:tcPr>
            <w:tcW w:type="dxa" w:w="1136"/>
            <w:vAlign w:val="center"/>
          </w:tcPr>
          <w:p>
            <w:r/>
          </w:p>
        </w:tc>
        <w:tc>
          <w:tcPr>
            <w:tcW w:type="dxa" w:w="1136"/>
            <w:vAlign w:val="center"/>
          </w:tcPr>
          <w:p>
            <w:r/>
          </w:p>
        </w:tc>
        <w:tc>
          <w:tcPr>
            <w:tcW w:type="dxa" w:w="1136"/>
            <w:vAlign w:val="center"/>
          </w:tcPr>
          <w:p>
            <w:r/>
          </w:p>
        </w:tc>
        <w:tc>
          <w:tcPr>
            <w:tcW w:type="dxa" w:w="1136"/>
            <w:vAlign w:val="center"/>
          </w:tcPr>
          <w:p>
            <w:r/>
          </w:p>
        </w:tc>
      </w:tr>
      <w:tr>
        <w:tc>
          <w:tcPr>
            <w:tcW w:type="dxa" w:w="1136"/>
            <w:vAlign w:val="center"/>
            <w:shd w:fill="F2F6F8"/>
          </w:tcPr>
          <w:p>
            <w:r>
              <w:t>Manage subscription</w:t>
            </w:r>
          </w:p>
        </w:tc>
        <w:tc>
          <w:tcPr>
            <w:tcW w:type="dxa" w:w="1136"/>
            <w:vAlign w:val="center"/>
            <w:shd w:fill="F2F6F8"/>
          </w:tcPr>
          <w:p>
            <w:r>
              <w:t>No</w:t>
            </w:r>
          </w:p>
        </w:tc>
        <w:tc>
          <w:tcPr>
            <w:tcW w:type="dxa" w:w="1136"/>
            <w:vAlign w:val="center"/>
            <w:shd w:fill="F2F6F8"/>
          </w:tcPr>
          <w:p>
            <w:r>
              <w:t>Own organization</w:t>
            </w:r>
          </w:p>
        </w:tc>
        <w:tc>
          <w:tcPr>
            <w:tcW w:type="dxa" w:w="1136"/>
            <w:vAlign w:val="center"/>
            <w:shd w:fill="F2F6F8"/>
          </w:tcPr>
          <w:p>
            <w:r>
              <w:t>Assist and track conversion; no billing override</w:t>
            </w:r>
          </w:p>
        </w:tc>
        <w:tc>
          <w:tcPr>
            <w:tcW w:type="dxa" w:w="1136"/>
            <w:vAlign w:val="center"/>
            <w:shd w:fill="F2F6F8"/>
          </w:tcPr>
          <w:p>
            <w:r>
              <w:t>Platform oversight and authorized corrections</w:t>
            </w:r>
          </w:p>
        </w:tc>
        <w:tc>
          <w:tcPr>
            <w:tcW w:type="dxa" w:w="1136"/>
            <w:vAlign w:val="center"/>
            <w:shd w:fill="F2F6F8"/>
          </w:tcPr>
          <w:p>
            <w:r/>
          </w:p>
        </w:tc>
        <w:tc>
          <w:tcPr>
            <w:tcW w:type="dxa" w:w="1136"/>
            <w:vAlign w:val="center"/>
            <w:shd w:fill="F2F6F8"/>
          </w:tcPr>
          <w:p>
            <w:r/>
          </w:p>
        </w:tc>
        <w:tc>
          <w:tcPr>
            <w:tcW w:type="dxa" w:w="1136"/>
            <w:vAlign w:val="center"/>
            <w:shd w:fill="F2F6F8"/>
          </w:tcPr>
          <w:p>
            <w:r/>
          </w:p>
        </w:tc>
        <w:tc>
          <w:tcPr>
            <w:tcW w:type="dxa" w:w="1136"/>
            <w:vAlign w:val="center"/>
            <w:shd w:fill="F2F6F8"/>
          </w:tcPr>
          <w:p>
            <w:r/>
          </w:p>
        </w:tc>
      </w:tr>
      <w:tr>
        <w:tc>
          <w:tcPr>
            <w:tcW w:type="dxa" w:w="1136"/>
            <w:vAlign w:val="center"/>
          </w:tcPr>
          <w:p>
            <w:r>
              <w:t>Review/moderate content</w:t>
            </w:r>
          </w:p>
        </w:tc>
        <w:tc>
          <w:tcPr>
            <w:tcW w:type="dxa" w:w="1136"/>
            <w:vAlign w:val="center"/>
          </w:tcPr>
          <w:p>
            <w:r>
              <w:t>Report only</w:t>
            </w:r>
          </w:p>
        </w:tc>
        <w:tc>
          <w:tcPr>
            <w:tcW w:type="dxa" w:w="1136"/>
            <w:vAlign w:val="center"/>
          </w:tcPr>
          <w:p>
            <w:r>
              <w:t>Respond/report own content</w:t>
            </w:r>
          </w:p>
        </w:tc>
        <w:tc>
          <w:tcPr>
            <w:tcW w:type="dxa" w:w="1136"/>
            <w:vAlign w:val="center"/>
          </w:tcPr>
          <w:p>
            <w:r>
              <w:t>No</w:t>
            </w:r>
          </w:p>
        </w:tc>
        <w:tc>
          <w:tcPr>
            <w:tcW w:type="dxa" w:w="1136"/>
            <w:vAlign w:val="center"/>
          </w:tcPr>
          <w:p>
            <w:r>
              <w:t>Yes, with audit trail</w:t>
            </w:r>
          </w:p>
        </w:tc>
        <w:tc>
          <w:tcPr>
            <w:tcW w:type="dxa" w:w="1136"/>
            <w:vAlign w:val="center"/>
          </w:tcPr>
          <w:p>
            <w:r/>
          </w:p>
        </w:tc>
        <w:tc>
          <w:tcPr>
            <w:tcW w:type="dxa" w:w="1136"/>
            <w:vAlign w:val="center"/>
          </w:tcPr>
          <w:p>
            <w:r/>
          </w:p>
        </w:tc>
        <w:tc>
          <w:tcPr>
            <w:tcW w:type="dxa" w:w="1136"/>
            <w:vAlign w:val="center"/>
          </w:tcPr>
          <w:p>
            <w:r/>
          </w:p>
        </w:tc>
        <w:tc>
          <w:tcPr>
            <w:tcW w:type="dxa" w:w="1136"/>
            <w:vAlign w:val="center"/>
          </w:tcPr>
          <w:p>
            <w:r/>
          </w:p>
        </w:tc>
      </w:tr>
      <w:tr>
        <w:tc>
          <w:tcPr>
            <w:tcW w:type="dxa" w:w="1136"/>
            <w:vAlign w:val="center"/>
            <w:shd w:fill="F2F6F8"/>
          </w:tcPr>
          <w:p>
            <w:r>
              <w:t>Manage sales leads</w:t>
            </w:r>
          </w:p>
        </w:tc>
        <w:tc>
          <w:tcPr>
            <w:tcW w:type="dxa" w:w="1136"/>
            <w:vAlign w:val="center"/>
            <w:shd w:fill="F2F6F8"/>
          </w:tcPr>
          <w:p>
            <w:r>
              <w:t>No</w:t>
            </w:r>
          </w:p>
        </w:tc>
        <w:tc>
          <w:tcPr>
            <w:tcW w:type="dxa" w:w="1136"/>
            <w:vAlign w:val="center"/>
            <w:shd w:fill="F2F6F8"/>
          </w:tcPr>
          <w:p>
            <w:r>
              <w:t>No</w:t>
            </w:r>
          </w:p>
        </w:tc>
        <w:tc>
          <w:tcPr>
            <w:tcW w:type="dxa" w:w="1136"/>
            <w:vAlign w:val="center"/>
            <w:shd w:fill="F2F6F8"/>
          </w:tcPr>
          <w:p>
            <w:r>
              <w:t>Assigned leads only</w:t>
            </w:r>
          </w:p>
        </w:tc>
        <w:tc>
          <w:tcPr>
            <w:tcW w:type="dxa" w:w="1136"/>
            <w:vAlign w:val="center"/>
            <w:shd w:fill="F2F6F8"/>
          </w:tcPr>
          <w:p>
            <w:r>
              <w:t>All leads and agent oversight</w:t>
            </w:r>
          </w:p>
        </w:tc>
        <w:tc>
          <w:tcPr>
            <w:tcW w:type="dxa" w:w="1136"/>
            <w:vAlign w:val="center"/>
            <w:shd w:fill="F2F6F8"/>
          </w:tcPr>
          <w:p>
            <w:r/>
          </w:p>
        </w:tc>
        <w:tc>
          <w:tcPr>
            <w:tcW w:type="dxa" w:w="1136"/>
            <w:vAlign w:val="center"/>
            <w:shd w:fill="F2F6F8"/>
          </w:tcPr>
          <w:p>
            <w:r/>
          </w:p>
        </w:tc>
        <w:tc>
          <w:tcPr>
            <w:tcW w:type="dxa" w:w="1136"/>
            <w:vAlign w:val="center"/>
            <w:shd w:fill="F2F6F8"/>
          </w:tcPr>
          <w:p>
            <w:r/>
          </w:p>
        </w:tc>
        <w:tc>
          <w:tcPr>
            <w:tcW w:type="dxa" w:w="1136"/>
            <w:vAlign w:val="center"/>
            <w:shd w:fill="F2F6F8"/>
          </w:tcPr>
          <w:p>
            <w:r/>
          </w:p>
        </w:tc>
      </w:tr>
      <w:tr>
        <w:tc>
          <w:tcPr>
            <w:tcW w:type="dxa" w:w="1136"/>
            <w:vAlign w:val="center"/>
          </w:tcPr>
          <w:p>
            <w:r>
              <w:t>Manage users, roles and settings</w:t>
            </w:r>
          </w:p>
        </w:tc>
        <w:tc>
          <w:tcPr>
            <w:tcW w:type="dxa" w:w="1136"/>
            <w:vAlign w:val="center"/>
          </w:tcPr>
          <w:p>
            <w:r>
              <w:t>No</w:t>
            </w:r>
          </w:p>
        </w:tc>
        <w:tc>
          <w:tcPr>
            <w:tcW w:type="dxa" w:w="1136"/>
            <w:vAlign w:val="center"/>
          </w:tcPr>
          <w:p>
            <w:r>
              <w:t>No</w:t>
            </w:r>
          </w:p>
        </w:tc>
        <w:tc>
          <w:tcPr>
            <w:tcW w:type="dxa" w:w="1136"/>
            <w:vAlign w:val="center"/>
          </w:tcPr>
          <w:p>
            <w:r>
              <w:t>No</w:t>
            </w:r>
          </w:p>
        </w:tc>
        <w:tc>
          <w:tcPr>
            <w:tcW w:type="dxa" w:w="1136"/>
            <w:vAlign w:val="center"/>
          </w:tcPr>
          <w:p>
            <w:r>
              <w:t>Yes, strong authentication and audit</w:t>
            </w:r>
          </w:p>
        </w:tc>
        <w:tc>
          <w:tcPr>
            <w:tcW w:type="dxa" w:w="1136"/>
            <w:vAlign w:val="center"/>
          </w:tcPr>
          <w:p>
            <w:r/>
          </w:p>
        </w:tc>
        <w:tc>
          <w:tcPr>
            <w:tcW w:type="dxa" w:w="1136"/>
            <w:vAlign w:val="center"/>
          </w:tcPr>
          <w:p>
            <w:r/>
          </w:p>
        </w:tc>
        <w:tc>
          <w:tcPr>
            <w:tcW w:type="dxa" w:w="1136"/>
            <w:vAlign w:val="center"/>
          </w:tcPr>
          <w:p>
            <w:r/>
          </w:p>
        </w:tc>
        <w:tc>
          <w:tcPr>
            <w:tcW w:type="dxa" w:w="1136"/>
            <w:vAlign w:val="center"/>
          </w:tcPr>
          <w:p>
            <w:r/>
          </w:p>
        </w:tc>
      </w:tr>
      <w:tr>
        <w:tc>
          <w:tcPr>
            <w:tcW w:type="dxa" w:w="1136"/>
            <w:vAlign w:val="center"/>
            <w:shd w:fill="F2F6F8"/>
          </w:tcPr>
          <w:p>
            <w:r>
              <w:t>Read audit records</w:t>
            </w:r>
          </w:p>
        </w:tc>
        <w:tc>
          <w:tcPr>
            <w:tcW w:type="dxa" w:w="1136"/>
            <w:vAlign w:val="center"/>
            <w:shd w:fill="F2F6F8"/>
          </w:tcPr>
          <w:p>
            <w:r>
              <w:t>Own exposed activity</w:t>
            </w:r>
          </w:p>
        </w:tc>
        <w:tc>
          <w:tcPr>
            <w:tcW w:type="dxa" w:w="1136"/>
            <w:vAlign w:val="center"/>
            <w:shd w:fill="F2F6F8"/>
          </w:tcPr>
          <w:p>
            <w:r>
              <w:t>Own relevant activity</w:t>
            </w:r>
          </w:p>
        </w:tc>
        <w:tc>
          <w:tcPr>
            <w:tcW w:type="dxa" w:w="1136"/>
            <w:vAlign w:val="center"/>
            <w:shd w:fill="F2F6F8"/>
          </w:tcPr>
          <w:p>
            <w:r>
              <w:t>Assigned sales activity</w:t>
            </w:r>
          </w:p>
        </w:tc>
        <w:tc>
          <w:tcPr>
            <w:tcW w:type="dxa" w:w="1136"/>
            <w:vAlign w:val="center"/>
            <w:shd w:fill="F2F6F8"/>
          </w:tcPr>
          <w:p>
            <w:r>
              <w:t>Global authorized audit access</w:t>
            </w:r>
          </w:p>
        </w:tc>
        <w:tc>
          <w:tcPr>
            <w:tcW w:type="dxa" w:w="1136"/>
            <w:vAlign w:val="center"/>
            <w:shd w:fill="F2F6F8"/>
          </w:tcPr>
          <w:p>
            <w:r/>
          </w:p>
        </w:tc>
        <w:tc>
          <w:tcPr>
            <w:tcW w:type="dxa" w:w="1136"/>
            <w:vAlign w:val="center"/>
            <w:shd w:fill="F2F6F8"/>
          </w:tcPr>
          <w:p>
            <w:r/>
          </w:p>
        </w:tc>
        <w:tc>
          <w:tcPr>
            <w:tcW w:type="dxa" w:w="1136"/>
            <w:vAlign w:val="center"/>
            <w:shd w:fill="F2F6F8"/>
          </w:tcPr>
          <w:p>
            <w:r/>
          </w:p>
        </w:tc>
        <w:tc>
          <w:tcPr>
            <w:tcW w:type="dxa" w:w="1136"/>
            <w:vAlign w:val="center"/>
            <w:shd w:fill="F2F6F8"/>
          </w:tcPr>
          <w:p>
            <w:r/>
          </w:p>
        </w:tc>
      </w:tr>
    </w:tbl>
    <w:p>
      <w:pPr>
        <w:spacing w:after="0"/>
      </w:pPr>
    </w:p>
    <w:p>
      <w:pPr>
        <w:pStyle w:val="Heading2"/>
      </w:pPr>
      <w:r>
        <w:t>4.3 Mandatory authorization controls</w:t>
      </w:r>
    </w:p>
    <w:p>
      <w:pPr>
        <w:pStyle w:val="ListBullet"/>
      </w:pPr>
      <w:r>
        <w:t>Never rely on frontend route guards or hidden buttons alone.</w:t>
      </w:r>
    </w:p>
    <w:p>
      <w:pPr>
        <w:pStyle w:val="ListBullet"/>
      </w:pPr>
      <w:r>
        <w:t>Every private-object read/write checks ownership and scope, including nested resources, attachments, exports, search endpoints and background tasks.</w:t>
      </w:r>
    </w:p>
    <w:p>
      <w:pPr>
        <w:pStyle w:val="ListBullet"/>
      </w:pPr>
      <w:r>
        <w:t>Ignore or reject client-supplied role, tenant, verification and subscription status when those values should be derived from trusted server-side state.</w:t>
      </w:r>
    </w:p>
    <w:p>
      <w:pPr>
        <w:pStyle w:val="ListBullet"/>
      </w:pPr>
      <w:r>
        <w:t>Prevent insecure direct object reference attacks: changing an ID must not expose another user's or vendor's records.</w:t>
      </w:r>
    </w:p>
    <w:p>
      <w:pPr>
        <w:pStyle w:val="ListBullet"/>
      </w:pPr>
      <w:r>
        <w:t>Support access to messages/documents must be linked to a case or explicitly approved purpose and be logged.</w:t>
      </w:r>
    </w:p>
    <w:p>
      <w:pPr>
        <w:pStyle w:val="ListBullet"/>
      </w:pPr>
      <w:r>
        <w:t>Privileged roles use individual accounts, MFA and short-lived sessions; shared super-admin accounts are prohibited.</w:t>
      </w:r>
    </w:p>
    <w:p>
      <w:pPr>
        <w:pStyle w:val="ListBullet"/>
      </w:pPr>
      <w:r>
        <w:t>Role grants, scope changes and privilege elevation require an authorized actor, reason, audit event and revocation behavior.</w:t>
      </w:r>
    </w:p>
    <w:p>
      <w:pPr>
        <w:pStyle w:val="ListBullet"/>
      </w:pPr>
      <w:r>
        <w:t>Use separation of duties: vendors cannot approve their own verification; billing operators cannot change trust state by default; taxonomy admins cannot edit transaction terms.</w:t>
      </w:r>
    </w:p>
    <w:p>
      <w:pPr>
        <w:pStyle w:val="ListBullet"/>
      </w:pPr>
      <w:r>
        <w:t>Background jobs and scheduled actions must execute under an explicit service identity with narrowly scoped permissions.</w:t>
      </w:r>
    </w:p>
    <w:p>
      <w:pPr>
        <w:pStyle w:val="Heading2"/>
      </w:pPr>
      <w:r>
        <w:t>4.4 Example authorization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Attempt</w:t>
            </w:r>
          </w:p>
        </w:tc>
        <w:tc>
          <w:tcPr>
            <w:tcW w:type="dxa" w:w="5112"/>
            <w:vAlign w:val="center"/>
            <w:shd w:fill="10253F"/>
          </w:tcPr>
          <w:p>
            <w:pPr>
              <w:spacing w:after="0"/>
            </w:pPr>
            <w:r/>
            <w:r>
              <w:rPr>
                <w:rFonts w:ascii="Aptos" w:hAnsi="Aptos"/>
                <w:b/>
                <w:color w:val="FFFFFF"/>
                <w:sz w:val="16"/>
              </w:rPr>
              <w:t>Expected result</w:t>
            </w:r>
          </w:p>
        </w:tc>
      </w:tr>
      <w:tr>
        <w:tc>
          <w:tcPr>
            <w:tcW w:type="dxa" w:w="5112"/>
            <w:vAlign w:val="center"/>
          </w:tcPr>
          <w:p>
            <w:pPr>
              <w:spacing w:after="0"/>
            </w:pPr>
            <w:r/>
            <w:r>
              <w:rPr>
                <w:rFonts w:ascii="Aptos" w:hAnsi="Aptos"/>
                <w:b w:val="0"/>
                <w:sz w:val="15"/>
              </w:rPr>
              <w:t>Vendor A requests Vendor B's private booking by changing booking ID</w:t>
            </w:r>
          </w:p>
        </w:tc>
        <w:tc>
          <w:tcPr>
            <w:tcW w:type="dxa" w:w="5112"/>
            <w:vAlign w:val="center"/>
          </w:tcPr>
          <w:p>
            <w:pPr>
              <w:spacing w:after="0"/>
            </w:pPr>
            <w:r/>
            <w:r>
              <w:rPr>
                <w:rFonts w:ascii="Aptos" w:hAnsi="Aptos"/>
                <w:b w:val="0"/>
                <w:sz w:val="15"/>
              </w:rPr>
              <w:t>Deny; do not reveal whether the foreign booking exists; log security signal as appropriate.</w:t>
            </w:r>
          </w:p>
        </w:tc>
      </w:tr>
      <w:tr>
        <w:tc>
          <w:tcPr>
            <w:tcW w:type="dxa" w:w="5112"/>
            <w:vAlign w:val="center"/>
            <w:shd w:fill="F2F6F8"/>
          </w:tcPr>
          <w:p>
            <w:pPr>
              <w:spacing w:after="0"/>
            </w:pPr>
            <w:r/>
            <w:r>
              <w:rPr>
                <w:rFonts w:ascii="Aptos" w:hAnsi="Aptos"/>
                <w:b w:val="0"/>
                <w:sz w:val="15"/>
              </w:rPr>
              <w:t>Customer accepts an expired quote</w:t>
            </w:r>
          </w:p>
        </w:tc>
        <w:tc>
          <w:tcPr>
            <w:tcW w:type="dxa" w:w="5112"/>
            <w:vAlign w:val="center"/>
            <w:shd w:fill="F2F6F8"/>
          </w:tcPr>
          <w:p>
            <w:pPr>
              <w:spacing w:after="0"/>
            </w:pPr>
            <w:r/>
            <w:r>
              <w:rPr>
                <w:rFonts w:ascii="Aptos" w:hAnsi="Aptos"/>
                <w:b w:val="0"/>
                <w:sz w:val="15"/>
              </w:rPr>
              <w:t>Deny; return a stable expired-state error; quote remains expired.</w:t>
            </w:r>
          </w:p>
        </w:tc>
      </w:tr>
      <w:tr>
        <w:tc>
          <w:tcPr>
            <w:tcW w:type="dxa" w:w="5112"/>
            <w:vAlign w:val="center"/>
          </w:tcPr>
          <w:p>
            <w:pPr>
              <w:spacing w:after="0"/>
            </w:pPr>
            <w:r/>
            <w:r>
              <w:rPr>
                <w:rFonts w:ascii="Aptos" w:hAnsi="Aptos"/>
                <w:b w:val="0"/>
                <w:sz w:val="15"/>
              </w:rPr>
              <w:t>Vendor edits an accepted quote</w:t>
            </w:r>
          </w:p>
        </w:tc>
        <w:tc>
          <w:tcPr>
            <w:tcW w:type="dxa" w:w="5112"/>
            <w:vAlign w:val="center"/>
          </w:tcPr>
          <w:p>
            <w:pPr>
              <w:spacing w:after="0"/>
            </w:pPr>
            <w:r/>
            <w:r>
              <w:rPr>
                <w:rFonts w:ascii="Aptos" w:hAnsi="Aptos"/>
                <w:b w:val="0"/>
                <w:sz w:val="15"/>
              </w:rPr>
              <w:t>Deny normal mutation; direct to separate agreement/support process.</w:t>
            </w:r>
          </w:p>
        </w:tc>
      </w:tr>
      <w:tr>
        <w:tc>
          <w:tcPr>
            <w:tcW w:type="dxa" w:w="5112"/>
            <w:vAlign w:val="center"/>
            <w:shd w:fill="F2F6F8"/>
          </w:tcPr>
          <w:p>
            <w:pPr>
              <w:spacing w:after="0"/>
            </w:pPr>
            <w:r/>
            <w:r>
              <w:rPr>
                <w:rFonts w:ascii="Aptos" w:hAnsi="Aptos"/>
                <w:b w:val="0"/>
                <w:sz w:val="15"/>
              </w:rPr>
              <w:t>Vendor pays subscription but listing is rejected</w:t>
            </w:r>
          </w:p>
        </w:tc>
        <w:tc>
          <w:tcPr>
            <w:tcW w:type="dxa" w:w="5112"/>
            <w:vAlign w:val="center"/>
            <w:shd w:fill="F2F6F8"/>
          </w:tcPr>
          <w:p>
            <w:pPr>
              <w:spacing w:after="0"/>
            </w:pPr>
            <w:r/>
            <w:r>
              <w:rPr>
                <w:rFonts w:ascii="Aptos" w:hAnsi="Aptos"/>
                <w:b w:val="0"/>
                <w:sz w:val="15"/>
              </w:rPr>
              <w:t>Keep listing hidden; payment does not override moderation.</w:t>
            </w:r>
          </w:p>
        </w:tc>
      </w:tr>
      <w:tr>
        <w:tc>
          <w:tcPr>
            <w:tcW w:type="dxa" w:w="5112"/>
            <w:vAlign w:val="center"/>
          </w:tcPr>
          <w:p>
            <w:pPr>
              <w:spacing w:after="0"/>
            </w:pPr>
            <w:r/>
            <w:r>
              <w:rPr>
                <w:rFonts w:ascii="Aptos" w:hAnsi="Aptos"/>
                <w:b w:val="0"/>
                <w:sz w:val="15"/>
              </w:rPr>
              <w:t>Support agent reads unrelated private conversation</w:t>
            </w:r>
          </w:p>
        </w:tc>
        <w:tc>
          <w:tcPr>
            <w:tcW w:type="dxa" w:w="5112"/>
            <w:vAlign w:val="center"/>
          </w:tcPr>
          <w:p>
            <w:pPr>
              <w:spacing w:after="0"/>
            </w:pPr>
            <w:r/>
            <w:r>
              <w:rPr>
                <w:rFonts w:ascii="Aptos" w:hAnsi="Aptos"/>
                <w:b w:val="0"/>
                <w:sz w:val="15"/>
              </w:rPr>
              <w:t>Deny unless a valid case-bound permission exists.</w:t>
            </w:r>
          </w:p>
        </w:tc>
      </w:tr>
      <w:tr>
        <w:tc>
          <w:tcPr>
            <w:tcW w:type="dxa" w:w="5112"/>
            <w:vAlign w:val="center"/>
            <w:shd w:fill="F2F6F8"/>
          </w:tcPr>
          <w:p>
            <w:pPr>
              <w:spacing w:after="0"/>
            </w:pPr>
            <w:r/>
            <w:r>
              <w:rPr>
                <w:rFonts w:ascii="Aptos" w:hAnsi="Aptos"/>
                <w:b w:val="0"/>
                <w:sz w:val="15"/>
              </w:rPr>
              <w:t>Taxonomy administrator grants self super-admin</w:t>
            </w:r>
          </w:p>
        </w:tc>
        <w:tc>
          <w:tcPr>
            <w:tcW w:type="dxa" w:w="5112"/>
            <w:vAlign w:val="center"/>
            <w:shd w:fill="F2F6F8"/>
          </w:tcPr>
          <w:p>
            <w:pPr>
              <w:spacing w:after="0"/>
            </w:pPr>
            <w:r/>
            <w:r>
              <w:rPr>
                <w:rFonts w:ascii="Aptos" w:hAnsi="Aptos"/>
                <w:b w:val="0"/>
                <w:sz w:val="15"/>
              </w:rPr>
              <w:t>Deny and audit.</w:t>
            </w:r>
          </w:p>
        </w:tc>
      </w:tr>
      <w:tr>
        <w:tc>
          <w:tcPr>
            <w:tcW w:type="dxa" w:w="5112"/>
            <w:vAlign w:val="center"/>
          </w:tcPr>
          <w:p>
            <w:pPr>
              <w:spacing w:after="0"/>
            </w:pPr>
            <w:r/>
            <w:r>
              <w:rPr>
                <w:rFonts w:ascii="Aptos" w:hAnsi="Aptos"/>
                <w:b w:val="0"/>
                <w:sz w:val="15"/>
              </w:rPr>
              <w:t>Unprivileged user calls admin endpoint directly</w:t>
            </w:r>
          </w:p>
        </w:tc>
        <w:tc>
          <w:tcPr>
            <w:tcW w:type="dxa" w:w="5112"/>
            <w:vAlign w:val="center"/>
          </w:tcPr>
          <w:p>
            <w:pPr>
              <w:spacing w:after="0"/>
            </w:pPr>
            <w:r/>
            <w:r>
              <w:rPr>
                <w:rFonts w:ascii="Aptos" w:hAnsi="Aptos"/>
                <w:b w:val="0"/>
                <w:sz w:val="15"/>
              </w:rPr>
              <w:t>Deny server-side even if UI was manipulated.</w:t>
            </w:r>
          </w:p>
        </w:tc>
      </w:tr>
      <w:tr>
        <w:tc>
          <w:tcPr>
            <w:tcW w:type="dxa" w:w="5112"/>
            <w:vAlign w:val="center"/>
            <w:shd w:fill="F2F6F8"/>
          </w:tcPr>
          <w:p>
            <w:pPr>
              <w:spacing w:after="0"/>
            </w:pPr>
            <w:r/>
            <w:r>
              <w:rPr>
                <w:rFonts w:ascii="Aptos" w:hAnsi="Aptos"/>
                <w:b w:val="0"/>
                <w:sz w:val="15"/>
              </w:rPr>
              <w:t>Suspended vendor tries to create new listing via mobile API</w:t>
            </w:r>
          </w:p>
        </w:tc>
        <w:tc>
          <w:tcPr>
            <w:tcW w:type="dxa" w:w="5112"/>
            <w:vAlign w:val="center"/>
            <w:shd w:fill="F2F6F8"/>
          </w:tcPr>
          <w:p>
            <w:pPr>
              <w:spacing w:after="0"/>
            </w:pPr>
            <w:r/>
            <w:r>
              <w:rPr>
                <w:rFonts w:ascii="Aptos" w:hAnsi="Aptos"/>
                <w:b w:val="0"/>
                <w:sz w:val="15"/>
              </w:rPr>
              <w:t>Deny consistently across platforms.</w:t>
            </w:r>
          </w:p>
        </w:tc>
      </w:tr>
    </w:tbl>
    <w:p>
      <w:pPr>
        <w:spacing w:after="0"/>
      </w:pPr>
    </w:p>
    <w:p>
      <w:pPr>
        <w:pStyle w:val="Heading1"/>
      </w:pPr>
      <w:r>
        <w:t>5. Vendor onboarding, verification and publication</w:t>
      </w:r>
    </w:p>
    <w:p>
      <w:pPr>
        <w:pStyle w:val="Heading2"/>
      </w:pPr>
      <w:r>
        <w:t>5.1 Vendor onboarding flow</w:t>
      </w:r>
    </w:p>
    <w:p>
      <w:pPr>
        <w:pStyle w:val="ListNumber"/>
      </w:pPr>
      <w:r>
        <w:t>User starts vendor onboarding from an authenticated account.</w:t>
      </w:r>
    </w:p>
    <w:p>
      <w:pPr>
        <w:pStyle w:val="ListNumber"/>
      </w:pPr>
      <w:r>
        <w:t>System creates a draft vendor profile/organization and records the owner relationship.</w:t>
      </w:r>
    </w:p>
    <w:p>
      <w:pPr>
        <w:pStyle w:val="ListNumber"/>
      </w:pPr>
      <w:r>
        <w:t>Vendor selects categories, service types and service areas.</w:t>
      </w:r>
    </w:p>
    <w:p>
      <w:pPr>
        <w:pStyle w:val="ListNumber"/>
      </w:pPr>
      <w:r>
        <w:t>System loads category-specific fields, document requirements and validation rules.</w:t>
      </w:r>
    </w:p>
    <w:p>
      <w:pPr>
        <w:pStyle w:val="ListNumber"/>
      </w:pPr>
      <w:r>
        <w:t>Vendor completes profile details, price/range where available, portfolio, credentials and contact preferences.</w:t>
      </w:r>
    </w:p>
    <w:p>
      <w:pPr>
        <w:pStyle w:val="ListNumber"/>
      </w:pPr>
      <w:r>
        <w:t>Vendor submits account/profile and required documents for review.</w:t>
      </w:r>
    </w:p>
    <w:p>
      <w:pPr>
        <w:pStyle w:val="ListNumber"/>
      </w:pPr>
      <w:r>
        <w:t>Automated checks run where supported; flagged/high-risk items enter a human review queue.</w:t>
      </w:r>
    </w:p>
    <w:p>
      <w:pPr>
        <w:pStyle w:val="ListNumber"/>
      </w:pPr>
      <w:r>
        <w:t>Reviewer approves, rejects with reason or requests more information.</w:t>
      </w:r>
    </w:p>
    <w:p>
      <w:pPr>
        <w:pStyle w:val="ListNumber"/>
      </w:pPr>
      <w:r>
        <w:t>Vendor corrects/resubmits; prior decisions remain auditable.</w:t>
      </w:r>
    </w:p>
    <w:p>
      <w:pPr>
        <w:pStyle w:val="ListNumber"/>
      </w:pPr>
      <w:r>
        <w:t>Listing can publish only when subscription eligibility, content checks and applicable verification are all satisfied.</w:t>
      </w:r>
    </w:p>
    <w:p>
      <w:pPr>
        <w:pStyle w:val="Heading2"/>
      </w:pPr>
      <w:r>
        <w:t>5.2 Verification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Status</w:t>
            </w:r>
          </w:p>
        </w:tc>
        <w:tc>
          <w:tcPr>
            <w:tcW w:type="dxa" w:w="3408"/>
            <w:vAlign w:val="center"/>
            <w:shd w:fill="10253F"/>
          </w:tcPr>
          <w:p>
            <w:pPr>
              <w:spacing w:after="0"/>
            </w:pPr>
            <w:r/>
            <w:r>
              <w:rPr>
                <w:rFonts w:ascii="Aptos" w:hAnsi="Aptos"/>
                <w:b/>
                <w:color w:val="FFFFFF"/>
                <w:sz w:val="16"/>
              </w:rPr>
              <w:t>Meaning</w:t>
            </w:r>
          </w:p>
        </w:tc>
        <w:tc>
          <w:tcPr>
            <w:tcW w:type="dxa" w:w="3408"/>
            <w:vAlign w:val="center"/>
            <w:shd w:fill="10253F"/>
          </w:tcPr>
          <w:p>
            <w:pPr>
              <w:spacing w:after="0"/>
            </w:pPr>
            <w:r/>
            <w:r>
              <w:rPr>
                <w:rFonts w:ascii="Aptos" w:hAnsi="Aptos"/>
                <w:b/>
                <w:color w:val="FFFFFF"/>
                <w:sz w:val="16"/>
              </w:rPr>
              <w:t>Publication effect</w:t>
            </w:r>
          </w:p>
        </w:tc>
      </w:tr>
      <w:tr>
        <w:tc>
          <w:tcPr>
            <w:tcW w:type="dxa" w:w="3408"/>
            <w:vAlign w:val="center"/>
          </w:tcPr>
          <w:p>
            <w:pPr>
              <w:spacing w:after="0"/>
            </w:pPr>
            <w:r/>
            <w:r>
              <w:rPr>
                <w:rFonts w:ascii="Aptos" w:hAnsi="Aptos"/>
                <w:b w:val="0"/>
                <w:sz w:val="15"/>
              </w:rPr>
              <w:t>Not started</w:t>
            </w:r>
          </w:p>
        </w:tc>
        <w:tc>
          <w:tcPr>
            <w:tcW w:type="dxa" w:w="3408"/>
            <w:vAlign w:val="center"/>
          </w:tcPr>
          <w:p>
            <w:pPr>
              <w:spacing w:after="0"/>
            </w:pPr>
            <w:r/>
            <w:r>
              <w:rPr>
                <w:rFonts w:ascii="Aptos" w:hAnsi="Aptos"/>
                <w:b w:val="0"/>
                <w:sz w:val="15"/>
              </w:rPr>
              <w:t>No applicable evidence submitted.</w:t>
            </w:r>
          </w:p>
        </w:tc>
        <w:tc>
          <w:tcPr>
            <w:tcW w:type="dxa" w:w="3408"/>
            <w:vAlign w:val="center"/>
          </w:tcPr>
          <w:p>
            <w:pPr>
              <w:spacing w:after="0"/>
            </w:pPr>
            <w:r/>
            <w:r>
              <w:rPr>
                <w:rFonts w:ascii="Aptos" w:hAnsi="Aptos"/>
                <w:b w:val="0"/>
                <w:sz w:val="15"/>
              </w:rPr>
              <w:t>Block publication if category requires verification.</w:t>
            </w:r>
          </w:p>
        </w:tc>
      </w:tr>
      <w:tr>
        <w:tc>
          <w:tcPr>
            <w:tcW w:type="dxa" w:w="3408"/>
            <w:vAlign w:val="center"/>
            <w:shd w:fill="F2F6F8"/>
          </w:tcPr>
          <w:p>
            <w:pPr>
              <w:spacing w:after="0"/>
            </w:pPr>
            <w:r/>
            <w:r>
              <w:rPr>
                <w:rFonts w:ascii="Aptos" w:hAnsi="Aptos"/>
                <w:b w:val="0"/>
                <w:sz w:val="15"/>
              </w:rPr>
              <w:t>Submitted</w:t>
            </w:r>
          </w:p>
        </w:tc>
        <w:tc>
          <w:tcPr>
            <w:tcW w:type="dxa" w:w="3408"/>
            <w:vAlign w:val="center"/>
            <w:shd w:fill="F2F6F8"/>
          </w:tcPr>
          <w:p>
            <w:pPr>
              <w:spacing w:after="0"/>
            </w:pPr>
            <w:r/>
            <w:r>
              <w:rPr>
                <w:rFonts w:ascii="Aptos" w:hAnsi="Aptos"/>
                <w:b w:val="0"/>
                <w:sz w:val="15"/>
              </w:rPr>
              <w:t>Evidence supplied; awaiting review.</w:t>
            </w:r>
          </w:p>
        </w:tc>
        <w:tc>
          <w:tcPr>
            <w:tcW w:type="dxa" w:w="3408"/>
            <w:vAlign w:val="center"/>
            <w:shd w:fill="F2F6F8"/>
          </w:tcPr>
          <w:p>
            <w:pPr>
              <w:spacing w:after="0"/>
            </w:pPr>
            <w:r/>
            <w:r>
              <w:rPr>
                <w:rFonts w:ascii="Aptos" w:hAnsi="Aptos"/>
                <w:b w:val="0"/>
                <w:sz w:val="15"/>
              </w:rPr>
              <w:t>Block publication where verification is mandatory.</w:t>
            </w:r>
          </w:p>
        </w:tc>
      </w:tr>
      <w:tr>
        <w:tc>
          <w:tcPr>
            <w:tcW w:type="dxa" w:w="3408"/>
            <w:vAlign w:val="center"/>
          </w:tcPr>
          <w:p>
            <w:pPr>
              <w:spacing w:after="0"/>
            </w:pPr>
            <w:r/>
            <w:r>
              <w:rPr>
                <w:rFonts w:ascii="Aptos" w:hAnsi="Aptos"/>
                <w:b w:val="0"/>
                <w:sz w:val="15"/>
              </w:rPr>
              <w:t>More information required</w:t>
            </w:r>
          </w:p>
        </w:tc>
        <w:tc>
          <w:tcPr>
            <w:tcW w:type="dxa" w:w="3408"/>
            <w:vAlign w:val="center"/>
          </w:tcPr>
          <w:p>
            <w:pPr>
              <w:spacing w:after="0"/>
            </w:pPr>
            <w:r/>
            <w:r>
              <w:rPr>
                <w:rFonts w:ascii="Aptos" w:hAnsi="Aptos"/>
                <w:b w:val="0"/>
                <w:sz w:val="15"/>
              </w:rPr>
              <w:t>Evidence incomplete/unclear/expired.</w:t>
            </w:r>
          </w:p>
        </w:tc>
        <w:tc>
          <w:tcPr>
            <w:tcW w:type="dxa" w:w="3408"/>
            <w:vAlign w:val="center"/>
          </w:tcPr>
          <w:p>
            <w:pPr>
              <w:spacing w:after="0"/>
            </w:pPr>
            <w:r/>
            <w:r>
              <w:rPr>
                <w:rFonts w:ascii="Aptos" w:hAnsi="Aptos"/>
                <w:b w:val="0"/>
                <w:sz w:val="15"/>
              </w:rPr>
              <w:t>Keep affected listing hidden until resolved.</w:t>
            </w:r>
          </w:p>
        </w:tc>
      </w:tr>
      <w:tr>
        <w:tc>
          <w:tcPr>
            <w:tcW w:type="dxa" w:w="3408"/>
            <w:vAlign w:val="center"/>
            <w:shd w:fill="F2F6F8"/>
          </w:tcPr>
          <w:p>
            <w:pPr>
              <w:spacing w:after="0"/>
            </w:pPr>
            <w:r/>
            <w:r>
              <w:rPr>
                <w:rFonts w:ascii="Aptos" w:hAnsi="Aptos"/>
                <w:b w:val="0"/>
                <w:sz w:val="15"/>
              </w:rPr>
              <w:t>Approved</w:t>
            </w:r>
          </w:p>
        </w:tc>
        <w:tc>
          <w:tcPr>
            <w:tcW w:type="dxa" w:w="3408"/>
            <w:vAlign w:val="center"/>
            <w:shd w:fill="F2F6F8"/>
          </w:tcPr>
          <w:p>
            <w:pPr>
              <w:spacing w:after="0"/>
            </w:pPr>
            <w:r/>
            <w:r>
              <w:rPr>
                <w:rFonts w:ascii="Aptos" w:hAnsi="Aptos"/>
                <w:b w:val="0"/>
                <w:sz w:val="15"/>
              </w:rPr>
              <w:t>Required checks completed and approved.</w:t>
            </w:r>
          </w:p>
        </w:tc>
        <w:tc>
          <w:tcPr>
            <w:tcW w:type="dxa" w:w="3408"/>
            <w:vAlign w:val="center"/>
            <w:shd w:fill="F2F6F8"/>
          </w:tcPr>
          <w:p>
            <w:pPr>
              <w:spacing w:after="0"/>
            </w:pPr>
            <w:r/>
            <w:r>
              <w:rPr>
                <w:rFonts w:ascii="Aptos" w:hAnsi="Aptos"/>
                <w:b w:val="0"/>
                <w:sz w:val="15"/>
              </w:rPr>
              <w:t>May satisfy verification gate; does not alone publish listing.</w:t>
            </w:r>
          </w:p>
        </w:tc>
      </w:tr>
      <w:tr>
        <w:tc>
          <w:tcPr>
            <w:tcW w:type="dxa" w:w="3408"/>
            <w:vAlign w:val="center"/>
          </w:tcPr>
          <w:p>
            <w:pPr>
              <w:spacing w:after="0"/>
            </w:pPr>
            <w:r/>
            <w:r>
              <w:rPr>
                <w:rFonts w:ascii="Aptos" w:hAnsi="Aptos"/>
                <w:b w:val="0"/>
                <w:sz w:val="15"/>
              </w:rPr>
              <w:t>Rejected</w:t>
            </w:r>
          </w:p>
        </w:tc>
        <w:tc>
          <w:tcPr>
            <w:tcW w:type="dxa" w:w="3408"/>
            <w:vAlign w:val="center"/>
          </w:tcPr>
          <w:p>
            <w:pPr>
              <w:spacing w:after="0"/>
            </w:pPr>
            <w:r/>
            <w:r>
              <w:rPr>
                <w:rFonts w:ascii="Aptos" w:hAnsi="Aptos"/>
                <w:b w:val="0"/>
                <w:sz w:val="15"/>
              </w:rPr>
              <w:t>Evidence did not pass review.</w:t>
            </w:r>
          </w:p>
        </w:tc>
        <w:tc>
          <w:tcPr>
            <w:tcW w:type="dxa" w:w="3408"/>
            <w:vAlign w:val="center"/>
          </w:tcPr>
          <w:p>
            <w:pPr>
              <w:spacing w:after="0"/>
            </w:pPr>
            <w:r/>
            <w:r>
              <w:rPr>
                <w:rFonts w:ascii="Aptos" w:hAnsi="Aptos"/>
                <w:b w:val="0"/>
                <w:sz w:val="15"/>
              </w:rPr>
              <w:t>Keep affected listing hidden; show reason and resubmission route where allowed.</w:t>
            </w:r>
          </w:p>
        </w:tc>
      </w:tr>
      <w:tr>
        <w:tc>
          <w:tcPr>
            <w:tcW w:type="dxa" w:w="3408"/>
            <w:vAlign w:val="center"/>
            <w:shd w:fill="F2F6F8"/>
          </w:tcPr>
          <w:p>
            <w:pPr>
              <w:spacing w:after="0"/>
            </w:pPr>
            <w:r/>
            <w:r>
              <w:rPr>
                <w:rFonts w:ascii="Aptos" w:hAnsi="Aptos"/>
                <w:b w:val="0"/>
                <w:sz w:val="15"/>
              </w:rPr>
              <w:t>Expired</w:t>
            </w:r>
          </w:p>
        </w:tc>
        <w:tc>
          <w:tcPr>
            <w:tcW w:type="dxa" w:w="3408"/>
            <w:vAlign w:val="center"/>
            <w:shd w:fill="F2F6F8"/>
          </w:tcPr>
          <w:p>
            <w:pPr>
              <w:spacing w:after="0"/>
            </w:pPr>
            <w:r/>
            <w:r>
              <w:rPr>
                <w:rFonts w:ascii="Aptos" w:hAnsi="Aptos"/>
                <w:b w:val="0"/>
                <w:sz w:val="15"/>
              </w:rPr>
              <w:t>Previously valid credential has expired.</w:t>
            </w:r>
          </w:p>
        </w:tc>
        <w:tc>
          <w:tcPr>
            <w:tcW w:type="dxa" w:w="3408"/>
            <w:vAlign w:val="center"/>
            <w:shd w:fill="F2F6F8"/>
          </w:tcPr>
          <w:p>
            <w:pPr>
              <w:spacing w:after="0"/>
            </w:pPr>
            <w:r/>
            <w:r>
              <w:rPr>
                <w:rFonts w:ascii="Aptos" w:hAnsi="Aptos"/>
                <w:b w:val="0"/>
                <w:sz w:val="15"/>
              </w:rPr>
              <w:t>Re-evaluate publication eligibility under category rules.</w:t>
            </w:r>
          </w:p>
        </w:tc>
      </w:tr>
      <w:tr>
        <w:tc>
          <w:tcPr>
            <w:tcW w:type="dxa" w:w="3408"/>
            <w:vAlign w:val="center"/>
          </w:tcPr>
          <w:p>
            <w:pPr>
              <w:spacing w:after="0"/>
            </w:pPr>
            <w:r/>
            <w:r>
              <w:rPr>
                <w:rFonts w:ascii="Aptos" w:hAnsi="Aptos"/>
                <w:b w:val="0"/>
                <w:sz w:val="15"/>
              </w:rPr>
              <w:t>Revoked/restricted</w:t>
            </w:r>
          </w:p>
        </w:tc>
        <w:tc>
          <w:tcPr>
            <w:tcW w:type="dxa" w:w="3408"/>
            <w:vAlign w:val="center"/>
          </w:tcPr>
          <w:p>
            <w:pPr>
              <w:spacing w:after="0"/>
            </w:pPr>
            <w:r/>
            <w:r>
              <w:rPr>
                <w:rFonts w:ascii="Aptos" w:hAnsi="Aptos"/>
                <w:b w:val="0"/>
                <w:sz w:val="15"/>
              </w:rPr>
              <w:t>Approval withdrawn or account restricted.</w:t>
            </w:r>
          </w:p>
        </w:tc>
        <w:tc>
          <w:tcPr>
            <w:tcW w:type="dxa" w:w="3408"/>
            <w:vAlign w:val="center"/>
          </w:tcPr>
          <w:p>
            <w:pPr>
              <w:spacing w:after="0"/>
            </w:pPr>
            <w:r/>
            <w:r>
              <w:rPr>
                <w:rFonts w:ascii="Aptos" w:hAnsi="Aptos"/>
                <w:b w:val="0"/>
                <w:sz w:val="15"/>
              </w:rPr>
              <w:t>Apply relevant publication and trust controls.</w:t>
            </w:r>
          </w:p>
        </w:tc>
      </w:tr>
    </w:tbl>
    <w:p>
      <w:pPr>
        <w:spacing w:after="0"/>
      </w:pPr>
    </w:p>
    <w:p>
      <w:bookmarkStart w:id="9009" w:name="gm_c5"/>
      <w:r>
        <w:rPr>
          <w:b/>
        </w:rPr>
        <w:t xml:space="preserve">v3.0 note — verification. </w:t>
      </w:r>
      <w:r>
        <w:t xml:space="preserve">Verification levels L0 to L4, country-and-category requirement matrices, badge transparency and rating rules are defined in §26.6. They extend the statuses above and do not change the publication gates in §5.3.</w:t>
      </w:r>
      <w:bookmarkEnd w:id="9009"/>
    </w:p>
    <w:p>
      <w:pPr>
        <w:pStyle w:val="Heading2"/>
      </w:pPr>
      <w:r>
        <w:t>5.3 Publication decision logic</w:t>
      </w:r>
    </w:p>
    <w:p>
      <w:r>
        <w:t>A listing is publicly discoverable only when all required conditions are true:</w:t>
      </w:r>
    </w:p>
    <w:p>
      <w:pPr>
        <w:pStyle w:val="ListBullet"/>
      </w:pPr>
      <w:r>
        <w:t>Vendor account is in a permitted state.</w:t>
      </w:r>
    </w:p>
    <w:p>
      <w:pPr>
        <w:pStyle w:val="ListBullet"/>
      </w:pPr>
      <w:r>
        <w:t>Listing is approved by content review and is not paused, restricted or removed.</w:t>
      </w:r>
    </w:p>
    <w:p>
      <w:pPr>
        <w:pStyle w:val="ListBullet"/>
      </w:pPr>
      <w:r>
        <w:t>Subscription is active or otherwise within the explicitly allowed grace state.</w:t>
      </w:r>
    </w:p>
    <w:p>
      <w:pPr>
        <w:pStyle w:val="ListBullet"/>
      </w:pPr>
      <w:r>
        <w:t>Required category verification/document checks have passed and remain valid.</w:t>
      </w:r>
    </w:p>
    <w:p>
      <w:pPr>
        <w:pStyle w:val="ListBullet"/>
      </w:pPr>
      <w:r>
        <w:t>Listing has the required publishable fields and a valid service-area/category association.</w:t>
      </w:r>
    </w:p>
    <w:p>
      <w:pPr>
        <w:pStyle w:val="ListBullet"/>
      </w:pPr>
      <w:r>
        <w:t>No applicable legal, fraud, safety or administrative hold blocks publication.</w:t>
      </w:r>
    </w:p>
    <w:p>
      <w:r>
        <w:t>A publication decision must be recomputed when any gate changes. A listing must not remain public because an asynchronous event failed to propagate an expiry, suspension or document revocation.</w:t>
      </w:r>
    </w:p>
    <w:p>
      <w:pPr>
        <w:pStyle w:val="Heading2"/>
      </w:pPr>
      <w:r>
        <w:t>5.4 Listing editing and duplicates</w:t>
      </w:r>
    </w:p>
    <w:p>
      <w:pPr>
        <w:pStyle w:val="ListBullet"/>
      </w:pPr>
      <w:r>
        <w:t>Vendor can create multiple listings for distinct services and service areas within plan limits.</w:t>
      </w:r>
    </w:p>
    <w:p>
      <w:pPr>
        <w:pStyle w:val="ListBullet"/>
      </w:pPr>
      <w:r>
        <w:t>Vendor can edit, pause and unpublish listings. Material edits may trigger re-review according to configured policy.</w:t>
      </w:r>
    </w:p>
    <w:p>
      <w:pPr>
        <w:pStyle w:val="ListBullet"/>
      </w:pPr>
      <w:r>
        <w:t>Likely duplicate listings are flagged using vendor identity, service, location and listing details.</w:t>
      </w:r>
    </w:p>
    <w:p>
      <w:pPr>
        <w:pStyle w:val="ListBullet"/>
      </w:pPr>
      <w:r>
        <w:t>Duplicate detection may notify the vendor or queue the listing for review; it must not automatically merge or delete listings.</w:t>
      </w:r>
    </w:p>
    <w:p>
      <w:pPr>
        <w:pStyle w:val="ListBullet"/>
      </w:pPr>
      <w:r>
        <w:t>Reviewer decisions must distinguish legitimate regional/service variants from duplicate spam.</w:t>
      </w:r>
    </w:p>
    <w:p>
      <w:pPr>
        <w:pStyle w:val="Heading1"/>
      </w:pPr>
      <w:r>
        <w:t>6. Taxonomy, attributes and category rules</w:t>
      </w:r>
    </w:p>
    <w:p>
      <w:r>
        <w:t>Use the source taxonomy concept Domain → Category → Subcategory → Service/Product/Rental → Attributes, while allowing schema evolution. The Release 1 customer workflow is service booking and RFQ; product/rental transactional checkout is deferred.</w:t>
      </w:r>
    </w:p>
    <w:p>
      <w:pPr>
        <w:pStyle w:val="Heading2"/>
      </w:pPr>
      <w:r>
        <w:t>6.1 Priority category groups</w:t>
      </w:r>
    </w:p>
    <w:p>
      <w:pPr>
        <w:pStyle w:val="ListBullet"/>
      </w:pPr>
      <w:r>
        <w:t>Home services</w:t>
      </w:r>
    </w:p>
    <w:p>
      <w:pPr>
        <w:pStyle w:val="ListBullet"/>
      </w:pPr>
      <w:r>
        <w:t>Construction</w:t>
      </w:r>
    </w:p>
    <w:p>
      <w:pPr>
        <w:pStyle w:val="ListBullet"/>
      </w:pPr>
      <w:r>
        <w:t>Events</w:t>
      </w:r>
    </w:p>
    <w:p>
      <w:pPr>
        <w:pStyle w:val="ListBullet"/>
      </w:pPr>
      <w:r>
        <w:t>Professional services</w:t>
      </w:r>
    </w:p>
    <w:p>
      <w:pPr>
        <w:pStyle w:val="ListBullet"/>
      </w:pPr>
      <w:r>
        <w:t>IT and digital</w:t>
      </w:r>
    </w:p>
    <w:p>
      <w:pPr>
        <w:pStyle w:val="ListBullet"/>
      </w:pPr>
      <w:r>
        <w:t>Wholesale and industrial</w:t>
      </w:r>
    </w:p>
    <w:p>
      <w:pPr>
        <w:pStyle w:val="ListBullet"/>
      </w:pPr>
      <w:r>
        <w:t>Logistics</w:t>
      </w:r>
    </w:p>
    <w:p>
      <w:pPr>
        <w:pStyle w:val="ListBullet"/>
      </w:pPr>
      <w:r>
        <w:t>Automotive</w:t>
      </w:r>
    </w:p>
    <w:p>
      <w:pPr>
        <w:pStyle w:val="ListBullet"/>
      </w:pPr>
      <w:r>
        <w:t>Health, education and wellness</w:t>
      </w:r>
    </w:p>
    <w:p>
      <w:pPr>
        <w:pStyle w:val="ListBullet"/>
      </w:pPr>
      <w:r>
        <w:t>Agriculture, energy and specialized services</w:t>
      </w:r>
    </w:p>
    <w:p>
      <w:pPr>
        <w:pStyle w:val="ListBullet"/>
      </w:pPr>
      <w:bookmarkStart w:id="9010" w:name="gm_c61"/>
      <w:r>
        <w:t xml:space="preserve">Manufacturing, supply and trade (manufacturers, suppliers, wholesalers, distributors, importers and exporters)</w:t>
      </w:r>
      <w:bookmarkEnd w:id="9010"/>
    </w:p>
    <w:p>
      <w:pPr>
        <w:pStyle w:val="ListBullet"/>
      </w:pPr>
      <w:r>
        <w:t xml:space="preserve">Retail, hospitality and consumer services</w:t>
      </w:r>
    </w:p>
    <w:p>
      <w:pPr>
        <w:pStyle w:val="ListBullet"/>
      </w:pPr>
      <w:r>
        <w:t xml:space="preserve">Legal, finance and business support</w:t>
      </w:r>
    </w:p>
    <w:p>
      <w:pPr>
        <w:pStyle w:val="ListBullet"/>
      </w:pPr>
      <w:r>
        <w:t xml:space="preserve">Media, creative and marketing</w:t>
      </w:r>
    </w:p>
    <w:p>
      <w:pPr>
        <w:pStyle w:val="ListBullet"/>
      </w:pPr>
      <w:r>
        <w:t xml:space="preserve">Any further category created by administrators (§26.2)</w:t>
      </w:r>
    </w:p>
    <w:p>
      <w:bookmarkStart w:id="9011" w:name="gm_c61n"/>
      <w:r>
        <w:rPr>
          <w:b/>
        </w:rPr>
        <w:t xml:space="preserve">v3.0 note. </w:t>
      </w:r>
      <w:r>
        <w:t xml:space="preserve">These groups are launch priorities and examples, not limits. Administrators can create further categories at any time without a software release (§26.2).</w:t>
      </w:r>
      <w:bookmarkEnd w:id="9011"/>
    </w:p>
    <w:p>
      <w:pPr>
        <w:pStyle w:val="Heading2"/>
      </w:pPr>
      <w:r>
        <w:t>6.2 Configurable category metadata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Configuration</w:t>
            </w:r>
          </w:p>
        </w:tc>
        <w:tc>
          <w:tcPr>
            <w:tcW w:type="dxa" w:w="5112"/>
            <w:vAlign w:val="center"/>
            <w:shd w:fill="10253F"/>
          </w:tcPr>
          <w:p>
            <w:pPr>
              <w:spacing w:after="0"/>
            </w:pPr>
            <w:r/>
            <w:r>
              <w:rPr>
                <w:rFonts w:ascii="Aptos" w:hAnsi="Aptos"/>
                <w:b/>
                <w:color w:val="FFFFFF"/>
                <w:sz w:val="16"/>
              </w:rPr>
              <w:t>Example / purpose</w:t>
            </w:r>
          </w:p>
        </w:tc>
      </w:tr>
      <w:tr>
        <w:tc>
          <w:tcPr>
            <w:tcW w:type="dxa" w:w="5112"/>
            <w:vAlign w:val="center"/>
          </w:tcPr>
          <w:p>
            <w:pPr>
              <w:spacing w:after="0"/>
            </w:pPr>
            <w:r/>
            <w:r>
              <w:rPr>
                <w:rFonts w:ascii="Aptos" w:hAnsi="Aptos"/>
                <w:b w:val="0"/>
                <w:sz w:val="15"/>
              </w:rPr>
              <w:t>Localized name and aliases</w:t>
            </w:r>
          </w:p>
        </w:tc>
        <w:tc>
          <w:tcPr>
            <w:tcW w:type="dxa" w:w="5112"/>
            <w:vAlign w:val="center"/>
          </w:tcPr>
          <w:p>
            <w:pPr>
              <w:spacing w:after="0"/>
            </w:pPr>
            <w:r/>
            <w:r>
              <w:rPr>
                <w:rFonts w:ascii="Aptos" w:hAnsi="Aptos"/>
                <w:b w:val="0"/>
                <w:sz w:val="15"/>
              </w:rPr>
              <w:t>Search terms, synonyms and English/Hindi labels.</w:t>
            </w:r>
          </w:p>
        </w:tc>
      </w:tr>
      <w:tr>
        <w:tc>
          <w:tcPr>
            <w:tcW w:type="dxa" w:w="5112"/>
            <w:vAlign w:val="center"/>
            <w:shd w:fill="F2F6F8"/>
          </w:tcPr>
          <w:p>
            <w:pPr>
              <w:spacing w:after="0"/>
            </w:pPr>
            <w:r/>
            <w:r>
              <w:rPr>
                <w:rFonts w:ascii="Aptos" w:hAnsi="Aptos"/>
                <w:b w:val="0"/>
                <w:sz w:val="15"/>
              </w:rPr>
              <w:t>Attribute schema</w:t>
            </w:r>
          </w:p>
        </w:tc>
        <w:tc>
          <w:tcPr>
            <w:tcW w:type="dxa" w:w="5112"/>
            <w:vAlign w:val="center"/>
            <w:shd w:fill="F2F6F8"/>
          </w:tcPr>
          <w:p>
            <w:pPr>
              <w:spacing w:after="0"/>
            </w:pPr>
            <w:r/>
            <w:r>
              <w:rPr>
                <w:rFonts w:ascii="Aptos" w:hAnsi="Aptos"/>
                <w:b w:val="0"/>
                <w:sz w:val="15"/>
              </w:rPr>
              <w:t>Service-specific capabilities, dimensions, quantities, units, expertise or equipment.</w:t>
            </w:r>
          </w:p>
        </w:tc>
      </w:tr>
      <w:tr>
        <w:tc>
          <w:tcPr>
            <w:tcW w:type="dxa" w:w="5112"/>
            <w:vAlign w:val="center"/>
          </w:tcPr>
          <w:p>
            <w:pPr>
              <w:spacing w:after="0"/>
            </w:pPr>
            <w:r/>
            <w:r>
              <w:rPr>
                <w:rFonts w:ascii="Aptos" w:hAnsi="Aptos"/>
                <w:b w:val="0"/>
                <w:sz w:val="15"/>
              </w:rPr>
              <w:t>Field validation</w:t>
            </w:r>
          </w:p>
        </w:tc>
        <w:tc>
          <w:tcPr>
            <w:tcW w:type="dxa" w:w="5112"/>
            <w:vAlign w:val="center"/>
          </w:tcPr>
          <w:p>
            <w:pPr>
              <w:spacing w:after="0"/>
            </w:pPr>
            <w:r/>
            <w:r>
              <w:rPr>
                <w:rFonts w:ascii="Aptos" w:hAnsi="Aptos"/>
                <w:b w:val="0"/>
                <w:sz w:val="15"/>
              </w:rPr>
              <w:t>Required/optional, data type, allowed values, limits and conditional rules.</w:t>
            </w:r>
          </w:p>
        </w:tc>
      </w:tr>
      <w:tr>
        <w:tc>
          <w:tcPr>
            <w:tcW w:type="dxa" w:w="5112"/>
            <w:vAlign w:val="center"/>
            <w:shd w:fill="F2F6F8"/>
          </w:tcPr>
          <w:p>
            <w:pPr>
              <w:spacing w:after="0"/>
            </w:pPr>
            <w:r/>
            <w:r>
              <w:rPr>
                <w:rFonts w:ascii="Aptos" w:hAnsi="Aptos"/>
                <w:b w:val="0"/>
                <w:sz w:val="15"/>
              </w:rPr>
              <w:t>Booking mode</w:t>
            </w:r>
          </w:p>
        </w:tc>
        <w:tc>
          <w:tcPr>
            <w:tcW w:type="dxa" w:w="5112"/>
            <w:vAlign w:val="center"/>
            <w:shd w:fill="F2F6F8"/>
          </w:tcPr>
          <w:p>
            <w:pPr>
              <w:spacing w:after="0"/>
            </w:pPr>
            <w:r/>
            <w:r>
              <w:rPr>
                <w:rFonts w:ascii="Aptos" w:hAnsi="Aptos"/>
                <w:b w:val="0"/>
                <w:sz w:val="15"/>
              </w:rPr>
              <w:t>Direct booking, request-and-accept, RFQ, or allowed combination.</w:t>
            </w:r>
          </w:p>
        </w:tc>
      </w:tr>
      <w:tr>
        <w:tc>
          <w:tcPr>
            <w:tcW w:type="dxa" w:w="5112"/>
            <w:vAlign w:val="center"/>
          </w:tcPr>
          <w:p>
            <w:pPr>
              <w:spacing w:after="0"/>
            </w:pPr>
            <w:r/>
            <w:r>
              <w:rPr>
                <w:rFonts w:ascii="Aptos" w:hAnsi="Aptos"/>
                <w:b w:val="0"/>
                <w:sz w:val="15"/>
              </w:rPr>
              <w:t>Availability model</w:t>
            </w:r>
          </w:p>
        </w:tc>
        <w:tc>
          <w:tcPr>
            <w:tcW w:type="dxa" w:w="5112"/>
            <w:vAlign w:val="center"/>
          </w:tcPr>
          <w:p>
            <w:pPr>
              <w:spacing w:after="0"/>
            </w:pPr>
            <w:r/>
            <w:r>
              <w:rPr>
                <w:rFonts w:ascii="Aptos" w:hAnsi="Aptos"/>
                <w:b w:val="0"/>
                <w:sz w:val="15"/>
              </w:rPr>
              <w:t>Time slots, capacity, lead time or “not listed” where no reliable availability model exists.</w:t>
            </w:r>
          </w:p>
        </w:tc>
      </w:tr>
      <w:tr>
        <w:tc>
          <w:tcPr>
            <w:tcW w:type="dxa" w:w="5112"/>
            <w:vAlign w:val="center"/>
            <w:shd w:fill="F2F6F8"/>
          </w:tcPr>
          <w:p>
            <w:pPr>
              <w:spacing w:after="0"/>
            </w:pPr>
            <w:r/>
            <w:r>
              <w:rPr>
                <w:rFonts w:ascii="Aptos" w:hAnsi="Aptos"/>
                <w:b w:val="0"/>
                <w:sz w:val="15"/>
              </w:rPr>
              <w:t>Verification rules</w:t>
            </w:r>
          </w:p>
        </w:tc>
        <w:tc>
          <w:tcPr>
            <w:tcW w:type="dxa" w:w="5112"/>
            <w:vAlign w:val="center"/>
            <w:shd w:fill="F2F6F8"/>
          </w:tcPr>
          <w:p>
            <w:pPr>
              <w:spacing w:after="0"/>
            </w:pPr>
            <w:r/>
            <w:r>
              <w:rPr>
                <w:rFonts w:ascii="Aptos" w:hAnsi="Aptos"/>
                <w:b w:val="0"/>
                <w:sz w:val="15"/>
              </w:rPr>
              <w:t>Required identity/business/licence evidence, expiry and review requirements.</w:t>
            </w:r>
          </w:p>
        </w:tc>
      </w:tr>
      <w:tr>
        <w:tc>
          <w:tcPr>
            <w:tcW w:type="dxa" w:w="5112"/>
            <w:vAlign w:val="center"/>
          </w:tcPr>
          <w:p>
            <w:pPr>
              <w:spacing w:after="0"/>
            </w:pPr>
            <w:r/>
            <w:r>
              <w:rPr>
                <w:rFonts w:ascii="Aptos" w:hAnsi="Aptos"/>
                <w:b w:val="0"/>
                <w:sz w:val="15"/>
              </w:rPr>
              <w:t>Response deadline</w:t>
            </w:r>
          </w:p>
        </w:tc>
        <w:tc>
          <w:tcPr>
            <w:tcW w:type="dxa" w:w="5112"/>
            <w:vAlign w:val="center"/>
          </w:tcPr>
          <w:p>
            <w:pPr>
              <w:spacing w:after="0"/>
            </w:pPr>
            <w:r/>
            <w:r>
              <w:rPr>
                <w:rFonts w:ascii="Aptos" w:hAnsi="Aptos"/>
                <w:b w:val="0"/>
                <w:sz w:val="15"/>
              </w:rPr>
              <w:t>Time window before a booking request expires; category/booking-type configurable.</w:t>
            </w:r>
          </w:p>
        </w:tc>
      </w:tr>
      <w:tr>
        <w:tc>
          <w:tcPr>
            <w:tcW w:type="dxa" w:w="5112"/>
            <w:vAlign w:val="center"/>
            <w:shd w:fill="F2F6F8"/>
          </w:tcPr>
          <w:p>
            <w:pPr>
              <w:spacing w:after="0"/>
            </w:pPr>
            <w:r/>
            <w:r>
              <w:rPr>
                <w:rFonts w:ascii="Aptos" w:hAnsi="Aptos"/>
                <w:b w:val="0"/>
                <w:sz w:val="15"/>
              </w:rPr>
              <w:t>Cancellation policy</w:t>
            </w:r>
          </w:p>
        </w:tc>
        <w:tc>
          <w:tcPr>
            <w:tcW w:type="dxa" w:w="5112"/>
            <w:vAlign w:val="center"/>
            <w:shd w:fill="F2F6F8"/>
          </w:tcPr>
          <w:p>
            <w:pPr>
              <w:spacing w:after="0"/>
            </w:pPr>
            <w:r/>
            <w:r>
              <w:rPr>
                <w:rFonts w:ascii="Aptos" w:hAnsi="Aptos"/>
                <w:b w:val="0"/>
                <w:sz w:val="15"/>
              </w:rPr>
              <w:t>Standard baseline plus approved category exceptions.</w:t>
            </w:r>
          </w:p>
        </w:tc>
      </w:tr>
      <w:tr>
        <w:tc>
          <w:tcPr>
            <w:tcW w:type="dxa" w:w="5112"/>
            <w:vAlign w:val="center"/>
          </w:tcPr>
          <w:p>
            <w:pPr>
              <w:spacing w:after="0"/>
            </w:pPr>
            <w:r/>
            <w:r>
              <w:rPr>
                <w:rFonts w:ascii="Aptos" w:hAnsi="Aptos"/>
                <w:b w:val="0"/>
                <w:sz w:val="15"/>
              </w:rPr>
              <w:t>RFQ schema</w:t>
            </w:r>
          </w:p>
        </w:tc>
        <w:tc>
          <w:tcPr>
            <w:tcW w:type="dxa" w:w="5112"/>
            <w:vAlign w:val="center"/>
          </w:tcPr>
          <w:p>
            <w:pPr>
              <w:spacing w:after="0"/>
            </w:pPr>
            <w:r/>
            <w:r>
              <w:rPr>
                <w:rFonts w:ascii="Aptos" w:hAnsi="Aptos"/>
                <w:b w:val="0"/>
                <w:sz w:val="15"/>
              </w:rPr>
              <w:t>Required specification, quantity, location, schedule, budget and attachments.</w:t>
            </w:r>
          </w:p>
        </w:tc>
      </w:tr>
      <w:tr>
        <w:tc>
          <w:tcPr>
            <w:tcW w:type="dxa" w:w="5112"/>
            <w:vAlign w:val="center"/>
            <w:shd w:fill="F2F6F8"/>
          </w:tcPr>
          <w:p>
            <w:pPr>
              <w:spacing w:after="0"/>
            </w:pPr>
            <w:r/>
            <w:r>
              <w:rPr>
                <w:rFonts w:ascii="Aptos" w:hAnsi="Aptos"/>
                <w:b w:val="0"/>
                <w:sz w:val="15"/>
              </w:rPr>
              <w:t>Subscription entitlements</w:t>
            </w:r>
          </w:p>
        </w:tc>
        <w:tc>
          <w:tcPr>
            <w:tcW w:type="dxa" w:w="5112"/>
            <w:vAlign w:val="center"/>
            <w:shd w:fill="F2F6F8"/>
          </w:tcPr>
          <w:p>
            <w:pPr>
              <w:spacing w:after="0"/>
            </w:pPr>
            <w:r/>
            <w:r>
              <w:rPr>
                <w:rFonts w:ascii="Aptos" w:hAnsi="Aptos"/>
                <w:b w:val="0"/>
                <w:sz w:val="15"/>
              </w:rPr>
              <w:t>Applicable listing/lead limits and supported tools.</w:t>
            </w:r>
          </w:p>
        </w:tc>
      </w:tr>
      <w:tr>
        <w:tc>
          <w:tcPr>
            <w:tcW w:type="dxa" w:w="5112"/>
            <w:vAlign w:val="center"/>
          </w:tcPr>
          <w:p>
            <w:pPr>
              <w:spacing w:after="0"/>
            </w:pPr>
            <w:r/>
            <w:r>
              <w:rPr>
                <w:rFonts w:ascii="Aptos" w:hAnsi="Aptos"/>
                <w:b w:val="0"/>
                <w:sz w:val="15"/>
              </w:rPr>
              <w:t>Restricted-content rules</w:t>
            </w:r>
          </w:p>
        </w:tc>
        <w:tc>
          <w:tcPr>
            <w:tcW w:type="dxa" w:w="5112"/>
            <w:vAlign w:val="center"/>
          </w:tcPr>
          <w:p>
            <w:pPr>
              <w:spacing w:after="0"/>
            </w:pPr>
            <w:r/>
            <w:r>
              <w:rPr>
                <w:rFonts w:ascii="Aptos" w:hAnsi="Aptos"/>
                <w:b w:val="0"/>
                <w:sz w:val="15"/>
              </w:rPr>
              <w:t>Prohibited items/services, mandatory notices and review severity.</w:t>
            </w:r>
          </w:p>
        </w:tc>
      </w:tr>
      <w:tr>
        <w:trPr>
          <w:cantSplit/>
        </w:trPr>
        <w:tc>
          <w:tcPr>
            <w:tcW w:type="dxa" w:w="5112"/>
            <w:vAlign w:val="center"/>
            <w:shd w:fill="F2F6F8"/>
          </w:tcPr>
          <w:p>
            <w:pPr>
              <w:spacing w:after="0"/>
            </w:pPr>
            <w:bookmarkStart w:id="9012" w:name="gm_c62_row"/>
            <w:r/>
            <w:r>
              <w:rPr>
                <w:rFonts w:ascii="Aptos" w:hAnsi="Aptos"/>
                <w:b w:val="0"/>
                <w:sz w:val="15"/>
              </w:rPr>
              <w:t xml:space="preserve">Country and market availability</w:t>
            </w:r>
            <w:bookmarkEnd w:id="9012"/>
          </w:p>
        </w:tc>
        <w:tc>
          <w:tcPr>
            <w:tcW w:type="dxa" w:w="5112"/>
            <w:vAlign w:val="center"/>
            <w:shd w:fill="F2F6F8"/>
          </w:tcPr>
          <w:p>
            <w:pPr>
              <w:spacing w:after="0"/>
            </w:pPr>
            <w:r/>
            <w:r>
              <w:rPr>
                <w:rFonts w:ascii="Aptos" w:hAnsi="Aptos"/>
                <w:b w:val="0"/>
                <w:sz w:val="15"/>
              </w:rPr>
              <w:t xml:space="preserve">Enable or restrict a category globally or per country, state, city or launch wave; local names and legal notices.</w:t>
            </w:r>
          </w:p>
        </w:tc>
      </w:tr>
      <w:tr>
        <w:trPr>
          <w:cantSplit/>
        </w:trPr>
        <w:tc>
          <w:tcPr>
            <w:tcW w:type="dxa" w:w="5112"/>
            <w:vAlign w:val="center"/>
          </w:tcPr>
          <w:p>
            <w:pPr>
              <w:spacing w:after="0"/>
            </w:pPr>
            <w:r/>
            <w:r>
              <w:rPr>
                <w:rFonts w:ascii="Aptos" w:hAnsi="Aptos"/>
                <w:b w:val="0"/>
                <w:sz w:val="15"/>
              </w:rPr>
              <w:t xml:space="preserve">Vendor type and supplier attributes</w:t>
            </w:r>
          </w:p>
        </w:tc>
        <w:tc>
          <w:tcPr>
            <w:tcW w:type="dxa" w:w="5112"/>
            <w:vAlign w:val="center"/>
          </w:tcPr>
          <w:p>
            <w:pPr>
              <w:spacing w:after="0"/>
            </w:pPr>
            <w:r/>
            <w:r>
              <w:rPr>
                <w:rFonts w:ascii="Aptos" w:hAnsi="Aptos"/>
                <w:b w:val="0"/>
                <w:sz w:val="15"/>
              </w:rPr>
              <w:t xml:space="preserve">Manufacturer, supplier and contractor types; minimum order, lead time, trade terms and certifications (§26.7).</w:t>
            </w:r>
          </w:p>
        </w:tc>
      </w:tr>
      <w:tr>
        <w:trPr>
          <w:cantSplit/>
        </w:trPr>
        <w:tc>
          <w:tcPr>
            <w:tcW w:type="dxa" w:w="5112"/>
            <w:vAlign w:val="center"/>
            <w:shd w:fill="F2F6F8"/>
          </w:tcPr>
          <w:p>
            <w:pPr>
              <w:spacing w:after="0"/>
            </w:pPr>
            <w:r/>
            <w:r>
              <w:rPr>
                <w:rFonts w:ascii="Aptos" w:hAnsi="Aptos"/>
                <w:b w:val="0"/>
                <w:sz w:val="15"/>
              </w:rPr>
              <w:t xml:space="preserve">Currency and unit rules</w:t>
            </w:r>
          </w:p>
        </w:tc>
        <w:tc>
          <w:tcPr>
            <w:tcW w:type="dxa" w:w="5112"/>
            <w:vAlign w:val="center"/>
            <w:shd w:fill="F2F6F8"/>
          </w:tcPr>
          <w:p>
            <w:pPr>
              <w:spacing w:after="0"/>
            </w:pPr>
            <w:r/>
            <w:r>
              <w:rPr>
                <w:rFonts w:ascii="Aptos" w:hAnsi="Aptos"/>
                <w:b w:val="0"/>
                <w:sz w:val="15"/>
              </w:rPr>
              <w:t xml:space="preserve">Allowed currencies, price units and measurement systems.</w:t>
            </w:r>
          </w:p>
        </w:tc>
      </w:tr>
      <w:tr>
        <w:trPr>
          <w:cantSplit/>
        </w:trPr>
        <w:tc>
          <w:tcPr>
            <w:tcW w:type="dxa" w:w="5112"/>
            <w:vAlign w:val="center"/>
          </w:tcPr>
          <w:p>
            <w:pPr>
              <w:spacing w:after="0"/>
            </w:pPr>
            <w:r/>
            <w:r>
              <w:rPr>
                <w:rFonts w:ascii="Aptos" w:hAnsi="Aptos"/>
                <w:b w:val="0"/>
                <w:sz w:val="15"/>
              </w:rPr>
              <w:t xml:space="preserve">Contract eligibility</w:t>
            </w:r>
          </w:p>
        </w:tc>
        <w:tc>
          <w:tcPr>
            <w:tcW w:type="dxa" w:w="5112"/>
            <w:vAlign w:val="center"/>
          </w:tcPr>
          <w:p>
            <w:pPr>
              <w:spacing w:after="0"/>
            </w:pPr>
            <w:r/>
            <w:r>
              <w:rPr>
                <w:rFonts w:ascii="Aptos" w:hAnsi="Aptos"/>
                <w:b w:val="0"/>
                <w:sz w:val="15"/>
              </w:rPr>
              <w:t xml:space="preserve">Whether contract bookings are allowed and which approved template and clauses apply (CFG-17).</w:t>
            </w:r>
          </w:p>
        </w:tc>
      </w:tr>
    </w:tbl>
    <w:p>
      <w:pPr>
        <w:spacing w:after="0"/>
      </w:pPr>
    </w:p>
    <w:p>
      <w:r>
        <w:t>Configuration changes should be versioned. Existing bookings and accepted quotations retain their agreed terms snapshot even if category defaults later change.</w:t>
      </w:r>
    </w:p>
    <w:p>
      <w:pPr>
        <w:pStyle w:val="Heading1"/>
      </w:pPr>
      <w:r>
        <w:t>7. Discovery, search, ranking and comparison</w:t>
      </w:r>
    </w:p>
    <w:p>
      <w:pPr>
        <w:pStyle w:val="Heading2"/>
      </w:pPr>
      <w:r>
        <w:t>7.1 Search inputs and filters</w:t>
      </w:r>
    </w:p>
    <w:p>
      <w:pPr>
        <w:pStyle w:val="ListBullet"/>
      </w:pPr>
      <w:r>
        <w:t>Keyword, category/subcategory, location/city/pincode, service area and relevant category attributes.</w:t>
      </w:r>
    </w:p>
    <w:p>
      <w:pPr>
        <w:pStyle w:val="ListBullet"/>
      </w:pPr>
      <w:r>
        <w:t>Filters may include price/range, applicable verification, availability if provided, language, rating/review data and other category-specific attributes.</w:t>
      </w:r>
    </w:p>
    <w:p>
      <w:pPr>
        <w:pStyle w:val="ListBullet"/>
      </w:pPr>
      <w:r>
        <w:t>Location filtering must respect vendor-configured service coverage; do not imply that every vendor serves all of India.</w:t>
      </w:r>
    </w:p>
    <w:p>
      <w:pPr>
        <w:pStyle w:val="ListBullet"/>
      </w:pPr>
      <w:r>
        <w:t>Search endpoints must exclude drafts, rejected, hidden, expired, restricted and otherwise ineligible listings.</w:t>
      </w:r>
    </w:p>
    <w:p>
      <w:pPr>
        <w:pStyle w:val="ListBullet"/>
      </w:pPr>
      <w:r>
        <w:t>Search should support pagination, stable ordering where possible, filter reset and recoverable empty/error states.</w:t>
      </w:r>
    </w:p>
    <w:p>
      <w:pPr>
        <w:pStyle w:val="ListBullet"/>
      </w:pPr>
      <w:bookmarkStart w:id="9013" w:name="gm_c71"/>
      <w:r>
        <w:rPr>
          <w:b/>
        </w:rPr>
        <w:t xml:space="preserve">Global search. </w:t>
      </w:r>
      <w:r>
        <w:t xml:space="preserve">Location hierarchy of country, state/region, city and locality/postal code; “near me” with consent; remote/online-only and ships-to-country filters; localized names and transliteration (§26.3).</w:t>
      </w:r>
      <w:bookmarkEnd w:id="9013"/>
    </w:p>
    <w:p>
      <w:pPr>
        <w:pStyle w:val="Heading2"/>
      </w:pPr>
      <w:r>
        <w:t>7.2 Ranking</w:t>
      </w:r>
    </w:p>
    <w:p>
      <w:r>
        <w:t>Organic ranking uses relevance and quality signals: category/search match, service-area match, applicable verification, availability, responsiveness, completion history and review quality. Subscription tier is not a quality signal. Signals should be normalized and monitored to avoid systematically penalizing new vendors with little history.</w:t>
      </w:r>
    </w:p>
    <w:p>
      <w:r>
        <w:t>Sponsored listings are labelled clearly and must pass the same publication, safety and verification gates. Paid visibility cannot make an ineligible vendor appear.</w:t>
      </w:r>
    </w:p>
    <w:p>
      <w:pPr>
        <w:pStyle w:val="Heading2"/>
      </w:pPr>
      <w:r>
        <w:t>7.3 No-result behavior</w:t>
      </w:r>
    </w:p>
    <w:p>
      <w:pPr>
        <w:pStyle w:val="ListBullet"/>
      </w:pPr>
      <w:r>
        <w:t>Explain that no suitable vendor was found for the selected category/area/filters.</w:t>
      </w:r>
    </w:p>
    <w:p>
      <w:pPr>
        <w:pStyle w:val="ListBullet"/>
      </w:pPr>
      <w:r>
        <w:t>Offer safe next steps such as broadening the area, removing a restrictive filter, submitting an enquiry or requesting notification when suitable supply becomes available where implemented.</w:t>
      </w:r>
    </w:p>
    <w:p>
      <w:pPr>
        <w:pStyle w:val="ListBullet"/>
      </w:pPr>
      <w:r>
        <w:t>Do not show vendors outside their service area as if they match; if broader-area suggestions are offered, label the mismatch clearly.</w:t>
      </w:r>
    </w:p>
    <w:p>
      <w:pPr>
        <w:pStyle w:val="Heading2"/>
      </w:pPr>
      <w:r>
        <w:t>7.4 Missing information and compare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Field</w:t>
            </w:r>
          </w:p>
        </w:tc>
        <w:tc>
          <w:tcPr>
            <w:tcW w:type="dxa" w:w="3408"/>
            <w:vAlign w:val="center"/>
            <w:shd w:fill="10253F"/>
          </w:tcPr>
          <w:p>
            <w:pPr>
              <w:spacing w:after="0"/>
            </w:pPr>
            <w:r/>
            <w:r>
              <w:rPr>
                <w:rFonts w:ascii="Aptos" w:hAnsi="Aptos"/>
                <w:b/>
                <w:color w:val="FFFFFF"/>
                <w:sz w:val="16"/>
              </w:rPr>
              <w:t>When absent</w:t>
            </w:r>
          </w:p>
        </w:tc>
        <w:tc>
          <w:tcPr>
            <w:tcW w:type="dxa" w:w="3408"/>
            <w:vAlign w:val="center"/>
            <w:shd w:fill="10253F"/>
          </w:tcPr>
          <w:p>
            <w:pPr>
              <w:spacing w:after="0"/>
            </w:pPr>
            <w:r/>
            <w:r>
              <w:rPr>
                <w:rFonts w:ascii="Aptos" w:hAnsi="Aptos"/>
                <w:b/>
                <w:color w:val="FFFFFF"/>
                <w:sz w:val="16"/>
              </w:rPr>
              <w:t>Rule</w:t>
            </w:r>
          </w:p>
        </w:tc>
      </w:tr>
      <w:tr>
        <w:tc>
          <w:tcPr>
            <w:tcW w:type="dxa" w:w="3408"/>
            <w:vAlign w:val="center"/>
          </w:tcPr>
          <w:p>
            <w:pPr>
              <w:spacing w:after="0"/>
            </w:pPr>
            <w:r/>
            <w:r>
              <w:rPr>
                <w:rFonts w:ascii="Aptos" w:hAnsi="Aptos"/>
                <w:b w:val="0"/>
                <w:sz w:val="15"/>
              </w:rPr>
              <w:t>Price</w:t>
            </w:r>
          </w:p>
        </w:tc>
        <w:tc>
          <w:tcPr>
            <w:tcW w:type="dxa" w:w="3408"/>
            <w:vAlign w:val="center"/>
          </w:tcPr>
          <w:p>
            <w:pPr>
              <w:spacing w:after="0"/>
            </w:pPr>
            <w:r/>
            <w:r>
              <w:rPr>
                <w:rFonts w:ascii="Aptos" w:hAnsi="Aptos"/>
                <w:b w:val="0"/>
                <w:sz w:val="15"/>
              </w:rPr>
              <w:t>Not provided</w:t>
            </w:r>
          </w:p>
        </w:tc>
        <w:tc>
          <w:tcPr>
            <w:tcW w:type="dxa" w:w="3408"/>
            <w:vAlign w:val="center"/>
          </w:tcPr>
          <w:p>
            <w:pPr>
              <w:spacing w:after="0"/>
            </w:pPr>
            <w:r/>
            <w:r>
              <w:rPr>
                <w:rFonts w:ascii="Aptos" w:hAnsi="Aptos"/>
                <w:b w:val="0"/>
                <w:sz w:val="15"/>
              </w:rPr>
              <w:t>Do not show zero or estimate a price. Allow enquiry.</w:t>
            </w:r>
          </w:p>
        </w:tc>
      </w:tr>
      <w:tr>
        <w:tc>
          <w:tcPr>
            <w:tcW w:type="dxa" w:w="3408"/>
            <w:vAlign w:val="center"/>
            <w:shd w:fill="F2F6F8"/>
          </w:tcPr>
          <w:p>
            <w:pPr>
              <w:spacing w:after="0"/>
            </w:pPr>
            <w:r/>
            <w:r>
              <w:rPr>
                <w:rFonts w:ascii="Aptos" w:hAnsi="Aptos"/>
                <w:b w:val="0"/>
                <w:sz w:val="15"/>
              </w:rPr>
              <w:t>Rating/reviews</w:t>
            </w:r>
          </w:p>
        </w:tc>
        <w:tc>
          <w:tcPr>
            <w:tcW w:type="dxa" w:w="3408"/>
            <w:vAlign w:val="center"/>
            <w:shd w:fill="F2F6F8"/>
          </w:tcPr>
          <w:p>
            <w:pPr>
              <w:spacing w:after="0"/>
            </w:pPr>
            <w:r/>
            <w:r>
              <w:rPr>
                <w:rFonts w:ascii="Aptos" w:hAnsi="Aptos"/>
                <w:b w:val="0"/>
                <w:sz w:val="15"/>
              </w:rPr>
              <w:t>Not yet rated</w:t>
            </w:r>
          </w:p>
        </w:tc>
        <w:tc>
          <w:tcPr>
            <w:tcW w:type="dxa" w:w="3408"/>
            <w:vAlign w:val="center"/>
            <w:shd w:fill="F2F6F8"/>
          </w:tcPr>
          <w:p>
            <w:pPr>
              <w:spacing w:after="0"/>
            </w:pPr>
            <w:r/>
            <w:r>
              <w:rPr>
                <w:rFonts w:ascii="Aptos" w:hAnsi="Aptos"/>
                <w:b w:val="0"/>
                <w:sz w:val="15"/>
              </w:rPr>
              <w:t>Do not interpret as a poor rating.</w:t>
            </w:r>
          </w:p>
        </w:tc>
      </w:tr>
      <w:tr>
        <w:tc>
          <w:tcPr>
            <w:tcW w:type="dxa" w:w="3408"/>
            <w:vAlign w:val="center"/>
          </w:tcPr>
          <w:p>
            <w:pPr>
              <w:spacing w:after="0"/>
            </w:pPr>
            <w:r/>
            <w:r>
              <w:rPr>
                <w:rFonts w:ascii="Aptos" w:hAnsi="Aptos"/>
                <w:b w:val="0"/>
                <w:sz w:val="15"/>
              </w:rPr>
              <w:t>Availability</w:t>
            </w:r>
          </w:p>
        </w:tc>
        <w:tc>
          <w:tcPr>
            <w:tcW w:type="dxa" w:w="3408"/>
            <w:vAlign w:val="center"/>
          </w:tcPr>
          <w:p>
            <w:pPr>
              <w:spacing w:after="0"/>
            </w:pPr>
            <w:r/>
            <w:r>
              <w:rPr>
                <w:rFonts w:ascii="Aptos" w:hAnsi="Aptos"/>
                <w:b w:val="0"/>
                <w:sz w:val="15"/>
              </w:rPr>
              <w:t>Availability not listed</w:t>
            </w:r>
          </w:p>
        </w:tc>
        <w:tc>
          <w:tcPr>
            <w:tcW w:type="dxa" w:w="3408"/>
            <w:vAlign w:val="center"/>
          </w:tcPr>
          <w:p>
            <w:pPr>
              <w:spacing w:after="0"/>
            </w:pPr>
            <w:r/>
            <w:r>
              <w:rPr>
                <w:rFonts w:ascii="Aptos" w:hAnsi="Aptos"/>
                <w:b w:val="0"/>
                <w:sz w:val="15"/>
              </w:rPr>
              <w:t>Do not infer free slots.</w:t>
            </w:r>
          </w:p>
        </w:tc>
      </w:tr>
      <w:tr>
        <w:tc>
          <w:tcPr>
            <w:tcW w:type="dxa" w:w="3408"/>
            <w:vAlign w:val="center"/>
            <w:shd w:fill="F2F6F8"/>
          </w:tcPr>
          <w:p>
            <w:pPr>
              <w:spacing w:after="0"/>
            </w:pPr>
            <w:r/>
            <w:r>
              <w:rPr>
                <w:rFonts w:ascii="Aptos" w:hAnsi="Aptos"/>
                <w:b w:val="0"/>
                <w:sz w:val="15"/>
              </w:rPr>
              <w:t>Credentials</w:t>
            </w:r>
          </w:p>
        </w:tc>
        <w:tc>
          <w:tcPr>
            <w:tcW w:type="dxa" w:w="3408"/>
            <w:vAlign w:val="center"/>
            <w:shd w:fill="F2F6F8"/>
          </w:tcPr>
          <w:p>
            <w:pPr>
              <w:spacing w:after="0"/>
            </w:pPr>
            <w:r/>
            <w:r>
              <w:rPr>
                <w:rFonts w:ascii="Aptos" w:hAnsi="Aptos"/>
                <w:b w:val="0"/>
                <w:sz w:val="15"/>
              </w:rPr>
              <w:t>Not provided / verification status shown accurately</w:t>
            </w:r>
          </w:p>
        </w:tc>
        <w:tc>
          <w:tcPr>
            <w:tcW w:type="dxa" w:w="3408"/>
            <w:vAlign w:val="center"/>
            <w:shd w:fill="F2F6F8"/>
          </w:tcPr>
          <w:p>
            <w:pPr>
              <w:spacing w:after="0"/>
            </w:pPr>
            <w:r/>
            <w:r>
              <w:rPr>
                <w:rFonts w:ascii="Aptos" w:hAnsi="Aptos"/>
                <w:b w:val="0"/>
                <w:sz w:val="15"/>
              </w:rPr>
              <w:t>Never imply verification from subscription payment.</w:t>
            </w:r>
          </w:p>
        </w:tc>
      </w:tr>
      <w:tr>
        <w:tc>
          <w:tcPr>
            <w:tcW w:type="dxa" w:w="3408"/>
            <w:vAlign w:val="center"/>
          </w:tcPr>
          <w:p>
            <w:pPr>
              <w:spacing w:after="0"/>
            </w:pPr>
            <w:r/>
            <w:r>
              <w:rPr>
                <w:rFonts w:ascii="Aptos" w:hAnsi="Aptos"/>
                <w:b w:val="0"/>
                <w:sz w:val="15"/>
              </w:rPr>
              <w:t>Experience/portfolio</w:t>
            </w:r>
          </w:p>
        </w:tc>
        <w:tc>
          <w:tcPr>
            <w:tcW w:type="dxa" w:w="3408"/>
            <w:vAlign w:val="center"/>
          </w:tcPr>
          <w:p>
            <w:pPr>
              <w:spacing w:after="0"/>
            </w:pPr>
            <w:r/>
            <w:r>
              <w:rPr>
                <w:rFonts w:ascii="Aptos" w:hAnsi="Aptos"/>
                <w:b w:val="0"/>
                <w:sz w:val="15"/>
              </w:rPr>
              <w:t>Not provided</w:t>
            </w:r>
          </w:p>
        </w:tc>
        <w:tc>
          <w:tcPr>
            <w:tcW w:type="dxa" w:w="3408"/>
            <w:vAlign w:val="center"/>
          </w:tcPr>
          <w:p>
            <w:pPr>
              <w:spacing w:after="0"/>
            </w:pPr>
            <w:r/>
            <w:r>
              <w:rPr>
                <w:rFonts w:ascii="Aptos" w:hAnsi="Aptos"/>
                <w:b w:val="0"/>
                <w:sz w:val="15"/>
              </w:rPr>
              <w:t>Do not create or infer years/jobs/images.</w:t>
            </w:r>
          </w:p>
        </w:tc>
      </w:tr>
      <w:tr>
        <w:tc>
          <w:tcPr>
            <w:tcW w:type="dxa" w:w="3408"/>
            <w:vAlign w:val="center"/>
            <w:shd w:fill="F2F6F8"/>
          </w:tcPr>
          <w:p>
            <w:pPr>
              <w:spacing w:after="0"/>
            </w:pPr>
            <w:r/>
            <w:r>
              <w:rPr>
                <w:rFonts w:ascii="Aptos" w:hAnsi="Aptos"/>
                <w:b w:val="0"/>
                <w:sz w:val="15"/>
              </w:rPr>
              <w:t>Service area</w:t>
            </w:r>
          </w:p>
        </w:tc>
        <w:tc>
          <w:tcPr>
            <w:tcW w:type="dxa" w:w="3408"/>
            <w:vAlign w:val="center"/>
            <w:shd w:fill="F2F6F8"/>
          </w:tcPr>
          <w:p>
            <w:pPr>
              <w:spacing w:after="0"/>
            </w:pPr>
            <w:r/>
            <w:r>
              <w:rPr>
                <w:rFonts w:ascii="Aptos" w:hAnsi="Aptos"/>
                <w:b w:val="0"/>
                <w:sz w:val="15"/>
              </w:rPr>
              <w:t>No valid coverage data</w:t>
            </w:r>
          </w:p>
        </w:tc>
        <w:tc>
          <w:tcPr>
            <w:tcW w:type="dxa" w:w="3408"/>
            <w:vAlign w:val="center"/>
            <w:shd w:fill="F2F6F8"/>
          </w:tcPr>
          <w:p>
            <w:pPr>
              <w:spacing w:after="0"/>
            </w:pPr>
            <w:r/>
            <w:r>
              <w:rPr>
                <w:rFonts w:ascii="Aptos" w:hAnsi="Aptos"/>
                <w:b w:val="0"/>
                <w:sz w:val="15"/>
              </w:rPr>
              <w:t>Do not claim the vendor serves the customer's location.</w:t>
            </w:r>
          </w:p>
        </w:tc>
      </w:tr>
    </w:tbl>
    <w:p>
      <w:pPr>
        <w:spacing w:after="0"/>
      </w:pPr>
    </w:p>
    <w:p>
      <w:r>
        <w:t>Customer may compare up to three vendors on price, verification/credentials, service area, availability, ratings/eligible reviews, response time and experience. Only applicable fields are shown; absent data uses transparent labels.</w:t>
      </w:r>
    </w:p>
    <w:p>
      <w:pPr>
        <w:pStyle w:val="Heading2"/>
      </w:pPr>
      <w:r>
        <w:t>7.5 Favorites</w:t>
      </w:r>
    </w:p>
    <w:p>
      <w:pPr>
        <w:pStyle w:val="ListBullet"/>
      </w:pPr>
      <w:r>
        <w:t>Customer can add/remove a vendor to a favorites list across platforms.</w:t>
      </w:r>
    </w:p>
    <w:p>
      <w:pPr>
        <w:pStyle w:val="ListBullet"/>
      </w:pPr>
      <w:r>
        <w:t>Saving a vendor does not notify the vendor.</w:t>
      </w:r>
    </w:p>
    <w:p>
      <w:pPr>
        <w:pStyle w:val="ListBullet"/>
      </w:pPr>
      <w:r>
        <w:t>Custom folders/collections are not in Release 1.</w:t>
      </w:r>
    </w:p>
    <w:p>
      <w:pPr>
        <w:pStyle w:val="ListBullet"/>
      </w:pPr>
      <w:r>
        <w:t>Notify customers about meaningful changes to saved vendors that affect availability or service-area eligibility; avoid routine low-value notifications.</w:t>
      </w:r>
    </w:p>
    <w:p>
      <w:pPr>
        <w:pStyle w:val="Heading1"/>
      </w:pPr>
      <w:r>
        <w:t>8. Service booking requirements</w:t>
      </w:r>
    </w:p>
    <w:p>
      <w:pPr>
        <w:pStyle w:val="Heading2"/>
      </w:pPr>
      <w:r>
        <w:t>8.1 Booking creation</w:t>
      </w:r>
    </w:p>
    <w:p>
      <w:pPr>
        <w:pStyle w:val="ListNumber"/>
      </w:pPr>
      <w:r>
        <w:t>Customer selects an eligible listing and provides required booking details.</w:t>
      </w:r>
    </w:p>
    <w:p>
      <w:pPr>
        <w:pStyle w:val="ListNumber"/>
      </w:pPr>
      <w:r>
        <w:t>System displays price/range or pricing basis when available, selected service/date/location, vendor identity and applicable cancellation/rescheduling/no-show policy.</w:t>
      </w:r>
    </w:p>
    <w:p>
      <w:pPr>
        <w:pStyle w:val="ListNumber"/>
      </w:pPr>
      <w:r>
        <w:t>Customer confirms the request; system validates listing eligibility, category workflow, required fields and availability where modeled.</w:t>
      </w:r>
    </w:p>
    <w:p>
      <w:pPr>
        <w:pStyle w:val="ListNumber"/>
      </w:pPr>
      <w:r>
        <w:t>System creates a booking request with a stable ID, timestamps, policy/terms snapshot and response deadline.</w:t>
      </w:r>
    </w:p>
    <w:p>
      <w:pPr>
        <w:pStyle w:val="ListNumber"/>
      </w:pPr>
      <w:r>
        <w:t>Vendor receives an in-app notification and other enabled transactional alerts.</w:t>
      </w:r>
    </w:p>
    <w:p>
      <w:pPr>
        <w:pStyle w:val="ListNumber"/>
      </w:pPr>
      <w:r>
        <w:t>Vendor accepts, declines or does not respond before deadline. A category may support instant confirmation only where configured availability/pricing are reliable.</w:t>
      </w:r>
    </w:p>
    <w:p>
      <w:bookmarkStart w:id="9014" w:name="gm_c81"/>
      <w:r>
        <w:rPr>
          <w:b/>
        </w:rPr>
        <w:t xml:space="preserve">v3.0 clarification. </w:t>
      </w:r>
      <w:r>
        <w:t xml:space="preserve">Booking creation applies to four modes: instant, scheduled, RFQ and contract (§26.5). Instant confirmation remains limited to listings with reliable availability and pricing. Contract bookings follow the lifecycle in §26.5.1 instead of the state table below, but reuse its completion, cancellation and issue-reporting rules.</w:t>
      </w:r>
      <w:bookmarkEnd w:id="9014"/>
    </w:p>
    <w:p>
      <w:pPr>
        <w:pStyle w:val="Heading2"/>
      </w:pPr>
      <w:r>
        <w:t>8.2 Booking state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State</w:t>
            </w:r>
          </w:p>
        </w:tc>
        <w:tc>
          <w:tcPr>
            <w:tcW w:type="dxa" w:w="3408"/>
            <w:vAlign w:val="center"/>
            <w:shd w:fill="10253F"/>
          </w:tcPr>
          <w:p>
            <w:pPr>
              <w:spacing w:after="0"/>
            </w:pPr>
            <w:r/>
            <w:r>
              <w:rPr>
                <w:rFonts w:ascii="Aptos" w:hAnsi="Aptos"/>
                <w:b/>
                <w:color w:val="FFFFFF"/>
                <w:sz w:val="16"/>
              </w:rPr>
              <w:t>Entry condition</w:t>
            </w:r>
          </w:p>
        </w:tc>
        <w:tc>
          <w:tcPr>
            <w:tcW w:type="dxa" w:w="3408"/>
            <w:vAlign w:val="center"/>
            <w:shd w:fill="10253F"/>
          </w:tcPr>
          <w:p>
            <w:pPr>
              <w:spacing w:after="0"/>
            </w:pPr>
            <w:r/>
            <w:r>
              <w:rPr>
                <w:rFonts w:ascii="Aptos" w:hAnsi="Aptos"/>
                <w:b/>
                <w:color w:val="FFFFFF"/>
                <w:sz w:val="16"/>
              </w:rPr>
              <w:t>Allowed next actions / controls</w:t>
            </w:r>
          </w:p>
        </w:tc>
      </w:tr>
      <w:tr>
        <w:tc>
          <w:tcPr>
            <w:tcW w:type="dxa" w:w="3408"/>
            <w:vAlign w:val="center"/>
          </w:tcPr>
          <w:p>
            <w:pPr>
              <w:spacing w:after="0"/>
            </w:pPr>
            <w:r/>
            <w:r>
              <w:rPr>
                <w:rFonts w:ascii="Aptos" w:hAnsi="Aptos"/>
                <w:b w:val="0"/>
                <w:sz w:val="15"/>
              </w:rPr>
              <w:t>Draft</w:t>
            </w:r>
          </w:p>
        </w:tc>
        <w:tc>
          <w:tcPr>
            <w:tcW w:type="dxa" w:w="3408"/>
            <w:vAlign w:val="center"/>
          </w:tcPr>
          <w:p>
            <w:pPr>
              <w:spacing w:after="0"/>
            </w:pPr>
            <w:r/>
            <w:r>
              <w:rPr>
                <w:rFonts w:ascii="Aptos" w:hAnsi="Aptos"/>
                <w:b w:val="0"/>
                <w:sz w:val="15"/>
              </w:rPr>
              <w:t>Customer has not submitted.</w:t>
            </w:r>
          </w:p>
        </w:tc>
        <w:tc>
          <w:tcPr>
            <w:tcW w:type="dxa" w:w="3408"/>
            <w:vAlign w:val="center"/>
          </w:tcPr>
          <w:p>
            <w:pPr>
              <w:spacing w:after="0"/>
            </w:pPr>
            <w:r/>
            <w:r>
              <w:rPr>
                <w:rFonts w:ascii="Aptos" w:hAnsi="Aptos"/>
                <w:b w:val="0"/>
                <w:sz w:val="15"/>
              </w:rPr>
              <w:t>Edit or discard.</w:t>
            </w:r>
          </w:p>
        </w:tc>
      </w:tr>
      <w:tr>
        <w:tc>
          <w:tcPr>
            <w:tcW w:type="dxa" w:w="3408"/>
            <w:vAlign w:val="center"/>
            <w:shd w:fill="F2F6F8"/>
          </w:tcPr>
          <w:p>
            <w:pPr>
              <w:spacing w:after="0"/>
            </w:pPr>
            <w:r/>
            <w:r>
              <w:rPr>
                <w:rFonts w:ascii="Aptos" w:hAnsi="Aptos"/>
                <w:b w:val="0"/>
                <w:sz w:val="15"/>
              </w:rPr>
              <w:t>Requested</w:t>
            </w:r>
          </w:p>
        </w:tc>
        <w:tc>
          <w:tcPr>
            <w:tcW w:type="dxa" w:w="3408"/>
            <w:vAlign w:val="center"/>
            <w:shd w:fill="F2F6F8"/>
          </w:tcPr>
          <w:p>
            <w:pPr>
              <w:spacing w:after="0"/>
            </w:pPr>
            <w:r/>
            <w:r>
              <w:rPr>
                <w:rFonts w:ascii="Aptos" w:hAnsi="Aptos"/>
                <w:b w:val="0"/>
                <w:sz w:val="15"/>
              </w:rPr>
              <w:t>Valid request submitted.</w:t>
            </w:r>
          </w:p>
        </w:tc>
        <w:tc>
          <w:tcPr>
            <w:tcW w:type="dxa" w:w="3408"/>
            <w:vAlign w:val="center"/>
            <w:shd w:fill="F2F6F8"/>
          </w:tcPr>
          <w:p>
            <w:pPr>
              <w:spacing w:after="0"/>
            </w:pPr>
            <w:r/>
            <w:r>
              <w:rPr>
                <w:rFonts w:ascii="Aptos" w:hAnsi="Aptos"/>
                <w:b w:val="0"/>
                <w:sz w:val="15"/>
              </w:rPr>
              <w:t>Vendor accepts/declines; customer may cancel subject to applicable request policy.</w:t>
            </w:r>
          </w:p>
        </w:tc>
      </w:tr>
      <w:tr>
        <w:tc>
          <w:tcPr>
            <w:tcW w:type="dxa" w:w="3408"/>
            <w:vAlign w:val="center"/>
          </w:tcPr>
          <w:p>
            <w:pPr>
              <w:spacing w:after="0"/>
            </w:pPr>
            <w:r/>
            <w:r>
              <w:rPr>
                <w:rFonts w:ascii="Aptos" w:hAnsi="Aptos"/>
                <w:b w:val="0"/>
                <w:sz w:val="15"/>
              </w:rPr>
              <w:t>Confirmed</w:t>
            </w:r>
          </w:p>
        </w:tc>
        <w:tc>
          <w:tcPr>
            <w:tcW w:type="dxa" w:w="3408"/>
            <w:vAlign w:val="center"/>
          </w:tcPr>
          <w:p>
            <w:pPr>
              <w:spacing w:after="0"/>
            </w:pPr>
            <w:r/>
            <w:r>
              <w:rPr>
                <w:rFonts w:ascii="Aptos" w:hAnsi="Aptos"/>
                <w:b w:val="0"/>
                <w:sz w:val="15"/>
              </w:rPr>
              <w:t>Vendor accepts or configured instant-confirmation applies.</w:t>
            </w:r>
          </w:p>
        </w:tc>
        <w:tc>
          <w:tcPr>
            <w:tcW w:type="dxa" w:w="3408"/>
            <w:vAlign w:val="center"/>
          </w:tcPr>
          <w:p>
            <w:pPr>
              <w:spacing w:after="0"/>
            </w:pPr>
            <w:r/>
            <w:r>
              <w:rPr>
                <w:rFonts w:ascii="Aptos" w:hAnsi="Aptos"/>
                <w:b w:val="0"/>
                <w:sz w:val="15"/>
              </w:rPr>
              <w:t>Fulfil, request modification, cancel under policy.</w:t>
            </w:r>
          </w:p>
        </w:tc>
      </w:tr>
      <w:tr>
        <w:tc>
          <w:tcPr>
            <w:tcW w:type="dxa" w:w="3408"/>
            <w:vAlign w:val="center"/>
            <w:shd w:fill="F2F6F8"/>
          </w:tcPr>
          <w:p>
            <w:pPr>
              <w:spacing w:after="0"/>
            </w:pPr>
            <w:r/>
            <w:r>
              <w:rPr>
                <w:rFonts w:ascii="Aptos" w:hAnsi="Aptos"/>
                <w:b w:val="0"/>
                <w:sz w:val="15"/>
              </w:rPr>
              <w:t>Declined</w:t>
            </w:r>
          </w:p>
        </w:tc>
        <w:tc>
          <w:tcPr>
            <w:tcW w:type="dxa" w:w="3408"/>
            <w:vAlign w:val="center"/>
            <w:shd w:fill="F2F6F8"/>
          </w:tcPr>
          <w:p>
            <w:pPr>
              <w:spacing w:after="0"/>
            </w:pPr>
            <w:r/>
            <w:r>
              <w:rPr>
                <w:rFonts w:ascii="Aptos" w:hAnsi="Aptos"/>
                <w:b w:val="0"/>
                <w:sz w:val="15"/>
              </w:rPr>
              <w:t>Vendor declines request.</w:t>
            </w:r>
          </w:p>
        </w:tc>
        <w:tc>
          <w:tcPr>
            <w:tcW w:type="dxa" w:w="3408"/>
            <w:vAlign w:val="center"/>
            <w:shd w:fill="F2F6F8"/>
          </w:tcPr>
          <w:p>
            <w:pPr>
              <w:spacing w:after="0"/>
            </w:pPr>
            <w:r/>
            <w:r>
              <w:rPr>
                <w:rFonts w:ascii="Aptos" w:hAnsi="Aptos"/>
                <w:b w:val="0"/>
                <w:sz w:val="15"/>
              </w:rPr>
              <w:t>Notify customer; customer can contact another vendor.</w:t>
            </w:r>
          </w:p>
        </w:tc>
      </w:tr>
      <w:tr>
        <w:tc>
          <w:tcPr>
            <w:tcW w:type="dxa" w:w="3408"/>
            <w:vAlign w:val="center"/>
          </w:tcPr>
          <w:p>
            <w:pPr>
              <w:spacing w:after="0"/>
            </w:pPr>
            <w:r/>
            <w:r>
              <w:rPr>
                <w:rFonts w:ascii="Aptos" w:hAnsi="Aptos"/>
                <w:b w:val="0"/>
                <w:sz w:val="15"/>
              </w:rPr>
              <w:t>Expired</w:t>
            </w:r>
          </w:p>
        </w:tc>
        <w:tc>
          <w:tcPr>
            <w:tcW w:type="dxa" w:w="3408"/>
            <w:vAlign w:val="center"/>
          </w:tcPr>
          <w:p>
            <w:pPr>
              <w:spacing w:after="0"/>
            </w:pPr>
            <w:r/>
            <w:r>
              <w:rPr>
                <w:rFonts w:ascii="Aptos" w:hAnsi="Aptos"/>
                <w:b w:val="0"/>
                <w:sz w:val="15"/>
              </w:rPr>
              <w:t>Response deadline passes unanswered.</w:t>
            </w:r>
          </w:p>
        </w:tc>
        <w:tc>
          <w:tcPr>
            <w:tcW w:type="dxa" w:w="3408"/>
            <w:vAlign w:val="center"/>
          </w:tcPr>
          <w:p>
            <w:pPr>
              <w:spacing w:after="0"/>
            </w:pPr>
            <w:r/>
            <w:r>
              <w:rPr>
                <w:rFonts w:ascii="Aptos" w:hAnsi="Aptos"/>
                <w:b w:val="0"/>
                <w:sz w:val="15"/>
              </w:rPr>
              <w:t>Notify customer; close request; customer can submit elsewhere.</w:t>
            </w:r>
          </w:p>
        </w:tc>
      </w:tr>
      <w:tr>
        <w:tc>
          <w:tcPr>
            <w:tcW w:type="dxa" w:w="3408"/>
            <w:vAlign w:val="center"/>
            <w:shd w:fill="F2F6F8"/>
          </w:tcPr>
          <w:p>
            <w:pPr>
              <w:spacing w:after="0"/>
            </w:pPr>
            <w:r/>
            <w:r>
              <w:rPr>
                <w:rFonts w:ascii="Aptos" w:hAnsi="Aptos"/>
                <w:b w:val="0"/>
                <w:sz w:val="15"/>
              </w:rPr>
              <w:t>In progress</w:t>
            </w:r>
          </w:p>
        </w:tc>
        <w:tc>
          <w:tcPr>
            <w:tcW w:type="dxa" w:w="3408"/>
            <w:vAlign w:val="center"/>
            <w:shd w:fill="F2F6F8"/>
          </w:tcPr>
          <w:p>
            <w:pPr>
              <w:spacing w:after="0"/>
            </w:pPr>
            <w:r/>
            <w:r>
              <w:rPr>
                <w:rFonts w:ascii="Aptos" w:hAnsi="Aptos"/>
                <w:b w:val="0"/>
                <w:sz w:val="15"/>
              </w:rPr>
              <w:t>Service begins where workflow uses this state.</w:t>
            </w:r>
          </w:p>
        </w:tc>
        <w:tc>
          <w:tcPr>
            <w:tcW w:type="dxa" w:w="3408"/>
            <w:vAlign w:val="center"/>
            <w:shd w:fill="F2F6F8"/>
          </w:tcPr>
          <w:p>
            <w:pPr>
              <w:spacing w:after="0"/>
            </w:pPr>
            <w:r/>
            <w:r>
              <w:rPr>
                <w:rFonts w:ascii="Aptos" w:hAnsi="Aptos"/>
                <w:b w:val="0"/>
                <w:sz w:val="15"/>
              </w:rPr>
              <w:t>Vendor updates progress; transaction terms preserved.</w:t>
            </w:r>
          </w:p>
        </w:tc>
      </w:tr>
      <w:tr>
        <w:tc>
          <w:tcPr>
            <w:tcW w:type="dxa" w:w="3408"/>
            <w:vAlign w:val="center"/>
          </w:tcPr>
          <w:p>
            <w:pPr>
              <w:spacing w:after="0"/>
            </w:pPr>
            <w:r/>
            <w:r>
              <w:rPr>
                <w:rFonts w:ascii="Aptos" w:hAnsi="Aptos"/>
                <w:b w:val="0"/>
                <w:sz w:val="15"/>
              </w:rPr>
              <w:t>Completed—awaiting customer</w:t>
            </w:r>
          </w:p>
        </w:tc>
        <w:tc>
          <w:tcPr>
            <w:tcW w:type="dxa" w:w="3408"/>
            <w:vAlign w:val="center"/>
          </w:tcPr>
          <w:p>
            <w:pPr>
              <w:spacing w:after="0"/>
            </w:pPr>
            <w:r/>
            <w:r>
              <w:rPr>
                <w:rFonts w:ascii="Aptos" w:hAnsi="Aptos"/>
                <w:b w:val="0"/>
                <w:sz w:val="15"/>
              </w:rPr>
              <w:t>Vendor marks completion.</w:t>
            </w:r>
          </w:p>
        </w:tc>
        <w:tc>
          <w:tcPr>
            <w:tcW w:type="dxa" w:w="3408"/>
            <w:vAlign w:val="center"/>
          </w:tcPr>
          <w:p>
            <w:pPr>
              <w:spacing w:after="0"/>
            </w:pPr>
            <w:r/>
            <w:r>
              <w:rPr>
                <w:rFonts w:ascii="Aptos" w:hAnsi="Aptos"/>
                <w:b w:val="0"/>
                <w:sz w:val="15"/>
              </w:rPr>
              <w:t>Customer confirms or reports issue within 7 days.</w:t>
            </w:r>
          </w:p>
        </w:tc>
      </w:tr>
      <w:tr>
        <w:tc>
          <w:tcPr>
            <w:tcW w:type="dxa" w:w="3408"/>
            <w:vAlign w:val="center"/>
            <w:shd w:fill="F2F6F8"/>
          </w:tcPr>
          <w:p>
            <w:pPr>
              <w:spacing w:after="0"/>
            </w:pPr>
            <w:r/>
            <w:r>
              <w:rPr>
                <w:rFonts w:ascii="Aptos" w:hAnsi="Aptos"/>
                <w:b w:val="0"/>
                <w:sz w:val="15"/>
              </w:rPr>
              <w:t>Closed</w:t>
            </w:r>
          </w:p>
        </w:tc>
        <w:tc>
          <w:tcPr>
            <w:tcW w:type="dxa" w:w="3408"/>
            <w:vAlign w:val="center"/>
            <w:shd w:fill="F2F6F8"/>
          </w:tcPr>
          <w:p>
            <w:pPr>
              <w:spacing w:after="0"/>
            </w:pPr>
            <w:r/>
            <w:r>
              <w:rPr>
                <w:rFonts w:ascii="Aptos" w:hAnsi="Aptos"/>
                <w:b w:val="0"/>
                <w:sz w:val="15"/>
              </w:rPr>
              <w:t>Customer confirms, or 7 days elapse without response.</w:t>
            </w:r>
          </w:p>
        </w:tc>
        <w:tc>
          <w:tcPr>
            <w:tcW w:type="dxa" w:w="3408"/>
            <w:vAlign w:val="center"/>
            <w:shd w:fill="F2F6F8"/>
          </w:tcPr>
          <w:p>
            <w:pPr>
              <w:spacing w:after="0"/>
            </w:pPr>
            <w:r/>
            <w:r>
              <w:rPr>
                <w:rFonts w:ascii="Aptos" w:hAnsi="Aptos"/>
                <w:b w:val="0"/>
                <w:sz w:val="15"/>
              </w:rPr>
              <w:t>Keep record; post-closure support issue remains possible.</w:t>
            </w:r>
          </w:p>
        </w:tc>
      </w:tr>
      <w:tr>
        <w:tc>
          <w:tcPr>
            <w:tcW w:type="dxa" w:w="3408"/>
            <w:vAlign w:val="center"/>
          </w:tcPr>
          <w:p>
            <w:pPr>
              <w:spacing w:after="0"/>
            </w:pPr>
            <w:r/>
            <w:r>
              <w:rPr>
                <w:rFonts w:ascii="Aptos" w:hAnsi="Aptos"/>
                <w:b w:val="0"/>
                <w:sz w:val="15"/>
              </w:rPr>
              <w:t>Cancelled</w:t>
            </w:r>
          </w:p>
        </w:tc>
        <w:tc>
          <w:tcPr>
            <w:tcW w:type="dxa" w:w="3408"/>
            <w:vAlign w:val="center"/>
          </w:tcPr>
          <w:p>
            <w:pPr>
              <w:spacing w:after="0"/>
            </w:pPr>
            <w:r/>
            <w:r>
              <w:rPr>
                <w:rFonts w:ascii="Aptos" w:hAnsi="Aptos"/>
                <w:b w:val="0"/>
                <w:sz w:val="15"/>
              </w:rPr>
              <w:t>Cancellation approved/processed under policy.</w:t>
            </w:r>
          </w:p>
        </w:tc>
        <w:tc>
          <w:tcPr>
            <w:tcW w:type="dxa" w:w="3408"/>
            <w:vAlign w:val="center"/>
          </w:tcPr>
          <w:p>
            <w:pPr>
              <w:spacing w:after="0"/>
            </w:pPr>
            <w:r/>
            <w:r>
              <w:rPr>
                <w:rFonts w:ascii="Aptos" w:hAnsi="Aptos"/>
                <w:b w:val="0"/>
                <w:sz w:val="15"/>
              </w:rPr>
              <w:t>Record actor, reason, time and applicable policy result.</w:t>
            </w:r>
          </w:p>
        </w:tc>
      </w:tr>
      <w:tr>
        <w:tc>
          <w:tcPr>
            <w:tcW w:type="dxa" w:w="3408"/>
            <w:vAlign w:val="center"/>
            <w:shd w:fill="F2F6F8"/>
          </w:tcPr>
          <w:p>
            <w:pPr>
              <w:spacing w:after="0"/>
            </w:pPr>
            <w:r/>
            <w:r>
              <w:rPr>
                <w:rFonts w:ascii="Aptos" w:hAnsi="Aptos"/>
                <w:b w:val="0"/>
                <w:sz w:val="15"/>
              </w:rPr>
              <w:t>Support case linked</w:t>
            </w:r>
          </w:p>
        </w:tc>
        <w:tc>
          <w:tcPr>
            <w:tcW w:type="dxa" w:w="3408"/>
            <w:vAlign w:val="center"/>
            <w:shd w:fill="F2F6F8"/>
          </w:tcPr>
          <w:p>
            <w:pPr>
              <w:spacing w:after="0"/>
            </w:pPr>
            <w:r/>
            <w:r>
              <w:rPr>
                <w:rFonts w:ascii="Aptos" w:hAnsi="Aptos"/>
                <w:b w:val="0"/>
                <w:sz w:val="15"/>
              </w:rPr>
              <w:t>Issue reported.</w:t>
            </w:r>
          </w:p>
        </w:tc>
        <w:tc>
          <w:tcPr>
            <w:tcW w:type="dxa" w:w="3408"/>
            <w:vAlign w:val="center"/>
            <w:shd w:fill="F2F6F8"/>
          </w:tcPr>
          <w:p>
            <w:pPr>
              <w:spacing w:after="0"/>
            </w:pPr>
            <w:r/>
            <w:r>
              <w:rPr>
                <w:rFonts w:ascii="Aptos" w:hAnsi="Aptos"/>
                <w:b w:val="0"/>
                <w:sz w:val="15"/>
              </w:rPr>
              <w:t>Case workflow proceeds without silently rewriting transaction history.</w:t>
            </w:r>
          </w:p>
        </w:tc>
      </w:tr>
    </w:tbl>
    <w:p>
      <w:pPr>
        <w:spacing w:after="0"/>
      </w:pPr>
    </w:p>
    <w:p>
      <w:pPr>
        <w:pStyle w:val="Heading2"/>
      </w:pPr>
      <w:r>
        <w:t>8.3 Response deadline and reminders</w:t>
      </w:r>
    </w:p>
    <w:p>
      <w:pPr>
        <w:pStyle w:val="ListBullet"/>
      </w:pPr>
      <w:r>
        <w:t>Response deadline is configured by category and booking type; exact durations are an open configuration item.</w:t>
      </w:r>
    </w:p>
    <w:p>
      <w:pPr>
        <w:pStyle w:val="ListBullet"/>
      </w:pPr>
      <w:r>
        <w:t>Send reminders before deadline according to configurable notification schedule.</w:t>
      </w:r>
    </w:p>
    <w:p>
      <w:pPr>
        <w:pStyle w:val="ListBullet"/>
      </w:pPr>
      <w:r>
        <w:t>At deadline, unanswered request automatically expires and customer is notified.</w:t>
      </w:r>
    </w:p>
    <w:p>
      <w:pPr>
        <w:pStyle w:val="ListBullet"/>
      </w:pPr>
      <w:r>
        <w:t>Track response times. Repeated poor responsiveness may lower organic ranking; a single delay must not trigger an automatic penalty.</w:t>
      </w:r>
    </w:p>
    <w:p>
      <w:pPr>
        <w:pStyle w:val="ListBullet"/>
      </w:pPr>
      <w:r>
        <w:t>Expiry processing must be idempotent so retries do not duplicate notifications or state transitions.</w:t>
      </w:r>
    </w:p>
    <w:p>
      <w:pPr>
        <w:pStyle w:val="Heading2"/>
      </w:pPr>
      <w:r>
        <w:t>8.4 Availability and concurrency</w:t>
      </w:r>
    </w:p>
    <w:p>
      <w:pPr>
        <w:pStyle w:val="ListBullet"/>
      </w:pPr>
      <w:r>
        <w:t>When a category uses slots/capacity, validate availability on the server at request/confirmation time.</w:t>
      </w:r>
    </w:p>
    <w:p>
      <w:pPr>
        <w:pStyle w:val="ListBullet"/>
      </w:pPr>
      <w:r>
        <w:t>Where instant confirmation reserves capacity, use an atomic reservation or equivalent concurrency-safe mechanism.</w:t>
      </w:r>
    </w:p>
    <w:p>
      <w:pPr>
        <w:pStyle w:val="ListBullet"/>
      </w:pPr>
      <w:r>
        <w:t>Two simultaneous requests must not reserve the same exclusive slot/resource beyond configured capacity.</w:t>
      </w:r>
    </w:p>
    <w:p>
      <w:pPr>
        <w:pStyle w:val="ListBullet"/>
      </w:pPr>
      <w:r>
        <w:t>If availability cannot be reliably maintained, use vendor acceptance rather than pretending instant confirmation is safe.</w:t>
      </w:r>
    </w:p>
    <w:p>
      <w:pPr>
        <w:pStyle w:val="ListBullet"/>
      </w:pPr>
      <w:r>
        <w:t>Time zones must be explicit for local service dates and deadlines.</w:t>
      </w:r>
    </w:p>
    <w:p>
      <w:pPr>
        <w:pStyle w:val="Heading2"/>
      </w:pPr>
      <w:r>
        <w:t>8.5 Multiple requests and conflicting bookings</w:t>
      </w:r>
    </w:p>
    <w:p>
      <w:pPr>
        <w:pStyle w:val="ListBullet"/>
      </w:pPr>
      <w:r>
        <w:t>Customer may contact/request bookings from multiple vendors for the same requirement; each is independent.</w:t>
      </w:r>
    </w:p>
    <w:p>
      <w:pPr>
        <w:pStyle w:val="ListBullet"/>
      </w:pPr>
      <w:r>
        <w:t>Vendors must not be told that the customer contacted competing vendors.</w:t>
      </w:r>
    </w:p>
    <w:p>
      <w:pPr>
        <w:pStyle w:val="ListBullet"/>
      </w:pPr>
      <w:r>
        <w:t>If multiple bookings become confirmed for the same requirement, notify the customer and ask which to keep.</w:t>
      </w:r>
    </w:p>
    <w:p>
      <w:pPr>
        <w:pStyle w:val="ListBullet"/>
      </w:pPr>
      <w:r>
        <w:t>Never automatically cancel a confirmed booking to resolve a conflict. The customer chooses and cancels other bookings under applicable policy.</w:t>
      </w:r>
    </w:p>
    <w:p>
      <w:pPr>
        <w:pStyle w:val="Heading2"/>
      </w:pPr>
      <w:r>
        <w:t>8.6 Modification, cancellation and no-show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Event</w:t>
            </w:r>
          </w:p>
        </w:tc>
        <w:tc>
          <w:tcPr>
            <w:tcW w:type="dxa" w:w="5112"/>
            <w:vAlign w:val="center"/>
            <w:shd w:fill="10253F"/>
          </w:tcPr>
          <w:p>
            <w:pPr>
              <w:spacing w:after="0"/>
            </w:pPr>
            <w:r/>
            <w:r>
              <w:rPr>
                <w:rFonts w:ascii="Aptos" w:hAnsi="Aptos"/>
                <w:b/>
                <w:color w:val="FFFFFF"/>
                <w:sz w:val="16"/>
              </w:rPr>
              <w:t>Required behavior</w:t>
            </w:r>
          </w:p>
        </w:tc>
      </w:tr>
      <w:tr>
        <w:tc>
          <w:tcPr>
            <w:tcW w:type="dxa" w:w="5112"/>
            <w:vAlign w:val="center"/>
          </w:tcPr>
          <w:p>
            <w:pPr>
              <w:spacing w:after="0"/>
            </w:pPr>
            <w:r/>
            <w:r>
              <w:rPr>
                <w:rFonts w:ascii="Aptos" w:hAnsi="Aptos"/>
                <w:b w:val="0"/>
                <w:sz w:val="15"/>
              </w:rPr>
              <w:t>Customer requests modification</w:t>
            </w:r>
          </w:p>
        </w:tc>
        <w:tc>
          <w:tcPr>
            <w:tcW w:type="dxa" w:w="5112"/>
            <w:vAlign w:val="center"/>
          </w:tcPr>
          <w:p>
            <w:pPr>
              <w:spacing w:after="0"/>
            </w:pPr>
            <w:r/>
            <w:r>
              <w:rPr>
                <w:rFonts w:ascii="Aptos" w:hAnsi="Aptos"/>
                <w:b w:val="0"/>
                <w:sz w:val="15"/>
              </w:rPr>
              <w:t>Create modification request with proposed new terms; original terms remain effective until vendor accepts.</w:t>
            </w:r>
          </w:p>
        </w:tc>
      </w:tr>
      <w:tr>
        <w:tc>
          <w:tcPr>
            <w:tcW w:type="dxa" w:w="5112"/>
            <w:vAlign w:val="center"/>
            <w:shd w:fill="F2F6F8"/>
          </w:tcPr>
          <w:p>
            <w:pPr>
              <w:spacing w:after="0"/>
            </w:pPr>
            <w:r/>
            <w:r>
              <w:rPr>
                <w:rFonts w:ascii="Aptos" w:hAnsi="Aptos"/>
                <w:b w:val="0"/>
                <w:sz w:val="15"/>
              </w:rPr>
              <w:t>Vendor accepts modification</w:t>
            </w:r>
          </w:p>
        </w:tc>
        <w:tc>
          <w:tcPr>
            <w:tcW w:type="dxa" w:w="5112"/>
            <w:vAlign w:val="center"/>
            <w:shd w:fill="F2F6F8"/>
          </w:tcPr>
          <w:p>
            <w:pPr>
              <w:spacing w:after="0"/>
            </w:pPr>
            <w:r/>
            <w:r>
              <w:rPr>
                <w:rFonts w:ascii="Aptos" w:hAnsi="Aptos"/>
                <w:b w:val="0"/>
                <w:sz w:val="15"/>
              </w:rPr>
              <w:t>Record accepted revision, notify both parties and update the active terms snapshot.</w:t>
            </w:r>
          </w:p>
        </w:tc>
      </w:tr>
      <w:tr>
        <w:tc>
          <w:tcPr>
            <w:tcW w:type="dxa" w:w="5112"/>
            <w:vAlign w:val="center"/>
          </w:tcPr>
          <w:p>
            <w:pPr>
              <w:spacing w:after="0"/>
            </w:pPr>
            <w:r/>
            <w:r>
              <w:rPr>
                <w:rFonts w:ascii="Aptos" w:hAnsi="Aptos"/>
                <w:b w:val="0"/>
                <w:sz w:val="15"/>
              </w:rPr>
              <w:t>Vendor declines modification</w:t>
            </w:r>
          </w:p>
        </w:tc>
        <w:tc>
          <w:tcPr>
            <w:tcW w:type="dxa" w:w="5112"/>
            <w:vAlign w:val="center"/>
          </w:tcPr>
          <w:p>
            <w:pPr>
              <w:spacing w:after="0"/>
            </w:pPr>
            <w:r/>
            <w:r>
              <w:rPr>
                <w:rFonts w:ascii="Aptos" w:hAnsi="Aptos"/>
                <w:b w:val="0"/>
                <w:sz w:val="15"/>
              </w:rPr>
              <w:t>Original booking remains confirmed; customer may keep, negotiate another change or request cancellation under policy.</w:t>
            </w:r>
          </w:p>
        </w:tc>
      </w:tr>
      <w:tr>
        <w:tc>
          <w:tcPr>
            <w:tcW w:type="dxa" w:w="5112"/>
            <w:vAlign w:val="center"/>
            <w:shd w:fill="F2F6F8"/>
          </w:tcPr>
          <w:p>
            <w:pPr>
              <w:spacing w:after="0"/>
            </w:pPr>
            <w:r/>
            <w:r>
              <w:rPr>
                <w:rFonts w:ascii="Aptos" w:hAnsi="Aptos"/>
                <w:b w:val="0"/>
                <w:sz w:val="15"/>
              </w:rPr>
              <w:t>Vendor cancels accepted booking</w:t>
            </w:r>
          </w:p>
        </w:tc>
        <w:tc>
          <w:tcPr>
            <w:tcW w:type="dxa" w:w="5112"/>
            <w:vAlign w:val="center"/>
            <w:shd w:fill="F2F6F8"/>
          </w:tcPr>
          <w:p>
            <w:pPr>
              <w:spacing w:after="0"/>
            </w:pPr>
            <w:r/>
            <w:r>
              <w:rPr>
                <w:rFonts w:ascii="Aptos" w:hAnsi="Aptos"/>
                <w:b w:val="0"/>
                <w:sz w:val="15"/>
              </w:rPr>
              <w:t>Record reason, notify customer, track repeated cancellations and allow support review; no automatic penalty for every cancellation.</w:t>
            </w:r>
          </w:p>
        </w:tc>
      </w:tr>
      <w:tr>
        <w:tc>
          <w:tcPr>
            <w:tcW w:type="dxa" w:w="5112"/>
            <w:vAlign w:val="center"/>
          </w:tcPr>
          <w:p>
            <w:pPr>
              <w:spacing w:after="0"/>
            </w:pPr>
            <w:r/>
            <w:r>
              <w:rPr>
                <w:rFonts w:ascii="Aptos" w:hAnsi="Aptos"/>
                <w:b w:val="0"/>
                <w:sz w:val="15"/>
              </w:rPr>
              <w:t>Customer cancels booking</w:t>
            </w:r>
          </w:p>
        </w:tc>
        <w:tc>
          <w:tcPr>
            <w:tcW w:type="dxa" w:w="5112"/>
            <w:vAlign w:val="center"/>
          </w:tcPr>
          <w:p>
            <w:pPr>
              <w:spacing w:after="0"/>
            </w:pPr>
            <w:r/>
            <w:r>
              <w:rPr>
                <w:rFonts w:ascii="Aptos" w:hAnsi="Aptos"/>
                <w:b w:val="0"/>
                <w:sz w:val="15"/>
              </w:rPr>
              <w:t>Apply published standard policy with limited category exceptions; record outcome and notify vendor.</w:t>
            </w:r>
          </w:p>
        </w:tc>
      </w:tr>
      <w:tr>
        <w:tc>
          <w:tcPr>
            <w:tcW w:type="dxa" w:w="5112"/>
            <w:vAlign w:val="center"/>
            <w:shd w:fill="F2F6F8"/>
          </w:tcPr>
          <w:p>
            <w:pPr>
              <w:spacing w:after="0"/>
            </w:pPr>
            <w:r/>
            <w:r>
              <w:rPr>
                <w:rFonts w:ascii="Aptos" w:hAnsi="Aptos"/>
                <w:b w:val="0"/>
                <w:sz w:val="15"/>
              </w:rPr>
              <w:t>No-show / disputed arrival</w:t>
            </w:r>
          </w:p>
        </w:tc>
        <w:tc>
          <w:tcPr>
            <w:tcW w:type="dxa" w:w="5112"/>
            <w:vAlign w:val="center"/>
            <w:shd w:fill="F2F6F8"/>
          </w:tcPr>
          <w:p>
            <w:pPr>
              <w:spacing w:after="0"/>
            </w:pPr>
            <w:r/>
            <w:r>
              <w:rPr>
                <w:rFonts w:ascii="Aptos" w:hAnsi="Aptos"/>
                <w:b w:val="0"/>
                <w:sz w:val="15"/>
              </w:rPr>
              <w:t>Capture report and evidence; apply configured category policy and support workflow; do not invent automatic financial consequences.</w:t>
            </w:r>
          </w:p>
        </w:tc>
      </w:tr>
      <w:tr>
        <w:tc>
          <w:tcPr>
            <w:tcW w:type="dxa" w:w="5112"/>
            <w:vAlign w:val="center"/>
          </w:tcPr>
          <w:p>
            <w:pPr>
              <w:spacing w:after="0"/>
            </w:pPr>
            <w:r/>
            <w:r>
              <w:rPr>
                <w:rFonts w:ascii="Aptos" w:hAnsi="Aptos"/>
                <w:b w:val="0"/>
                <w:sz w:val="15"/>
              </w:rPr>
              <w:t>Duplicate submit/retry</w:t>
            </w:r>
          </w:p>
        </w:tc>
        <w:tc>
          <w:tcPr>
            <w:tcW w:type="dxa" w:w="5112"/>
            <w:vAlign w:val="center"/>
          </w:tcPr>
          <w:p>
            <w:pPr>
              <w:spacing w:after="0"/>
            </w:pPr>
            <w:r/>
            <w:r>
              <w:rPr>
                <w:rFonts w:ascii="Aptos" w:hAnsi="Aptos"/>
                <w:b w:val="0"/>
                <w:sz w:val="15"/>
              </w:rPr>
              <w:t>Use idempotency to prevent duplicate bookings from double taps, network retries or repeated API calls.</w:t>
            </w:r>
          </w:p>
        </w:tc>
      </w:tr>
    </w:tbl>
    <w:p>
      <w:pPr>
        <w:spacing w:after="0"/>
      </w:pPr>
    </w:p>
    <w:p>
      <w:pPr>
        <w:pStyle w:val="Heading2"/>
      </w:pPr>
      <w:r>
        <w:t>8.7 Completion and post-completion issue</w:t>
      </w:r>
    </w:p>
    <w:p>
      <w:pPr>
        <w:pStyle w:val="ListNumber"/>
      </w:pPr>
      <w:r>
        <w:t>Vendor marks booking complete and records completion timestamp.</w:t>
      </w:r>
    </w:p>
    <w:p>
      <w:pPr>
        <w:pStyle w:val="ListNumber"/>
      </w:pPr>
      <w:r>
        <w:t>Customer is notified and has seven calendar days to confirm completion or report an issue.</w:t>
      </w:r>
    </w:p>
    <w:p>
      <w:pPr>
        <w:pStyle w:val="ListNumber"/>
      </w:pPr>
      <w:r>
        <w:t>If customer confirms, close booking.</w:t>
      </w:r>
    </w:p>
    <w:p>
      <w:pPr>
        <w:pStyle w:val="ListNumber"/>
      </w:pPr>
      <w:r>
        <w:t>If customer does not respond within seven days, close booking while preserving the ability to open a later support issue.</w:t>
      </w:r>
    </w:p>
    <w:p>
      <w:pPr>
        <w:pStyle w:val="ListNumber"/>
      </w:pPr>
      <w:r>
        <w:t>If customer reports an issue, create a support case linked to the completed booking, collect explanation/evidence and notify vendor when appropriate.</w:t>
      </w:r>
    </w:p>
    <w:p>
      <w:pPr>
        <w:pStyle w:val="ListNumber"/>
      </w:pPr>
      <w:r>
        <w:t>Keep the recorded completion status and history; support outcome is a separate record.</w:t>
      </w:r>
    </w:p>
    <w:p>
      <w:pPr>
        <w:pStyle w:val="Heading1"/>
      </w:pPr>
      <w:r>
        <w:t>9. RFQ and quotation requirements</w:t>
      </w:r>
    </w:p>
    <w:p>
      <w:pPr>
        <w:pStyle w:val="Heading2"/>
      </w:pPr>
      <w:r>
        <w:t>9.1 RFQ creation</w:t>
      </w:r>
    </w:p>
    <w:p>
      <w:pPr>
        <w:pStyle w:val="ListBullet"/>
      </w:pPr>
      <w:r>
        <w:t>Customer selects category and describes the requirement.</w:t>
      </w:r>
    </w:p>
    <w:p>
      <w:pPr>
        <w:pStyle w:val="ListBullet"/>
      </w:pPr>
      <w:r>
        <w:t>Required fields include requirement description, quantity/scope/specifications, service/delivery location, date/timeline, budget range, reference files and category-specific questions as configured.</w:t>
      </w:r>
    </w:p>
    <w:p>
      <w:pPr>
        <w:pStyle w:val="ListBullet"/>
      </w:pPr>
      <w:r>
        <w:t>Contact details are sourced from the customer account; privacy controls apply.</w:t>
      </w:r>
    </w:p>
    <w:p>
      <w:pPr>
        <w:pStyle w:val="ListBullet"/>
      </w:pPr>
      <w:r>
        <w:t>Required/optional fields vary by category and request type.</w:t>
      </w:r>
    </w:p>
    <w:p>
      <w:pPr>
        <w:pStyle w:val="ListBullet"/>
      </w:pPr>
      <w:r>
        <w:t>Validate file type and size, securely store files, scan uploads and authorize access only to relevant participants/reviewers.</w:t>
      </w:r>
    </w:p>
    <w:p>
      <w:pPr>
        <w:pStyle w:val="ListBullet"/>
      </w:pPr>
      <w:r>
        <w:t>RFQ submission captures deadline, matching criteria, revision number and intended vendor recipient set.</w:t>
      </w:r>
    </w:p>
    <w:p>
      <w:pPr>
        <w:pStyle w:val="Heading2"/>
      </w:pPr>
      <w:r>
        <w:t>9.2 Vendor eligibility and response</w:t>
      </w:r>
    </w:p>
    <w:p>
      <w:pPr>
        <w:pStyle w:val="ListBullet"/>
      </w:pPr>
      <w:r>
        <w:t>Only eligible vendors matching category/service-area rules should receive or discover an RFQ, according to configured distribution.</w:t>
      </w:r>
    </w:p>
    <w:p>
      <w:pPr>
        <w:pStyle w:val="ListBullet"/>
      </w:pPr>
      <w:r>
        <w:t>Vendor may ask clarifying questions through linked in-app conversation.</w:t>
      </w:r>
    </w:p>
    <w:p>
      <w:pPr>
        <w:pStyle w:val="ListBullet"/>
      </w:pPr>
      <w:r>
        <w:t>Vendor quotation includes price and currency, scope, inclusions, exclusions, estimated timeline, validity period and notes/attachments.</w:t>
      </w:r>
    </w:p>
    <w:p>
      <w:pPr>
        <w:pStyle w:val="ListBullet"/>
      </w:pPr>
      <w:r>
        <w:t>System should present comparable structured fields to the customer; optional fields may differ by category.</w:t>
      </w:r>
    </w:p>
    <w:p>
      <w:pPr>
        <w:pStyle w:val="ListBullet"/>
      </w:pPr>
      <w:r>
        <w:t>Customer can compare offers and negotiate through linked conversation.</w:t>
      </w:r>
    </w:p>
    <w:p>
      <w:pPr>
        <w:pStyle w:val="Heading2"/>
      </w:pPr>
      <w:r>
        <w:t>9.3 Quote lifecycle and immutability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Quote event</w:t>
            </w:r>
          </w:p>
        </w:tc>
        <w:tc>
          <w:tcPr>
            <w:tcW w:type="dxa" w:w="5112"/>
            <w:vAlign w:val="center"/>
            <w:shd w:fill="10253F"/>
          </w:tcPr>
          <w:p>
            <w:pPr>
              <w:spacing w:after="0"/>
            </w:pPr>
            <w:r/>
            <w:r>
              <w:rPr>
                <w:rFonts w:ascii="Aptos" w:hAnsi="Aptos"/>
                <w:b/>
                <w:color w:val="FFFFFF"/>
                <w:sz w:val="16"/>
              </w:rPr>
              <w:t>Rule</w:t>
            </w:r>
          </w:p>
        </w:tc>
      </w:tr>
      <w:tr>
        <w:tc>
          <w:tcPr>
            <w:tcW w:type="dxa" w:w="5112"/>
            <w:vAlign w:val="center"/>
          </w:tcPr>
          <w:p>
            <w:pPr>
              <w:spacing w:after="0"/>
            </w:pPr>
            <w:r/>
            <w:r>
              <w:rPr>
                <w:rFonts w:ascii="Aptos" w:hAnsi="Aptos"/>
                <w:b w:val="0"/>
                <w:sz w:val="15"/>
              </w:rPr>
              <w:t>Submit quote</w:t>
            </w:r>
          </w:p>
        </w:tc>
        <w:tc>
          <w:tcPr>
            <w:tcW w:type="dxa" w:w="5112"/>
            <w:vAlign w:val="center"/>
          </w:tcPr>
          <w:p>
            <w:pPr>
              <w:spacing w:after="0"/>
            </w:pPr>
            <w:r/>
            <w:r>
              <w:rPr>
                <w:rFonts w:ascii="Aptos" w:hAnsi="Aptos"/>
                <w:b w:val="0"/>
                <w:sz w:val="15"/>
              </w:rPr>
              <w:t>Validate required fields, vendor eligibility, RFQ state and validity period.</w:t>
            </w:r>
          </w:p>
        </w:tc>
      </w:tr>
      <w:tr>
        <w:tc>
          <w:tcPr>
            <w:tcW w:type="dxa" w:w="5112"/>
            <w:vAlign w:val="center"/>
            <w:shd w:fill="F2F6F8"/>
          </w:tcPr>
          <w:p>
            <w:pPr>
              <w:spacing w:after="0"/>
            </w:pPr>
            <w:r/>
            <w:r>
              <w:rPr>
                <w:rFonts w:ascii="Aptos" w:hAnsi="Aptos"/>
                <w:b w:val="0"/>
                <w:sz w:val="15"/>
              </w:rPr>
              <w:t>Revise pending quote</w:t>
            </w:r>
          </w:p>
        </w:tc>
        <w:tc>
          <w:tcPr>
            <w:tcW w:type="dxa" w:w="5112"/>
            <w:vAlign w:val="center"/>
            <w:shd w:fill="F2F6F8"/>
          </w:tcPr>
          <w:p>
            <w:pPr>
              <w:spacing w:after="0"/>
            </w:pPr>
            <w:r/>
            <w:r>
              <w:rPr>
                <w:rFonts w:ascii="Aptos" w:hAnsi="Aptos"/>
                <w:b w:val="0"/>
                <w:sz w:val="15"/>
              </w:rPr>
              <w:t>Vendor may edit pending quotation directly; customer is notified. Previous displayed details need not have a detailed user-facing version history, but audit events and the ultimately accepted terms must be retained.</w:t>
            </w:r>
          </w:p>
        </w:tc>
      </w:tr>
      <w:tr>
        <w:tc>
          <w:tcPr>
            <w:tcW w:type="dxa" w:w="5112"/>
            <w:vAlign w:val="center"/>
          </w:tcPr>
          <w:p>
            <w:pPr>
              <w:spacing w:after="0"/>
            </w:pPr>
            <w:r/>
            <w:r>
              <w:rPr>
                <w:rFonts w:ascii="Aptos" w:hAnsi="Aptos"/>
                <w:b w:val="0"/>
                <w:sz w:val="15"/>
              </w:rPr>
              <w:t>Withdraw pending quote</w:t>
            </w:r>
          </w:p>
        </w:tc>
        <w:tc>
          <w:tcPr>
            <w:tcW w:type="dxa" w:w="5112"/>
            <w:vAlign w:val="center"/>
          </w:tcPr>
          <w:p>
            <w:pPr>
              <w:spacing w:after="0"/>
            </w:pPr>
            <w:r/>
            <w:r>
              <w:rPr>
                <w:rFonts w:ascii="Aptos" w:hAnsi="Aptos"/>
                <w:b w:val="0"/>
                <w:sz w:val="15"/>
              </w:rPr>
              <w:t>Allowed before acceptance with recorded reason and customer notification.</w:t>
            </w:r>
          </w:p>
        </w:tc>
      </w:tr>
      <w:tr>
        <w:tc>
          <w:tcPr>
            <w:tcW w:type="dxa" w:w="5112"/>
            <w:vAlign w:val="center"/>
            <w:shd w:fill="F2F6F8"/>
          </w:tcPr>
          <w:p>
            <w:pPr>
              <w:spacing w:after="0"/>
            </w:pPr>
            <w:r/>
            <w:r>
              <w:rPr>
                <w:rFonts w:ascii="Aptos" w:hAnsi="Aptos"/>
                <w:b w:val="0"/>
                <w:sz w:val="15"/>
              </w:rPr>
              <w:t>Expire quote</w:t>
            </w:r>
          </w:p>
        </w:tc>
        <w:tc>
          <w:tcPr>
            <w:tcW w:type="dxa" w:w="5112"/>
            <w:vAlign w:val="center"/>
            <w:shd w:fill="F2F6F8"/>
          </w:tcPr>
          <w:p>
            <w:pPr>
              <w:spacing w:after="0"/>
            </w:pPr>
            <w:r/>
            <w:r>
              <w:rPr>
                <w:rFonts w:ascii="Aptos" w:hAnsi="Aptos"/>
                <w:b w:val="0"/>
                <w:sz w:val="15"/>
              </w:rPr>
              <w:t>At validity end, quote cannot be accepted. Notify customer/vendor; new quote may be issued if RFQ remains open.</w:t>
            </w:r>
          </w:p>
        </w:tc>
      </w:tr>
      <w:tr>
        <w:tc>
          <w:tcPr>
            <w:tcW w:type="dxa" w:w="5112"/>
            <w:vAlign w:val="center"/>
          </w:tcPr>
          <w:p>
            <w:pPr>
              <w:spacing w:after="0"/>
            </w:pPr>
            <w:r/>
            <w:r>
              <w:rPr>
                <w:rFonts w:ascii="Aptos" w:hAnsi="Aptos"/>
                <w:b w:val="0"/>
                <w:sz w:val="15"/>
              </w:rPr>
              <w:t>Accept quote</w:t>
            </w:r>
          </w:p>
        </w:tc>
        <w:tc>
          <w:tcPr>
            <w:tcW w:type="dxa" w:w="5112"/>
            <w:vAlign w:val="center"/>
          </w:tcPr>
          <w:p>
            <w:pPr>
              <w:spacing w:after="0"/>
            </w:pPr>
            <w:r/>
            <w:r>
              <w:rPr>
                <w:rFonts w:ascii="Aptos" w:hAnsi="Aptos"/>
                <w:b w:val="0"/>
                <w:sz w:val="15"/>
              </w:rPr>
              <w:t>Accept exact current quote terms atomically; one accepted quote per RFQ.</w:t>
            </w:r>
          </w:p>
        </w:tc>
      </w:tr>
      <w:tr>
        <w:tc>
          <w:tcPr>
            <w:tcW w:type="dxa" w:w="5112"/>
            <w:vAlign w:val="center"/>
            <w:shd w:fill="F2F6F8"/>
          </w:tcPr>
          <w:p>
            <w:pPr>
              <w:spacing w:after="0"/>
            </w:pPr>
            <w:r/>
            <w:r>
              <w:rPr>
                <w:rFonts w:ascii="Aptos" w:hAnsi="Aptos"/>
                <w:b w:val="0"/>
                <w:sz w:val="15"/>
              </w:rPr>
              <w:t>Edit accepted quote</w:t>
            </w:r>
          </w:p>
        </w:tc>
        <w:tc>
          <w:tcPr>
            <w:tcW w:type="dxa" w:w="5112"/>
            <w:vAlign w:val="center"/>
            <w:shd w:fill="F2F6F8"/>
          </w:tcPr>
          <w:p>
            <w:pPr>
              <w:spacing w:after="0"/>
            </w:pPr>
            <w:r/>
            <w:r>
              <w:rPr>
                <w:rFonts w:ascii="Aptos" w:hAnsi="Aptos"/>
                <w:b w:val="0"/>
                <w:sz w:val="15"/>
              </w:rPr>
              <w:t>Not allowed through normal vendor editing; use separate agreement/support path.</w:t>
            </w:r>
          </w:p>
        </w:tc>
      </w:tr>
      <w:tr>
        <w:tc>
          <w:tcPr>
            <w:tcW w:type="dxa" w:w="5112"/>
            <w:vAlign w:val="center"/>
          </w:tcPr>
          <w:p>
            <w:pPr>
              <w:spacing w:after="0"/>
            </w:pPr>
            <w:r/>
            <w:r>
              <w:rPr>
                <w:rFonts w:ascii="Aptos" w:hAnsi="Aptos"/>
                <w:b w:val="0"/>
                <w:sz w:val="15"/>
              </w:rPr>
              <w:t>Withdraw accepted quote</w:t>
            </w:r>
          </w:p>
        </w:tc>
        <w:tc>
          <w:tcPr>
            <w:tcW w:type="dxa" w:w="5112"/>
            <w:vAlign w:val="center"/>
          </w:tcPr>
          <w:p>
            <w:pPr>
              <w:spacing w:after="0"/>
            </w:pPr>
            <w:r/>
            <w:r>
              <w:rPr>
                <w:rFonts w:ascii="Aptos" w:hAnsi="Aptos"/>
                <w:b w:val="0"/>
                <w:sz w:val="15"/>
              </w:rPr>
              <w:t>Not allowed through normal workflow; exceptional issue uses support/dispute process.</w:t>
            </w:r>
          </w:p>
        </w:tc>
      </w:tr>
      <w:tr>
        <w:tc>
          <w:tcPr>
            <w:tcW w:type="dxa" w:w="5112"/>
            <w:vAlign w:val="center"/>
            <w:shd w:fill="F2F6F8"/>
          </w:tcPr>
          <w:p>
            <w:pPr>
              <w:spacing w:after="0"/>
            </w:pPr>
            <w:r/>
            <w:r>
              <w:rPr>
                <w:rFonts w:ascii="Aptos" w:hAnsi="Aptos"/>
                <w:b w:val="0"/>
                <w:sz w:val="15"/>
              </w:rPr>
              <w:t>Other quotes after acceptance</w:t>
            </w:r>
          </w:p>
        </w:tc>
        <w:tc>
          <w:tcPr>
            <w:tcW w:type="dxa" w:w="5112"/>
            <w:vAlign w:val="center"/>
            <w:shd w:fill="F2F6F8"/>
          </w:tcPr>
          <w:p>
            <w:pPr>
              <w:spacing w:after="0"/>
            </w:pPr>
            <w:r/>
            <w:r>
              <w:rPr>
                <w:rFonts w:ascii="Aptos" w:hAnsi="Aptos"/>
                <w:b w:val="0"/>
                <w:sz w:val="15"/>
              </w:rPr>
              <w:t>Close RFQ to further acceptance, mark other pending quotes unsuccessful and notify vendors.</w:t>
            </w:r>
          </w:p>
        </w:tc>
      </w:tr>
    </w:tbl>
    <w:p>
      <w:pPr>
        <w:spacing w:after="0"/>
      </w:pPr>
    </w:p>
    <w:p>
      <w:pPr>
        <w:pStyle w:val="Heading2"/>
      </w:pPr>
      <w:r>
        <w:t>9.4 RFQ edits and deadline</w:t>
      </w:r>
    </w:p>
    <w:p>
      <w:pPr>
        <w:pStyle w:val="ListBullet"/>
      </w:pPr>
      <w:r>
        <w:t>Customer can edit an RFQ while it is open and no quote has been accepted.</w:t>
      </w:r>
    </w:p>
    <w:p>
      <w:pPr>
        <w:pStyle w:val="ListBullet"/>
      </w:pPr>
      <w:r>
        <w:t>Material edits create revision history and notify relevant vendors.</w:t>
      </w:r>
    </w:p>
    <w:p>
      <w:pPr>
        <w:pStyle w:val="ListBullet"/>
      </w:pPr>
      <w:r>
        <w:t>After quote acceptance, changes require a separate agreement rather than mutation of accepted terms.</w:t>
      </w:r>
    </w:p>
    <w:p>
      <w:pPr>
        <w:pStyle w:val="ListBullet"/>
      </w:pPr>
      <w:r>
        <w:t>If no quotes arrive, notify relevant vendors and send reminders; allow customer to extend the deadline.</w:t>
      </w:r>
    </w:p>
    <w:p>
      <w:pPr>
        <w:pStyle w:val="ListBullet"/>
      </w:pPr>
      <w:r>
        <w:t>If no quotes arrive after extension, notify customer and suggest revising the requirement or contacting other vendors.</w:t>
      </w:r>
    </w:p>
    <w:p>
      <w:pPr>
        <w:pStyle w:val="ListBullet"/>
      </w:pPr>
      <w:r>
        <w:t>RFQ cancellation/closure rules must prevent acceptance after closure.</w:t>
      </w:r>
    </w:p>
    <w:p>
      <w:pPr>
        <w:pStyle w:val="Heading2"/>
      </w:pPr>
      <w:r>
        <w:t>9.5 Atomic acceptance and follow-on workflow</w:t>
      </w:r>
    </w:p>
    <w:p>
      <w:pPr>
        <w:pStyle w:val="ListNumber"/>
      </w:pPr>
      <w:r>
        <w:t>Customer selects a non-expired quotation for an open RFQ.</w:t>
      </w:r>
    </w:p>
    <w:p>
      <w:pPr>
        <w:pStyle w:val="ListNumber"/>
      </w:pPr>
      <w:r>
        <w:t>Server rechecks RFQ ownership, quote eligibility, quote validity and RFQ state in one atomic operation.</w:t>
      </w:r>
    </w:p>
    <w:p>
      <w:pPr>
        <w:pStyle w:val="ListNumber"/>
      </w:pPr>
      <w:r>
        <w:t>Exactly one quotation may win under concurrent acceptance attempts; later attempts fail safely.</w:t>
      </w:r>
    </w:p>
    <w:p>
      <w:pPr>
        <w:pStyle w:val="ListNumber"/>
      </w:pPr>
      <w:r>
        <w:t>System records accepted quote ID/version and immutable agreed terms.</w:t>
      </w:r>
    </w:p>
    <w:p>
      <w:pPr>
        <w:pStyle w:val="ListNumber"/>
      </w:pPr>
      <w:r>
        <w:t>System closes RFQ to further acceptance, marks other pending quotes unsuccessful and notifies relevant vendors.</w:t>
      </w:r>
    </w:p>
    <w:p>
      <w:pPr>
        <w:pStyle w:val="ListNumber"/>
      </w:pPr>
      <w:r>
        <w:t>System creates the category-appropriate booking or work order according to configured workflow.</w:t>
      </w:r>
    </w:p>
    <w:p>
      <w:pPr>
        <w:pStyle w:val="ListNumber"/>
      </w:pPr>
      <w:r>
        <w:t>Both parties are notified. Customer payment remains directly between customer and vendor.</w:t>
      </w:r>
    </w:p>
    <w:p>
      <w:pPr>
        <w:pStyle w:val="Heading1"/>
      </w:pPr>
      <w:r>
        <w:t>10. Messaging, contact disclosure and notifications</w:t>
      </w:r>
    </w:p>
    <w:p>
      <w:pPr>
        <w:pStyle w:val="Heading2"/>
      </w:pPr>
      <w:r>
        <w:t>10.1 Messaging</w:t>
      </w:r>
    </w:p>
    <w:p>
      <w:pPr>
        <w:pStyle w:val="ListBullet"/>
      </w:pPr>
      <w:r>
        <w:t>In-app chat is the default initial contact channel and remains available before/after booking or RFQ.</w:t>
      </w:r>
    </w:p>
    <w:p>
      <w:pPr>
        <w:pStyle w:val="ListBullet"/>
      </w:pPr>
      <w:r>
        <w:t>Transaction-related conversations are linked to a booking or RFQ where applicable.</w:t>
      </w:r>
    </w:p>
    <w:p>
      <w:pPr>
        <w:pStyle w:val="ListBullet"/>
      </w:pPr>
      <w:r>
        <w:t>Only conversation participants and properly authorized case reviewers can read messages/attachments.</w:t>
      </w:r>
    </w:p>
    <w:p>
      <w:pPr>
        <w:pStyle w:val="ListBullet"/>
      </w:pPr>
      <w:r>
        <w:t>Phone/email are protected by default and disclosed only through a controlled policy flow.</w:t>
      </w:r>
    </w:p>
    <w:p>
      <w:pPr>
        <w:pStyle w:val="ListBullet"/>
      </w:pPr>
      <w:r>
        <w:t>After subscription expiry, vendor can access existing conversations and commitments but cannot receive new public enquiries until renewal.</w:t>
      </w:r>
    </w:p>
    <w:p>
      <w:pPr>
        <w:pStyle w:val="ListBullet"/>
      </w:pPr>
      <w:r>
        <w:t>Apply spam/rate limits, abuse reporting, attachment scanning and moderation controls.</w:t>
      </w:r>
    </w:p>
    <w:p>
      <w:pPr>
        <w:pStyle w:val="Heading2"/>
      </w:pPr>
      <w:r>
        <w:t>10.2 Notifications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Trigger family</w:t>
            </w:r>
          </w:p>
        </w:tc>
        <w:tc>
          <w:tcPr>
            <w:tcW w:type="dxa" w:w="5112"/>
            <w:vAlign w:val="center"/>
            <w:shd w:fill="10253F"/>
          </w:tcPr>
          <w:p>
            <w:pPr>
              <w:spacing w:after="0"/>
            </w:pPr>
            <w:r/>
            <w:r>
              <w:rPr>
                <w:rFonts w:ascii="Aptos" w:hAnsi="Aptos"/>
                <w:b/>
                <w:color w:val="FFFFFF"/>
                <w:sz w:val="16"/>
              </w:rPr>
              <w:t>Recipients and expected content</w:t>
            </w:r>
          </w:p>
        </w:tc>
      </w:tr>
      <w:tr>
        <w:tc>
          <w:tcPr>
            <w:tcW w:type="dxa" w:w="5112"/>
            <w:vAlign w:val="center"/>
          </w:tcPr>
          <w:p>
            <w:pPr>
              <w:spacing w:after="0"/>
            </w:pPr>
            <w:r/>
            <w:r>
              <w:rPr>
                <w:rFonts w:ascii="Aptos" w:hAnsi="Aptos"/>
                <w:b w:val="0"/>
                <w:sz w:val="15"/>
              </w:rPr>
              <w:t>Account/security</w:t>
            </w:r>
          </w:p>
        </w:tc>
        <w:tc>
          <w:tcPr>
            <w:tcW w:type="dxa" w:w="5112"/>
            <w:vAlign w:val="center"/>
          </w:tcPr>
          <w:p>
            <w:pPr>
              <w:spacing w:after="0"/>
            </w:pPr>
            <w:r/>
            <w:r>
              <w:rPr>
                <w:rFonts w:ascii="Aptos" w:hAnsi="Aptos"/>
                <w:b w:val="0"/>
                <w:sz w:val="15"/>
              </w:rPr>
              <w:t>Account owner; verification, security or access change without exposing secrets.</w:t>
            </w:r>
          </w:p>
        </w:tc>
      </w:tr>
      <w:tr>
        <w:tc>
          <w:tcPr>
            <w:tcW w:type="dxa" w:w="5112"/>
            <w:vAlign w:val="center"/>
            <w:shd w:fill="F2F6F8"/>
          </w:tcPr>
          <w:p>
            <w:pPr>
              <w:spacing w:after="0"/>
            </w:pPr>
            <w:r/>
            <w:r>
              <w:rPr>
                <w:rFonts w:ascii="Aptos" w:hAnsi="Aptos"/>
                <w:b w:val="0"/>
                <w:sz w:val="15"/>
              </w:rPr>
              <w:t>Vendor onboarding/listing</w:t>
            </w:r>
          </w:p>
        </w:tc>
        <w:tc>
          <w:tcPr>
            <w:tcW w:type="dxa" w:w="5112"/>
            <w:vAlign w:val="center"/>
            <w:shd w:fill="F2F6F8"/>
          </w:tcPr>
          <w:p>
            <w:pPr>
              <w:spacing w:after="0"/>
            </w:pPr>
            <w:r/>
            <w:r>
              <w:rPr>
                <w:rFonts w:ascii="Aptos" w:hAnsi="Aptos"/>
                <w:b w:val="0"/>
                <w:sz w:val="15"/>
              </w:rPr>
              <w:t>Vendor owner and assigned reviewer; status, reason, missing evidence and next step.</w:t>
            </w:r>
          </w:p>
        </w:tc>
      </w:tr>
      <w:tr>
        <w:tc>
          <w:tcPr>
            <w:tcW w:type="dxa" w:w="5112"/>
            <w:vAlign w:val="center"/>
          </w:tcPr>
          <w:p>
            <w:pPr>
              <w:spacing w:after="0"/>
            </w:pPr>
            <w:r/>
            <w:r>
              <w:rPr>
                <w:rFonts w:ascii="Aptos" w:hAnsi="Aptos"/>
                <w:b w:val="0"/>
                <w:sz w:val="15"/>
              </w:rPr>
              <w:t>Subscription</w:t>
            </w:r>
          </w:p>
        </w:tc>
        <w:tc>
          <w:tcPr>
            <w:tcW w:type="dxa" w:w="5112"/>
            <w:vAlign w:val="center"/>
          </w:tcPr>
          <w:p>
            <w:pPr>
              <w:spacing w:after="0"/>
            </w:pPr>
            <w:r/>
            <w:r>
              <w:rPr>
                <w:rFonts w:ascii="Aptos" w:hAnsi="Aptos"/>
                <w:b w:val="0"/>
                <w:sz w:val="15"/>
              </w:rPr>
              <w:t>Vendor owner; activation, upcoming renewal, failure, grace period, expiry, cancellation and restoration.</w:t>
            </w:r>
          </w:p>
        </w:tc>
      </w:tr>
      <w:tr>
        <w:tc>
          <w:tcPr>
            <w:tcW w:type="dxa" w:w="5112"/>
            <w:vAlign w:val="center"/>
            <w:shd w:fill="F2F6F8"/>
          </w:tcPr>
          <w:p>
            <w:pPr>
              <w:spacing w:after="0"/>
            </w:pPr>
            <w:r/>
            <w:r>
              <w:rPr>
                <w:rFonts w:ascii="Aptos" w:hAnsi="Aptos"/>
                <w:b w:val="0"/>
                <w:sz w:val="15"/>
              </w:rPr>
              <w:t>Booking</w:t>
            </w:r>
          </w:p>
        </w:tc>
        <w:tc>
          <w:tcPr>
            <w:tcW w:type="dxa" w:w="5112"/>
            <w:vAlign w:val="center"/>
            <w:shd w:fill="F2F6F8"/>
          </w:tcPr>
          <w:p>
            <w:pPr>
              <w:spacing w:after="0"/>
            </w:pPr>
            <w:r/>
            <w:r>
              <w:rPr>
                <w:rFonts w:ascii="Aptos" w:hAnsi="Aptos"/>
                <w:b w:val="0"/>
                <w:sz w:val="15"/>
              </w:rPr>
              <w:t>Customer/vendor according to event; request, reminder, accept/decline, expiry, modification, cancellation, completion and issue deadline.</w:t>
            </w:r>
          </w:p>
        </w:tc>
      </w:tr>
      <w:tr>
        <w:tc>
          <w:tcPr>
            <w:tcW w:type="dxa" w:w="5112"/>
            <w:vAlign w:val="center"/>
          </w:tcPr>
          <w:p>
            <w:pPr>
              <w:spacing w:after="0"/>
            </w:pPr>
            <w:r/>
            <w:r>
              <w:rPr>
                <w:rFonts w:ascii="Aptos" w:hAnsi="Aptos"/>
                <w:b w:val="0"/>
                <w:sz w:val="15"/>
              </w:rPr>
              <w:t>RFQ/quotation</w:t>
            </w:r>
          </w:p>
        </w:tc>
        <w:tc>
          <w:tcPr>
            <w:tcW w:type="dxa" w:w="5112"/>
            <w:vAlign w:val="center"/>
          </w:tcPr>
          <w:p>
            <w:pPr>
              <w:spacing w:after="0"/>
            </w:pPr>
            <w:r/>
            <w:r>
              <w:rPr>
                <w:rFonts w:ascii="Aptos" w:hAnsi="Aptos"/>
                <w:b w:val="0"/>
                <w:sz w:val="15"/>
              </w:rPr>
              <w:t>RFQ owner and relevant vendors; submission, revision, clarification, deadline extension, quote validity/acceptance/unsuccessful outcome.</w:t>
            </w:r>
          </w:p>
        </w:tc>
      </w:tr>
      <w:tr>
        <w:tc>
          <w:tcPr>
            <w:tcW w:type="dxa" w:w="5112"/>
            <w:vAlign w:val="center"/>
            <w:shd w:fill="F2F6F8"/>
          </w:tcPr>
          <w:p>
            <w:pPr>
              <w:spacing w:after="0"/>
            </w:pPr>
            <w:r/>
            <w:r>
              <w:rPr>
                <w:rFonts w:ascii="Aptos" w:hAnsi="Aptos"/>
                <w:b w:val="0"/>
                <w:sz w:val="15"/>
              </w:rPr>
              <w:t>Messaging</w:t>
            </w:r>
          </w:p>
        </w:tc>
        <w:tc>
          <w:tcPr>
            <w:tcW w:type="dxa" w:w="5112"/>
            <w:vAlign w:val="center"/>
            <w:shd w:fill="F2F6F8"/>
          </w:tcPr>
          <w:p>
            <w:pPr>
              <w:spacing w:after="0"/>
            </w:pPr>
            <w:r/>
            <w:r>
              <w:rPr>
                <w:rFonts w:ascii="Aptos" w:hAnsi="Aptos"/>
                <w:b w:val="0"/>
                <w:sz w:val="15"/>
              </w:rPr>
              <w:t>Conversation participant; new message alert subject to channel preferences.</w:t>
            </w:r>
          </w:p>
        </w:tc>
      </w:tr>
      <w:tr>
        <w:tc>
          <w:tcPr>
            <w:tcW w:type="dxa" w:w="5112"/>
            <w:vAlign w:val="center"/>
          </w:tcPr>
          <w:p>
            <w:pPr>
              <w:spacing w:after="0"/>
            </w:pPr>
            <w:r/>
            <w:r>
              <w:rPr>
                <w:rFonts w:ascii="Aptos" w:hAnsi="Aptos"/>
                <w:b w:val="0"/>
                <w:sz w:val="15"/>
              </w:rPr>
              <w:t>Trust/support</w:t>
            </w:r>
          </w:p>
        </w:tc>
        <w:tc>
          <w:tcPr>
            <w:tcW w:type="dxa" w:w="5112"/>
            <w:vAlign w:val="center"/>
          </w:tcPr>
          <w:p>
            <w:pPr>
              <w:spacing w:after="0"/>
            </w:pPr>
            <w:r/>
            <w:r>
              <w:rPr>
                <w:rFonts w:ascii="Aptos" w:hAnsi="Aptos"/>
                <w:b w:val="0"/>
                <w:sz w:val="15"/>
              </w:rPr>
              <w:t>Reporter, affected account or assigned staff as policy permits; case status, evidence request, decision and appeal.</w:t>
            </w:r>
          </w:p>
        </w:tc>
      </w:tr>
      <w:tr>
        <w:tc>
          <w:tcPr>
            <w:tcW w:type="dxa" w:w="5112"/>
            <w:vAlign w:val="center"/>
            <w:shd w:fill="F2F6F8"/>
          </w:tcPr>
          <w:p>
            <w:pPr>
              <w:spacing w:after="0"/>
            </w:pPr>
            <w:r/>
            <w:r>
              <w:rPr>
                <w:rFonts w:ascii="Aptos" w:hAnsi="Aptos"/>
                <w:b w:val="0"/>
                <w:sz w:val="15"/>
              </w:rPr>
              <w:t>Saved vendor</w:t>
            </w:r>
          </w:p>
        </w:tc>
        <w:tc>
          <w:tcPr>
            <w:tcW w:type="dxa" w:w="5112"/>
            <w:vAlign w:val="center"/>
            <w:shd w:fill="F2F6F8"/>
          </w:tcPr>
          <w:p>
            <w:pPr>
              <w:spacing w:after="0"/>
            </w:pPr>
            <w:r/>
            <w:r>
              <w:rPr>
                <w:rFonts w:ascii="Aptos" w:hAnsi="Aptos"/>
                <w:b w:val="0"/>
                <w:sz w:val="15"/>
              </w:rPr>
              <w:t>Customer; meaningful availability/service-area changes only.</w:t>
            </w:r>
          </w:p>
        </w:tc>
      </w:tr>
    </w:tbl>
    <w:p>
      <w:pPr>
        <w:spacing w:after="0"/>
      </w:pPr>
    </w:p>
    <w:p>
      <w:pPr>
        <w:pStyle w:val="ListBullet"/>
      </w:pPr>
      <w:r>
        <w:t>Transactional/safety notifications required to operate the service must be sent even where optional marketing notifications are disabled.</w:t>
      </w:r>
    </w:p>
    <w:p>
      <w:pPr>
        <w:pStyle w:val="ListBullet"/>
      </w:pPr>
      <w:r>
        <w:t>Optional/promotional messages respect user preferences and applicable consent.</w:t>
      </w:r>
    </w:p>
    <w:p>
      <w:pPr>
        <w:pStyle w:val="ListBullet"/>
      </w:pPr>
      <w:r>
        <w:t>Use idempotency/event keys so retries do not create duplicate logical notifications.</w:t>
      </w:r>
    </w:p>
    <w:p>
      <w:pPr>
        <w:pStyle w:val="ListBullet"/>
      </w:pPr>
      <w:r>
        <w:t>Record delivery status and retry transient errors safely; do not expose sensitive case data in lock-screen previews by default.</w:t>
      </w:r>
    </w:p>
    <w:p>
      <w:pPr>
        <w:pStyle w:val="Heading1"/>
      </w:pPr>
      <w:r>
        <w:t>11. Subscription, lead limits and sponsored visibility</w:t>
      </w:r>
    </w:p>
    <w:p>
      <w:pPr>
        <w:pStyle w:val="Heading2"/>
      </w:pPr>
      <w:r>
        <w:t>11.1 Plan model</w:t>
      </w:r>
    </w:p>
    <w:p>
      <w:pPr>
        <w:pStyle w:val="ListBullet"/>
      </w:pPr>
      <w:r>
        <w:t>Free account access may exist, but free accounts cannot publish public vendor listings.</w:t>
      </w:r>
    </w:p>
    <w:p>
      <w:pPr>
        <w:pStyle w:val="ListBullet"/>
      </w:pPr>
      <w:r>
        <w:t>Plan tiers may vary by number of listings, lead/enquiry limits, analytics and vendor tools.</w:t>
      </w:r>
    </w:p>
    <w:p>
      <w:pPr>
        <w:pStyle w:val="ListBullet"/>
      </w:pPr>
      <w:r>
        <w:t>Exact plan names, prices, billing cadence, numerical limits and entitlements are open configuration; do not invent values.</w:t>
      </w:r>
    </w:p>
    <w:p>
      <w:pPr>
        <w:pStyle w:val="ListBullet"/>
      </w:pPr>
      <w:r>
        <w:t>Listing views, contact clicks and enquiries count toward lead usage as defined by plan rules.</w:t>
      </w:r>
    </w:p>
    <w:p>
      <w:pPr>
        <w:pStyle w:val="ListBullet"/>
      </w:pPr>
      <w:r>
        <w:t>When lead limit is reached, genuine customer enquiries continue; show usage and upgrade options rather than silently blocking customer access.</w:t>
      </w:r>
    </w:p>
    <w:p>
      <w:pPr>
        <w:pStyle w:val="ListBullet"/>
      </w:pPr>
      <w:r>
        <w:t>Sponsorship is separately sold and clearly labelled. Plan tier is not shown as a quality signal.</w:t>
      </w:r>
    </w:p>
    <w:p>
      <w:pPr>
        <w:pStyle w:val="ListBullet"/>
      </w:pPr>
      <w:bookmarkStart w:id="9015" w:name="gm_c111"/>
      <w:r>
        <w:rPr>
          <w:b/>
        </w:rPr>
        <w:t xml:space="preserve">Market-specific plans. </w:t>
      </w:r>
      <w:r>
        <w:t xml:space="preserve">Plan prices, currencies, taxes and entitlements may differ by country and are configured per market (CFG-01, CFG-16). The lifecycle in §11.2 applies in every market.</w:t>
      </w:r>
      <w:bookmarkEnd w:id="9015"/>
    </w:p>
    <w:p>
      <w:pPr>
        <w:pStyle w:val="Heading2"/>
      </w:pPr>
      <w:r>
        <w:t>11.2 Subscription lifecycle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State/event</w:t>
            </w:r>
          </w:p>
        </w:tc>
        <w:tc>
          <w:tcPr>
            <w:tcW w:type="dxa" w:w="5112"/>
            <w:vAlign w:val="center"/>
            <w:shd w:fill="10253F"/>
          </w:tcPr>
          <w:p>
            <w:pPr>
              <w:spacing w:after="0"/>
            </w:pPr>
            <w:r/>
            <w:r>
              <w:rPr>
                <w:rFonts w:ascii="Aptos" w:hAnsi="Aptos"/>
                <w:b/>
                <w:color w:val="FFFFFF"/>
                <w:sz w:val="16"/>
              </w:rPr>
              <w:t>Expected behavior</w:t>
            </w:r>
          </w:p>
        </w:tc>
      </w:tr>
      <w:tr>
        <w:tc>
          <w:tcPr>
            <w:tcW w:type="dxa" w:w="5112"/>
            <w:vAlign w:val="center"/>
          </w:tcPr>
          <w:p>
            <w:pPr>
              <w:spacing w:after="0"/>
            </w:pPr>
            <w:r/>
            <w:r>
              <w:rPr>
                <w:rFonts w:ascii="Aptos" w:hAnsi="Aptos"/>
                <w:b w:val="0"/>
                <w:sz w:val="15"/>
              </w:rPr>
              <w:t>Payment successful</w:t>
            </w:r>
          </w:p>
        </w:tc>
        <w:tc>
          <w:tcPr>
            <w:tcW w:type="dxa" w:w="5112"/>
            <w:vAlign w:val="center"/>
          </w:tcPr>
          <w:p>
            <w:pPr>
              <w:spacing w:after="0"/>
            </w:pPr>
            <w:r/>
            <w:r>
              <w:rPr>
                <w:rFonts w:ascii="Aptos" w:hAnsi="Aptos"/>
                <w:b w:val="0"/>
                <w:sz w:val="15"/>
              </w:rPr>
              <w:t>Mark paid period active and enable publication eligibility; do not bypass content/verification gates.</w:t>
            </w:r>
          </w:p>
        </w:tc>
      </w:tr>
      <w:tr>
        <w:tc>
          <w:tcPr>
            <w:tcW w:type="dxa" w:w="5112"/>
            <w:vAlign w:val="center"/>
            <w:shd w:fill="F2F6F8"/>
          </w:tcPr>
          <w:p>
            <w:pPr>
              <w:spacing w:after="0"/>
            </w:pPr>
            <w:r/>
            <w:r>
              <w:rPr>
                <w:rFonts w:ascii="Aptos" w:hAnsi="Aptos"/>
                <w:b w:val="0"/>
                <w:sz w:val="15"/>
              </w:rPr>
              <w:t>Renewal upcoming</w:t>
            </w:r>
          </w:p>
        </w:tc>
        <w:tc>
          <w:tcPr>
            <w:tcW w:type="dxa" w:w="5112"/>
            <w:vAlign w:val="center"/>
            <w:shd w:fill="F2F6F8"/>
          </w:tcPr>
          <w:p>
            <w:pPr>
              <w:spacing w:after="0"/>
            </w:pPr>
            <w:r/>
            <w:r>
              <w:rPr>
                <w:rFonts w:ascii="Aptos" w:hAnsi="Aptos"/>
                <w:b w:val="0"/>
                <w:sz w:val="15"/>
              </w:rPr>
              <w:t>Notify owner according to configured schedule.</w:t>
            </w:r>
          </w:p>
        </w:tc>
      </w:tr>
      <w:tr>
        <w:tc>
          <w:tcPr>
            <w:tcW w:type="dxa" w:w="5112"/>
            <w:vAlign w:val="center"/>
          </w:tcPr>
          <w:p>
            <w:pPr>
              <w:spacing w:after="0"/>
            </w:pPr>
            <w:r/>
            <w:r>
              <w:rPr>
                <w:rFonts w:ascii="Aptos" w:hAnsi="Aptos"/>
                <w:b w:val="0"/>
                <w:sz w:val="15"/>
              </w:rPr>
              <w:t>Renewal failed</w:t>
            </w:r>
          </w:p>
        </w:tc>
        <w:tc>
          <w:tcPr>
            <w:tcW w:type="dxa" w:w="5112"/>
            <w:vAlign w:val="center"/>
          </w:tcPr>
          <w:p>
            <w:pPr>
              <w:spacing w:after="0"/>
            </w:pPr>
            <w:r/>
            <w:r>
              <w:rPr>
                <w:rFonts w:ascii="Aptos" w:hAnsi="Aptos"/>
                <w:b w:val="0"/>
                <w:sz w:val="15"/>
              </w:rPr>
              <w:t>Notify owner and start a 3-day grace period with listing visibility retained.</w:t>
            </w:r>
          </w:p>
        </w:tc>
      </w:tr>
      <w:tr>
        <w:tc>
          <w:tcPr>
            <w:tcW w:type="dxa" w:w="5112"/>
            <w:vAlign w:val="center"/>
            <w:shd w:fill="F2F6F8"/>
          </w:tcPr>
          <w:p>
            <w:pPr>
              <w:spacing w:after="0"/>
            </w:pPr>
            <w:r/>
            <w:r>
              <w:rPr>
                <w:rFonts w:ascii="Aptos" w:hAnsi="Aptos"/>
                <w:b w:val="0"/>
                <w:sz w:val="15"/>
              </w:rPr>
              <w:t>Grace expires unpaid</w:t>
            </w:r>
          </w:p>
        </w:tc>
        <w:tc>
          <w:tcPr>
            <w:tcW w:type="dxa" w:w="5112"/>
            <w:vAlign w:val="center"/>
            <w:shd w:fill="F2F6F8"/>
          </w:tcPr>
          <w:p>
            <w:pPr>
              <w:spacing w:after="0"/>
            </w:pPr>
            <w:r/>
            <w:r>
              <w:rPr>
                <w:rFonts w:ascii="Aptos" w:hAnsi="Aptos"/>
                <w:b w:val="0"/>
                <w:sz w:val="15"/>
              </w:rPr>
              <w:t>Hide public listings, stop new public enquiries and sponsored placements; preserve data and conversations.</w:t>
            </w:r>
          </w:p>
        </w:tc>
      </w:tr>
      <w:tr>
        <w:tc>
          <w:tcPr>
            <w:tcW w:type="dxa" w:w="5112"/>
            <w:vAlign w:val="center"/>
          </w:tcPr>
          <w:p>
            <w:pPr>
              <w:spacing w:after="0"/>
            </w:pPr>
            <w:r/>
            <w:r>
              <w:rPr>
                <w:rFonts w:ascii="Aptos" w:hAnsi="Aptos"/>
                <w:b w:val="0"/>
                <w:sz w:val="15"/>
              </w:rPr>
              <w:t>Subscription cancelled</w:t>
            </w:r>
          </w:p>
        </w:tc>
        <w:tc>
          <w:tcPr>
            <w:tcW w:type="dxa" w:w="5112"/>
            <w:vAlign w:val="center"/>
          </w:tcPr>
          <w:p>
            <w:pPr>
              <w:spacing w:after="0"/>
            </w:pPr>
            <w:r/>
            <w:r>
              <w:rPr>
                <w:rFonts w:ascii="Aptos" w:hAnsi="Aptos"/>
                <w:b w:val="0"/>
                <w:sz w:val="15"/>
              </w:rPr>
              <w:t>Stop auto-renewal; eligibility continues to end of paid period subject to other checks.</w:t>
            </w:r>
          </w:p>
        </w:tc>
      </w:tr>
      <w:tr>
        <w:tc>
          <w:tcPr>
            <w:tcW w:type="dxa" w:w="5112"/>
            <w:vAlign w:val="center"/>
            <w:shd w:fill="F2F6F8"/>
          </w:tcPr>
          <w:p>
            <w:pPr>
              <w:spacing w:after="0"/>
            </w:pPr>
            <w:r/>
            <w:r>
              <w:rPr>
                <w:rFonts w:ascii="Aptos" w:hAnsi="Aptos"/>
                <w:b w:val="0"/>
                <w:sz w:val="15"/>
              </w:rPr>
              <w:t>Renewal/restoration succeeds</w:t>
            </w:r>
          </w:p>
        </w:tc>
        <w:tc>
          <w:tcPr>
            <w:tcW w:type="dxa" w:w="5112"/>
            <w:vAlign w:val="center"/>
            <w:shd w:fill="F2F6F8"/>
          </w:tcPr>
          <w:p>
            <w:pPr>
              <w:spacing w:after="0"/>
            </w:pPr>
            <w:r/>
            <w:r>
              <w:rPr>
                <w:rFonts w:ascii="Aptos" w:hAnsi="Aptos"/>
                <w:b w:val="0"/>
                <w:sz w:val="15"/>
              </w:rPr>
              <w:t>Restore subscription eligibility; republish only if all other gates pass.</w:t>
            </w:r>
          </w:p>
        </w:tc>
      </w:tr>
      <w:tr>
        <w:tc>
          <w:tcPr>
            <w:tcW w:type="dxa" w:w="5112"/>
            <w:vAlign w:val="center"/>
          </w:tcPr>
          <w:p>
            <w:pPr>
              <w:spacing w:after="0"/>
            </w:pPr>
            <w:r/>
            <w:r>
              <w:rPr>
                <w:rFonts w:ascii="Aptos" w:hAnsi="Aptos"/>
                <w:b w:val="0"/>
                <w:sz w:val="15"/>
              </w:rPr>
              <w:t>Existing commitments</w:t>
            </w:r>
          </w:p>
        </w:tc>
        <w:tc>
          <w:tcPr>
            <w:tcW w:type="dxa" w:w="5112"/>
            <w:vAlign w:val="center"/>
          </w:tcPr>
          <w:p>
            <w:pPr>
              <w:spacing w:after="0"/>
            </w:pPr>
            <w:r/>
            <w:r>
              <w:rPr>
                <w:rFonts w:ascii="Aptos" w:hAnsi="Aptos"/>
                <w:b w:val="0"/>
                <w:sz w:val="15"/>
              </w:rPr>
              <w:t>Vendor retains full access to manage existing bookings, accepted quotations/work orders and conversations until completion.</w:t>
            </w:r>
          </w:p>
        </w:tc>
      </w:tr>
      <w:tr>
        <w:tc>
          <w:tcPr>
            <w:tcW w:type="dxa" w:w="5112"/>
            <w:vAlign w:val="center"/>
            <w:shd w:fill="F2F6F8"/>
          </w:tcPr>
          <w:p>
            <w:pPr>
              <w:spacing w:after="0"/>
            </w:pPr>
            <w:r/>
            <w:r>
              <w:rPr>
                <w:rFonts w:ascii="Aptos" w:hAnsi="Aptos"/>
                <w:b w:val="0"/>
                <w:sz w:val="15"/>
              </w:rPr>
              <w:t>Refund request</w:t>
            </w:r>
          </w:p>
        </w:tc>
        <w:tc>
          <w:tcPr>
            <w:tcW w:type="dxa" w:w="5112"/>
            <w:vAlign w:val="center"/>
            <w:shd w:fill="F2F6F8"/>
          </w:tcPr>
          <w:p>
            <w:pPr>
              <w:spacing w:after="0"/>
            </w:pPr>
            <w:r/>
            <w:r>
              <w:rPr>
                <w:rFonts w:ascii="Aptos" w:hAnsi="Aptos"/>
                <w:b w:val="0"/>
                <w:sz w:val="15"/>
              </w:rPr>
              <w:t>Generally non-refundable after activation except duplicate charges, billing errors, applicable law or exceptional support-approved cases.</w:t>
            </w:r>
          </w:p>
        </w:tc>
      </w:tr>
    </w:tbl>
    <w:p>
      <w:pPr>
        <w:spacing w:after="0"/>
      </w:pPr>
    </w:p>
    <w:p>
      <w:r>
        <w:t>Billing provider callbacks must be authenticated, idempotent and reconciled against server-side subscription state. A client redirect to a success page is not proof of payment.</w:t>
      </w:r>
    </w:p>
    <w:p>
      <w:pPr>
        <w:pStyle w:val="Heading2"/>
      </w:pPr>
      <w:r>
        <w:t>11.3 Sponsored placements</w:t>
      </w:r>
    </w:p>
    <w:p>
      <w:pPr>
        <w:pStyle w:val="ListBullet"/>
      </w:pPr>
      <w:r>
        <w:t>Sponsored placements are labelled in search and other placements where shown.</w:t>
      </w:r>
    </w:p>
    <w:p>
      <w:pPr>
        <w:pStyle w:val="ListBullet"/>
      </w:pPr>
      <w:r>
        <w:t>Sponsored status never overrides listing publication, verification, safety or category eligibility.</w:t>
      </w:r>
    </w:p>
    <w:p>
      <w:pPr>
        <w:pStyle w:val="ListBullet"/>
      </w:pPr>
      <w:r>
        <w:t>Campaign dates, spend/entitlement and delivery metrics should be auditable.</w:t>
      </w:r>
    </w:p>
    <w:p>
      <w:pPr>
        <w:pStyle w:val="ListBullet"/>
      </w:pPr>
      <w:r>
        <w:t>Detailed campaign manager, bidding and advanced ad analytics may be phased; do not claim they are fully specified here.</w:t>
      </w:r>
    </w:p>
    <w:p>
      <w:bookmarkStart w:id="9016" w:name="gm_c113"/>
      <w:r>
        <w:rPr>
          <w:b/>
        </w:rPr>
        <w:t xml:space="preserve">v3.0 note. </w:t>
      </w:r>
      <w:r>
        <w:t xml:space="preserve">Commission, platform-facilitated payment, multi-currency billing and per-country subscription settings are defined in §26.9. They do not change §11.2 and remain gated where stated.</w:t>
      </w:r>
      <w:bookmarkEnd w:id="9016"/>
    </w:p>
    <w:p>
      <w:pPr>
        <w:pStyle w:val="Heading1"/>
      </w:pPr>
      <w:r>
        <w:t>12. Reviews, moderation, reporting and disputes</w:t>
      </w:r>
    </w:p>
    <w:p>
      <w:pPr>
        <w:pStyle w:val="Heading2"/>
      </w:pPr>
      <w:r>
        <w:t>12.1 Review eligibility</w:t>
      </w:r>
    </w:p>
    <w:p>
      <w:pPr>
        <w:pStyle w:val="ListBullet"/>
      </w:pPr>
      <w:r>
        <w:t>Only customers associated with a recorded booking or accepted quotation/work order may submit a review.</w:t>
      </w:r>
    </w:p>
    <w:p>
      <w:pPr>
        <w:pStyle w:val="ListBullet"/>
      </w:pPr>
      <w:r>
        <w:t>Server verifies eligibility; clients cannot create their own eligibility by changing IDs or state fields.</w:t>
      </w:r>
    </w:p>
    <w:p>
      <w:pPr>
        <w:pStyle w:val="ListBullet"/>
      </w:pPr>
      <w:r>
        <w:t>Eligible reviews pass automated screening; suspicious/high-risk content may be held for human review.</w:t>
      </w:r>
    </w:p>
    <w:p>
      <w:pPr>
        <w:pStyle w:val="ListBullet"/>
      </w:pPr>
      <w:r>
        <w:t>Vendor can respond to a review. Customer or vendor may report policy-violating content.</w:t>
      </w:r>
    </w:p>
    <w:p>
      <w:pPr>
        <w:pStyle w:val="ListBullet"/>
      </w:pPr>
      <w:r>
        <w:t>Moderator can remove/restrict a review for policy reasons with recorded rationale and an appeal route where applicable.</w:t>
      </w:r>
    </w:p>
    <w:p>
      <w:pPr>
        <w:pStyle w:val="ListBullet"/>
      </w:pPr>
      <w:r>
        <w:t>Ranking uses review quality while accounting for sparse history; no reviews is not automatically negative.</w:t>
      </w:r>
    </w:p>
    <w:p>
      <w:pPr>
        <w:pStyle w:val="ListBullet"/>
      </w:pPr>
      <w:bookmarkStart w:id="9017" w:name="gm_c121"/>
      <w:r>
        <w:t xml:space="preserve">Eligible transactions now include completed contract milestones and completed contracts. Multi-dimension ratings, translation labelling and operational trust metrics are defined in §26.6.</w:t>
      </w:r>
      <w:bookmarkEnd w:id="9017"/>
    </w:p>
    <w:p>
      <w:pPr>
        <w:pStyle w:val="Heading2"/>
      </w:pPr>
      <w:r>
        <w:t>12.2 Content moderation</w:t>
      </w:r>
    </w:p>
    <w:p>
      <w:pPr>
        <w:pStyle w:val="ListBullet"/>
      </w:pPr>
      <w:r>
        <w:t>Automated text/image screening flags prohibited, abusive, misleading or suspicious content.</w:t>
      </w:r>
    </w:p>
    <w:p>
      <w:pPr>
        <w:pStyle w:val="ListBullet"/>
      </w:pPr>
      <w:r>
        <w:t>Human review is required for suspicious/high-risk cases and contested decisions.</w:t>
      </w:r>
    </w:p>
    <w:p>
      <w:pPr>
        <w:pStyle w:val="ListBullet"/>
      </w:pPr>
      <w:r>
        <w:t>Users can report vendors, listings, messages and reviews using reason categories plus optional explanation/evidence.</w:t>
      </w:r>
    </w:p>
    <w:p>
      <w:pPr>
        <w:pStyle w:val="ListBullet"/>
      </w:pPr>
      <w:r>
        <w:t>Reports are trackable cases with severity, owner, status, evidence references and resolution.</w:t>
      </w:r>
    </w:p>
    <w:p>
      <w:pPr>
        <w:pStyle w:val="ListBullet"/>
      </w:pPr>
      <w:r>
        <w:t>Vendor can appeal moderation decisions for human review.</w:t>
      </w:r>
    </w:p>
    <w:p>
      <w:pPr>
        <w:pStyle w:val="ListBullet"/>
      </w:pPr>
      <w:r>
        <w:t>Emergency restrictions may be applied where needed to protect users, with audit trail and review after action.</w:t>
      </w:r>
    </w:p>
    <w:p>
      <w:pPr>
        <w:pStyle w:val="Heading2"/>
      </w:pPr>
      <w:r>
        <w:t>12.3 Support and dispute ownership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Issue type</w:t>
            </w:r>
          </w:p>
        </w:tc>
        <w:tc>
          <w:tcPr>
            <w:tcW w:type="dxa" w:w="5112"/>
            <w:vAlign w:val="center"/>
            <w:shd w:fill="10253F"/>
          </w:tcPr>
          <w:p>
            <w:pPr>
              <w:spacing w:after="0"/>
            </w:pPr>
            <w:r/>
            <w:r>
              <w:rPr>
                <w:rFonts w:ascii="Aptos" w:hAnsi="Aptos"/>
                <w:b/>
                <w:color w:val="FFFFFF"/>
                <w:sz w:val="16"/>
              </w:rPr>
              <w:t>Primary owner and handling</w:t>
            </w:r>
          </w:p>
        </w:tc>
      </w:tr>
      <w:tr>
        <w:tc>
          <w:tcPr>
            <w:tcW w:type="dxa" w:w="5112"/>
            <w:vAlign w:val="center"/>
          </w:tcPr>
          <w:p>
            <w:pPr>
              <w:spacing w:after="0"/>
            </w:pPr>
            <w:r/>
            <w:r>
              <w:rPr>
                <w:rFonts w:ascii="Aptos" w:hAnsi="Aptos"/>
                <w:b w:val="0"/>
                <w:sz w:val="15"/>
              </w:rPr>
              <w:t>Account/subscription</w:t>
            </w:r>
          </w:p>
        </w:tc>
        <w:tc>
          <w:tcPr>
            <w:tcW w:type="dxa" w:w="5112"/>
            <w:vAlign w:val="center"/>
          </w:tcPr>
          <w:p>
            <w:pPr>
              <w:spacing w:after="0"/>
            </w:pPr>
            <w:r/>
            <w:r>
              <w:rPr>
                <w:rFonts w:ascii="Aptos" w:hAnsi="Aptos"/>
                <w:b w:val="0"/>
                <w:sz w:val="15"/>
              </w:rPr>
              <w:t>VendorVerse support; inspect platform account/billing records and authorized correction options.</w:t>
            </w:r>
          </w:p>
        </w:tc>
      </w:tr>
      <w:tr>
        <w:tc>
          <w:tcPr>
            <w:tcW w:type="dxa" w:w="5112"/>
            <w:vAlign w:val="center"/>
            <w:shd w:fill="F2F6F8"/>
          </w:tcPr>
          <w:p>
            <w:pPr>
              <w:spacing w:after="0"/>
            </w:pPr>
            <w:r/>
            <w:r>
              <w:rPr>
                <w:rFonts w:ascii="Aptos" w:hAnsi="Aptos"/>
                <w:b w:val="0"/>
                <w:sz w:val="15"/>
              </w:rPr>
              <w:t>Unsafe/misleading content</w:t>
            </w:r>
          </w:p>
        </w:tc>
        <w:tc>
          <w:tcPr>
            <w:tcW w:type="dxa" w:w="5112"/>
            <w:vAlign w:val="center"/>
            <w:shd w:fill="F2F6F8"/>
          </w:tcPr>
          <w:p>
            <w:pPr>
              <w:spacing w:after="0"/>
            </w:pPr>
            <w:r/>
            <w:r>
              <w:rPr>
                <w:rFonts w:ascii="Aptos" w:hAnsi="Aptos"/>
                <w:b w:val="0"/>
                <w:sz w:val="15"/>
              </w:rPr>
              <w:t>VendorVerse trust/operations; review, restrict/remove where justified and handle appeal.</w:t>
            </w:r>
          </w:p>
        </w:tc>
      </w:tr>
      <w:tr>
        <w:tc>
          <w:tcPr>
            <w:tcW w:type="dxa" w:w="5112"/>
            <w:vAlign w:val="center"/>
          </w:tcPr>
          <w:p>
            <w:pPr>
              <w:spacing w:after="0"/>
            </w:pPr>
            <w:r/>
            <w:r>
              <w:rPr>
                <w:rFonts w:ascii="Aptos" w:hAnsi="Aptos"/>
                <w:b w:val="0"/>
                <w:sz w:val="15"/>
              </w:rPr>
              <w:t>Vendor fulfilment failure</w:t>
            </w:r>
          </w:p>
        </w:tc>
        <w:tc>
          <w:tcPr>
            <w:tcW w:type="dxa" w:w="5112"/>
            <w:vAlign w:val="center"/>
          </w:tcPr>
          <w:p>
            <w:pPr>
              <w:spacing w:after="0"/>
            </w:pPr>
            <w:r/>
            <w:r>
              <w:rPr>
                <w:rFonts w:ascii="Aptos" w:hAnsi="Aptos"/>
                <w:b w:val="0"/>
                <w:sz w:val="15"/>
              </w:rPr>
              <w:t>VendorVerse records case, facilitates communication, collects evidence and escalates unresolved issues; may enforce platform policy.</w:t>
            </w:r>
          </w:p>
        </w:tc>
      </w:tr>
      <w:tr>
        <w:tc>
          <w:tcPr>
            <w:tcW w:type="dxa" w:w="5112"/>
            <w:vAlign w:val="center"/>
            <w:shd w:fill="F2F6F8"/>
          </w:tcPr>
          <w:p>
            <w:pPr>
              <w:spacing w:after="0"/>
            </w:pPr>
            <w:r/>
            <w:r>
              <w:rPr>
                <w:rFonts w:ascii="Aptos" w:hAnsi="Aptos"/>
                <w:b w:val="0"/>
                <w:sz w:val="15"/>
              </w:rPr>
              <w:t>Direct customer-vendor refund</w:t>
            </w:r>
          </w:p>
        </w:tc>
        <w:tc>
          <w:tcPr>
            <w:tcW w:type="dxa" w:w="5112"/>
            <w:vAlign w:val="center"/>
            <w:shd w:fill="F2F6F8"/>
          </w:tcPr>
          <w:p>
            <w:pPr>
              <w:spacing w:after="0"/>
            </w:pPr>
            <w:r/>
            <w:r>
              <w:rPr>
                <w:rFonts w:ascii="Aptos" w:hAnsi="Aptos"/>
                <w:b w:val="0"/>
                <w:sz w:val="15"/>
              </w:rPr>
              <w:t>Vendor handles refund subject to applicable policy/law; VendorVerse may investigate and take platform action but does not refund from platform-held transaction funds.</w:t>
            </w:r>
          </w:p>
        </w:tc>
      </w:tr>
      <w:tr>
        <w:tc>
          <w:tcPr>
            <w:tcW w:type="dxa" w:w="5112"/>
            <w:vAlign w:val="center"/>
          </w:tcPr>
          <w:p>
            <w:pPr>
              <w:spacing w:after="0"/>
            </w:pPr>
            <w:r/>
            <w:r>
              <w:rPr>
                <w:rFonts w:ascii="Aptos" w:hAnsi="Aptos"/>
                <w:b w:val="0"/>
                <w:sz w:val="15"/>
              </w:rPr>
              <w:t>Fraud/safety threat</w:t>
            </w:r>
          </w:p>
        </w:tc>
        <w:tc>
          <w:tcPr>
            <w:tcW w:type="dxa" w:w="5112"/>
            <w:vAlign w:val="center"/>
          </w:tcPr>
          <w:p>
            <w:pPr>
              <w:spacing w:after="0"/>
            </w:pPr>
            <w:r/>
            <w:r>
              <w:rPr>
                <w:rFonts w:ascii="Aptos" w:hAnsi="Aptos"/>
                <w:b w:val="0"/>
                <w:sz w:val="15"/>
              </w:rPr>
              <w:t>Escalate to Trust &amp; Safety under severity policy; restrict access/content when justified; preserve evidence.</w:t>
            </w:r>
          </w:p>
        </w:tc>
      </w:tr>
      <w:tr>
        <w:tc>
          <w:tcPr>
            <w:tcW w:type="dxa" w:w="5112"/>
            <w:vAlign w:val="center"/>
            <w:shd w:fill="F2F6F8"/>
          </w:tcPr>
          <w:p>
            <w:pPr>
              <w:spacing w:after="0"/>
            </w:pPr>
            <w:r/>
            <w:r>
              <w:rPr>
                <w:rFonts w:ascii="Aptos" w:hAnsi="Aptos"/>
                <w:b w:val="0"/>
                <w:sz w:val="15"/>
              </w:rPr>
              <w:t>Review dispute</w:t>
            </w:r>
          </w:p>
        </w:tc>
        <w:tc>
          <w:tcPr>
            <w:tcW w:type="dxa" w:w="5112"/>
            <w:vAlign w:val="center"/>
            <w:shd w:fill="F2F6F8"/>
          </w:tcPr>
          <w:p>
            <w:pPr>
              <w:spacing w:after="0"/>
            </w:pPr>
            <w:r/>
            <w:r>
              <w:rPr>
                <w:rFonts w:ascii="Aptos" w:hAnsi="Aptos"/>
                <w:b w:val="0"/>
                <w:sz w:val="15"/>
              </w:rPr>
              <w:t>Moderation review based on platform policy; do not remove solely because vendor disagrees with an honest review.</w:t>
            </w:r>
          </w:p>
        </w:tc>
      </w:tr>
    </w:tbl>
    <w:p>
      <w:pPr>
        <w:spacing w:after="0"/>
      </w:pPr>
    </w:p>
    <w:p>
      <w:pPr>
        <w:pStyle w:val="Heading2"/>
      </w:pPr>
      <w:r>
        <w:t>12.4 Proportionate enforcement</w:t>
      </w:r>
    </w:p>
    <w:p>
      <w:pPr>
        <w:pStyle w:val="ListBullet"/>
      </w:pPr>
      <w:r>
        <w:t>Record incident, evidence, decision, actor and reason.</w:t>
      </w:r>
    </w:p>
    <w:p>
      <w:pPr>
        <w:pStyle w:val="ListBullet"/>
      </w:pPr>
      <w:r>
        <w:t>Use warnings, content restrictions, listing restrictions or account suspension proportionate to severity and repetition.</w:t>
      </w:r>
    </w:p>
    <w:p>
      <w:pPr>
        <w:pStyle w:val="ListBullet"/>
      </w:pPr>
      <w:r>
        <w:t>No automatic penalty for every cancellation or one late response.</w:t>
      </w:r>
    </w:p>
    <w:p>
      <w:pPr>
        <w:pStyle w:val="ListBullet"/>
      </w:pPr>
      <w:r>
        <w:t>Serious or repeated misconduct may justify stronger action after appropriate review.</w:t>
      </w:r>
    </w:p>
    <w:p>
      <w:pPr>
        <w:pStyle w:val="ListBullet"/>
      </w:pPr>
      <w:r>
        <w:t>Where feasible and safe, explain the decision and provide a correction/appeal path.</w:t>
      </w:r>
    </w:p>
    <w:p>
      <w:pPr>
        <w:pStyle w:val="Heading1"/>
      </w:pPr>
      <w:r>
        <w:t>13. Admin console and operations</w:t>
      </w:r>
    </w:p>
    <w:p>
      <w:pPr>
        <w:pStyle w:val="Heading2"/>
      </w:pPr>
      <w:r>
        <w:t>13.1 Required operational queues</w:t>
      </w:r>
    </w:p>
    <w:p>
      <w:pPr>
        <w:pStyle w:val="ListBullet"/>
      </w:pPr>
      <w:r>
        <w:t>Vendor onboarding and verification queue with document expiry and resubmission handling.</w:t>
      </w:r>
    </w:p>
    <w:p>
      <w:pPr>
        <w:pStyle w:val="ListBullet"/>
      </w:pPr>
      <w:r>
        <w:t>Listing review queue with reason codes, duplicate flags and change-request workflow.</w:t>
      </w:r>
    </w:p>
    <w:p>
      <w:pPr>
        <w:pStyle w:val="ListBullet"/>
      </w:pPr>
      <w:r>
        <w:t>High-risk content/report queue with severity, evidence and escalation.</w:t>
      </w:r>
    </w:p>
    <w:p>
      <w:pPr>
        <w:pStyle w:val="ListBullet"/>
      </w:pPr>
      <w:r>
        <w:t>Review moderation and appeals queue.</w:t>
      </w:r>
    </w:p>
    <w:p>
      <w:pPr>
        <w:pStyle w:val="ListBullet"/>
      </w:pPr>
      <w:r>
        <w:t>Subscription failure/grace/expiry monitoring and authorized billing investigation.</w:t>
      </w:r>
    </w:p>
    <w:p>
      <w:pPr>
        <w:pStyle w:val="ListBullet"/>
      </w:pPr>
      <w:r>
        <w:t>Support cases with assignment, status, SLA fields, notes, evidence and resolution.</w:t>
      </w:r>
    </w:p>
    <w:p>
      <w:pPr>
        <w:pStyle w:val="ListBullet"/>
      </w:pPr>
      <w:r>
        <w:t>Audit search limited by role/scope and sensitive-field protections.</w:t>
      </w:r>
    </w:p>
    <w:p>
      <w:pPr>
        <w:pStyle w:val="ListBullet"/>
      </w:pPr>
      <w:bookmarkStart w:id="9018" w:name="gm_c131"/>
      <w:r>
        <w:t xml:space="preserve">Category suggestion and taxonomy governance queue (§26.2).</w:t>
      </w:r>
      <w:bookmarkEnd w:id="9018"/>
    </w:p>
    <w:p>
      <w:pPr>
        <w:pStyle w:val="ListBullet"/>
      </w:pPr>
      <w:r>
        <w:t xml:space="preserve">Country and market activation, including management of the Launch Market Register (§26.11).</w:t>
      </w:r>
    </w:p>
    <w:p>
      <w:pPr>
        <w:pStyle w:val="ListBullet"/>
      </w:pPr>
      <w:r>
        <w:t xml:space="preserve">Contract disputes and commission or payment configuration approvals (§26.5, §26.9).</w:t>
      </w:r>
    </w:p>
    <w:p>
      <w:pPr>
        <w:pStyle w:val="Heading2"/>
      </w:pPr>
      <w:r>
        <w:t>13.2 Administrative safeguards</w:t>
      </w:r>
    </w:p>
    <w:p>
      <w:pPr>
        <w:pStyle w:val="ListBullet"/>
      </w:pPr>
      <w:r>
        <w:t>All high-impact actions require reason capture and audit.</w:t>
      </w:r>
    </w:p>
    <w:p>
      <w:pPr>
        <w:pStyle w:val="ListBullet"/>
      </w:pPr>
      <w:r>
        <w:t>Reviewer cannot approve their own vendor account or documents.</w:t>
      </w:r>
    </w:p>
    <w:p>
      <w:pPr>
        <w:pStyle w:val="ListBullet"/>
      </w:pPr>
      <w:r>
        <w:t>Global role/configuration changes require super-admin permission and strong authentication.</w:t>
      </w:r>
    </w:p>
    <w:p>
      <w:pPr>
        <w:pStyle w:val="ListBullet"/>
      </w:pPr>
      <w:r>
        <w:t>Bulk actions require preview, explicit confirmation, bounded selection and an audit record.</w:t>
      </w:r>
    </w:p>
    <w:p>
      <w:pPr>
        <w:pStyle w:val="ListBullet"/>
      </w:pPr>
      <w:r>
        <w:t>Emergency override is limited, reasoned, time-bounded where possible and reviewed afterward.</w:t>
      </w:r>
    </w:p>
    <w:p>
      <w:pPr>
        <w:pStyle w:val="ListBullet"/>
      </w:pPr>
      <w:r>
        <w:t>Admin console access is not permission to browse arbitrary user conversations or documents.</w:t>
      </w:r>
    </w:p>
    <w:p>
      <w:pPr>
        <w:pStyle w:val="Heading1"/>
      </w:pPr>
      <w:r>
        <w:t>14. Data model and integrity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Entity</w:t>
            </w:r>
          </w:p>
        </w:tc>
        <w:tc>
          <w:tcPr>
            <w:tcW w:type="dxa" w:w="3408"/>
            <w:vAlign w:val="center"/>
            <w:shd w:fill="10253F"/>
          </w:tcPr>
          <w:p>
            <w:pPr>
              <w:spacing w:after="0"/>
            </w:pPr>
            <w:r/>
            <w:r>
              <w:rPr>
                <w:rFonts w:ascii="Aptos" w:hAnsi="Aptos"/>
                <w:b/>
                <w:color w:val="FFFFFF"/>
                <w:sz w:val="16"/>
              </w:rPr>
              <w:t>Minimum conceptual fields/relationships</w:t>
            </w:r>
          </w:p>
        </w:tc>
        <w:tc>
          <w:tcPr>
            <w:tcW w:type="dxa" w:w="3408"/>
            <w:vAlign w:val="center"/>
            <w:shd w:fill="10253F"/>
          </w:tcPr>
          <w:p>
            <w:pPr>
              <w:spacing w:after="0"/>
            </w:pPr>
            <w:r/>
            <w:r>
              <w:rPr>
                <w:rFonts w:ascii="Aptos" w:hAnsi="Aptos"/>
                <w:b/>
                <w:color w:val="FFFFFF"/>
                <w:sz w:val="16"/>
              </w:rPr>
              <w:t>Integrity controls</w:t>
            </w:r>
          </w:p>
        </w:tc>
      </w:tr>
      <w:tr>
        <w:tc>
          <w:tcPr>
            <w:tcW w:type="dxa" w:w="3408"/>
            <w:vAlign w:val="center"/>
          </w:tcPr>
          <w:p>
            <w:pPr>
              <w:spacing w:after="0"/>
            </w:pPr>
            <w:r/>
            <w:r>
              <w:rPr>
                <w:rFonts w:ascii="Aptos" w:hAnsi="Aptos"/>
                <w:b w:val="0"/>
                <w:sz w:val="15"/>
              </w:rPr>
              <w:t>User</w:t>
            </w:r>
          </w:p>
        </w:tc>
        <w:tc>
          <w:tcPr>
            <w:tcW w:type="dxa" w:w="3408"/>
            <w:vAlign w:val="center"/>
          </w:tcPr>
          <w:p>
            <w:pPr>
              <w:spacing w:after="0"/>
            </w:pPr>
            <w:r/>
            <w:r>
              <w:rPr>
                <w:rFonts w:ascii="Aptos" w:hAnsi="Aptos"/>
                <w:b w:val="0"/>
                <w:sz w:val="15"/>
              </w:rPr>
              <w:t>ID, verified contacts, locale, consent, status</w:t>
            </w:r>
          </w:p>
        </w:tc>
        <w:tc>
          <w:tcPr>
            <w:tcW w:type="dxa" w:w="3408"/>
            <w:vAlign w:val="center"/>
          </w:tcPr>
          <w:p>
            <w:pPr>
              <w:spacing w:after="0"/>
            </w:pPr>
            <w:r/>
            <w:r>
              <w:rPr>
                <w:rFonts w:ascii="Aptos" w:hAnsi="Aptos"/>
                <w:b w:val="0"/>
                <w:sz w:val="15"/>
              </w:rPr>
              <w:t>Unique identity constraints; verified contact state; secure session links.</w:t>
            </w:r>
          </w:p>
        </w:tc>
      </w:tr>
      <w:tr>
        <w:tc>
          <w:tcPr>
            <w:tcW w:type="dxa" w:w="3408"/>
            <w:vAlign w:val="center"/>
            <w:shd w:fill="F2F6F8"/>
          </w:tcPr>
          <w:p>
            <w:pPr>
              <w:spacing w:after="0"/>
            </w:pPr>
            <w:r/>
            <w:r>
              <w:rPr>
                <w:rFonts w:ascii="Aptos" w:hAnsi="Aptos"/>
                <w:b w:val="0"/>
                <w:sz w:val="15"/>
              </w:rPr>
              <w:t>Organization/VendorProfile</w:t>
            </w:r>
          </w:p>
        </w:tc>
        <w:tc>
          <w:tcPr>
            <w:tcW w:type="dxa" w:w="3408"/>
            <w:vAlign w:val="center"/>
            <w:shd w:fill="F2F6F8"/>
          </w:tcPr>
          <w:p>
            <w:pPr>
              <w:spacing w:after="0"/>
            </w:pPr>
            <w:r/>
            <w:r>
              <w:rPr>
                <w:rFonts w:ascii="Aptos" w:hAnsi="Aptos"/>
                <w:b w:val="0"/>
                <w:sz w:val="15"/>
              </w:rPr>
              <w:t>Owner, business details, status, category association</w:t>
            </w:r>
          </w:p>
        </w:tc>
        <w:tc>
          <w:tcPr>
            <w:tcW w:type="dxa" w:w="3408"/>
            <w:vAlign w:val="center"/>
            <w:shd w:fill="F2F6F8"/>
          </w:tcPr>
          <w:p>
            <w:pPr>
              <w:spacing w:after="0"/>
            </w:pPr>
            <w:r/>
            <w:r>
              <w:rPr>
                <w:rFonts w:ascii="Aptos" w:hAnsi="Aptos"/>
                <w:b w:val="0"/>
                <w:sz w:val="15"/>
              </w:rPr>
              <w:t>Owner relationship; no cross-tenant access.</w:t>
            </w:r>
          </w:p>
        </w:tc>
      </w:tr>
      <w:tr>
        <w:tc>
          <w:tcPr>
            <w:tcW w:type="dxa" w:w="3408"/>
            <w:vAlign w:val="center"/>
          </w:tcPr>
          <w:p>
            <w:pPr>
              <w:spacing w:after="0"/>
            </w:pPr>
            <w:r/>
            <w:r>
              <w:rPr>
                <w:rFonts w:ascii="Aptos" w:hAnsi="Aptos"/>
                <w:b w:val="0"/>
                <w:sz w:val="15"/>
              </w:rPr>
              <w:t>OrganizationMembership</w:t>
            </w:r>
          </w:p>
        </w:tc>
        <w:tc>
          <w:tcPr>
            <w:tcW w:type="dxa" w:w="3408"/>
            <w:vAlign w:val="center"/>
          </w:tcPr>
          <w:p>
            <w:pPr>
              <w:spacing w:after="0"/>
            </w:pPr>
            <w:r/>
            <w:r>
              <w:rPr>
                <w:rFonts w:ascii="Aptos" w:hAnsi="Aptos"/>
                <w:b w:val="0"/>
                <w:sz w:val="15"/>
              </w:rPr>
              <w:t>User, organization, role, scope</w:t>
            </w:r>
          </w:p>
        </w:tc>
        <w:tc>
          <w:tcPr>
            <w:tcW w:type="dxa" w:w="3408"/>
            <w:vAlign w:val="center"/>
          </w:tcPr>
          <w:p>
            <w:pPr>
              <w:spacing w:after="0"/>
            </w:pPr>
            <w:r/>
            <w:r>
              <w:rPr>
                <w:rFonts w:ascii="Aptos" w:hAnsi="Aptos"/>
                <w:b w:val="0"/>
                <w:sz w:val="15"/>
              </w:rPr>
              <w:t>Release 1 owner-only for vendor operations; future roles explicit.</w:t>
            </w:r>
          </w:p>
        </w:tc>
      </w:tr>
      <w:tr>
        <w:tc>
          <w:tcPr>
            <w:tcW w:type="dxa" w:w="3408"/>
            <w:vAlign w:val="center"/>
            <w:shd w:fill="F2F6F8"/>
          </w:tcPr>
          <w:p>
            <w:pPr>
              <w:spacing w:after="0"/>
            </w:pPr>
            <w:r/>
            <w:r>
              <w:rPr>
                <w:rFonts w:ascii="Aptos" w:hAnsi="Aptos"/>
                <w:b w:val="0"/>
                <w:sz w:val="15"/>
              </w:rPr>
              <w:t>ServiceArea</w:t>
            </w:r>
          </w:p>
        </w:tc>
        <w:tc>
          <w:tcPr>
            <w:tcW w:type="dxa" w:w="3408"/>
            <w:vAlign w:val="center"/>
            <w:shd w:fill="F2F6F8"/>
          </w:tcPr>
          <w:p>
            <w:pPr>
              <w:spacing w:after="0"/>
            </w:pPr>
            <w:r/>
            <w:r>
              <w:rPr>
                <w:rFonts w:ascii="Aptos" w:hAnsi="Aptos"/>
                <w:b w:val="0"/>
                <w:sz w:val="15"/>
              </w:rPr>
              <w:t>Vendor/listing, city/pincode/coverage shape</w:t>
            </w:r>
          </w:p>
        </w:tc>
        <w:tc>
          <w:tcPr>
            <w:tcW w:type="dxa" w:w="3408"/>
            <w:vAlign w:val="center"/>
            <w:shd w:fill="F2F6F8"/>
          </w:tcPr>
          <w:p>
            <w:pPr>
              <w:spacing w:after="0"/>
            </w:pPr>
            <w:r/>
            <w:r>
              <w:rPr>
                <w:rFonts w:ascii="Aptos" w:hAnsi="Aptos"/>
                <w:b w:val="0"/>
                <w:sz w:val="15"/>
              </w:rPr>
              <w:t>Search matching uses valid configured coverage.</w:t>
            </w:r>
          </w:p>
        </w:tc>
      </w:tr>
      <w:tr>
        <w:tc>
          <w:tcPr>
            <w:tcW w:type="dxa" w:w="3408"/>
            <w:vAlign w:val="center"/>
          </w:tcPr>
          <w:p>
            <w:pPr>
              <w:spacing w:after="0"/>
            </w:pPr>
            <w:r/>
            <w:r>
              <w:rPr>
                <w:rFonts w:ascii="Aptos" w:hAnsi="Aptos"/>
                <w:b w:val="0"/>
                <w:sz w:val="15"/>
              </w:rPr>
              <w:t>Category/AttributeDefinition</w:t>
            </w:r>
          </w:p>
        </w:tc>
        <w:tc>
          <w:tcPr>
            <w:tcW w:type="dxa" w:w="3408"/>
            <w:vAlign w:val="center"/>
          </w:tcPr>
          <w:p>
            <w:pPr>
              <w:spacing w:after="0"/>
            </w:pPr>
            <w:r/>
            <w:r>
              <w:rPr>
                <w:rFonts w:ascii="Aptos" w:hAnsi="Aptos"/>
                <w:b w:val="0"/>
                <w:sz w:val="15"/>
              </w:rPr>
              <w:t>Hierarchy, localized label, schema version, validation</w:t>
            </w:r>
          </w:p>
        </w:tc>
        <w:tc>
          <w:tcPr>
            <w:tcW w:type="dxa" w:w="3408"/>
            <w:vAlign w:val="center"/>
          </w:tcPr>
          <w:p>
            <w:pPr>
              <w:spacing w:after="0"/>
            </w:pPr>
            <w:r/>
            <w:r>
              <w:rPr>
                <w:rFonts w:ascii="Aptos" w:hAnsi="Aptos"/>
                <w:b w:val="0"/>
                <w:sz w:val="15"/>
              </w:rPr>
              <w:t>Versioned configuration; existing transactions snapshot terms.</w:t>
            </w:r>
          </w:p>
        </w:tc>
      </w:tr>
      <w:tr>
        <w:tc>
          <w:tcPr>
            <w:tcW w:type="dxa" w:w="3408"/>
            <w:vAlign w:val="center"/>
            <w:shd w:fill="F2F6F8"/>
          </w:tcPr>
          <w:p>
            <w:pPr>
              <w:spacing w:after="0"/>
            </w:pPr>
            <w:r/>
            <w:r>
              <w:rPr>
                <w:rFonts w:ascii="Aptos" w:hAnsi="Aptos"/>
                <w:b w:val="0"/>
                <w:sz w:val="15"/>
              </w:rPr>
              <w:t>Listing/ListingAttribute</w:t>
            </w:r>
          </w:p>
        </w:tc>
        <w:tc>
          <w:tcPr>
            <w:tcW w:type="dxa" w:w="3408"/>
            <w:vAlign w:val="center"/>
            <w:shd w:fill="F2F6F8"/>
          </w:tcPr>
          <w:p>
            <w:pPr>
              <w:spacing w:after="0"/>
            </w:pPr>
            <w:r/>
            <w:r>
              <w:rPr>
                <w:rFonts w:ascii="Aptos" w:hAnsi="Aptos"/>
                <w:b w:val="0"/>
                <w:sz w:val="15"/>
              </w:rPr>
              <w:t>Vendor, category, content, price/range, state, service area</w:t>
            </w:r>
          </w:p>
        </w:tc>
        <w:tc>
          <w:tcPr>
            <w:tcW w:type="dxa" w:w="3408"/>
            <w:vAlign w:val="center"/>
            <w:shd w:fill="F2F6F8"/>
          </w:tcPr>
          <w:p>
            <w:pPr>
              <w:spacing w:after="0"/>
            </w:pPr>
            <w:r/>
            <w:r>
              <w:rPr>
                <w:rFonts w:ascii="Aptos" w:hAnsi="Aptos"/>
                <w:b w:val="0"/>
                <w:sz w:val="15"/>
              </w:rPr>
              <w:t>Publication gates; duplicate flags; approved state transitions.</w:t>
            </w:r>
          </w:p>
        </w:tc>
      </w:tr>
      <w:tr>
        <w:tc>
          <w:tcPr>
            <w:tcW w:type="dxa" w:w="3408"/>
            <w:vAlign w:val="center"/>
          </w:tcPr>
          <w:p>
            <w:pPr>
              <w:spacing w:after="0"/>
            </w:pPr>
            <w:r/>
            <w:r>
              <w:rPr>
                <w:rFonts w:ascii="Aptos" w:hAnsi="Aptos"/>
                <w:b w:val="0"/>
                <w:sz w:val="15"/>
              </w:rPr>
              <w:t>Verification/Document</w:t>
            </w:r>
          </w:p>
        </w:tc>
        <w:tc>
          <w:tcPr>
            <w:tcW w:type="dxa" w:w="3408"/>
            <w:vAlign w:val="center"/>
          </w:tcPr>
          <w:p>
            <w:pPr>
              <w:spacing w:after="0"/>
            </w:pPr>
            <w:r/>
            <w:r>
              <w:rPr>
                <w:rFonts w:ascii="Aptos" w:hAnsi="Aptos"/>
                <w:b w:val="0"/>
                <w:sz w:val="15"/>
              </w:rPr>
              <w:t>Document type, status, expiry, reviewer, secure object reference</w:t>
            </w:r>
          </w:p>
        </w:tc>
        <w:tc>
          <w:tcPr>
            <w:tcW w:type="dxa" w:w="3408"/>
            <w:vAlign w:val="center"/>
          </w:tcPr>
          <w:p>
            <w:pPr>
              <w:spacing w:after="0"/>
            </w:pPr>
            <w:r/>
            <w:r>
              <w:rPr>
                <w:rFonts w:ascii="Aptos" w:hAnsi="Aptos"/>
                <w:b w:val="0"/>
                <w:sz w:val="15"/>
              </w:rPr>
              <w:t>Access control, expiry checks, review/audit history.</w:t>
            </w:r>
          </w:p>
        </w:tc>
      </w:tr>
      <w:tr>
        <w:tc>
          <w:tcPr>
            <w:tcW w:type="dxa" w:w="3408"/>
            <w:vAlign w:val="center"/>
            <w:shd w:fill="F2F6F8"/>
          </w:tcPr>
          <w:p>
            <w:pPr>
              <w:spacing w:after="0"/>
            </w:pPr>
            <w:r/>
            <w:r>
              <w:rPr>
                <w:rFonts w:ascii="Aptos" w:hAnsi="Aptos"/>
                <w:b w:val="0"/>
                <w:sz w:val="15"/>
              </w:rPr>
              <w:t>Subscription/Plan/Entitlement</w:t>
            </w:r>
          </w:p>
        </w:tc>
        <w:tc>
          <w:tcPr>
            <w:tcW w:type="dxa" w:w="3408"/>
            <w:vAlign w:val="center"/>
            <w:shd w:fill="F2F6F8"/>
          </w:tcPr>
          <w:p>
            <w:pPr>
              <w:spacing w:after="0"/>
            </w:pPr>
            <w:r/>
            <w:r>
              <w:rPr>
                <w:rFonts w:ascii="Aptos" w:hAnsi="Aptos"/>
                <w:b w:val="0"/>
                <w:sz w:val="15"/>
              </w:rPr>
              <w:t>Plan version, status, paid period, grace, limits</w:t>
            </w:r>
          </w:p>
        </w:tc>
        <w:tc>
          <w:tcPr>
            <w:tcW w:type="dxa" w:w="3408"/>
            <w:vAlign w:val="center"/>
            <w:shd w:fill="F2F6F8"/>
          </w:tcPr>
          <w:p>
            <w:pPr>
              <w:spacing w:after="0"/>
            </w:pPr>
            <w:r/>
            <w:r>
              <w:rPr>
                <w:rFonts w:ascii="Aptos" w:hAnsi="Aptos"/>
                <w:b w:val="0"/>
                <w:sz w:val="15"/>
              </w:rPr>
              <w:t>Provider reconciliation; idempotent events; no client-trusted payment state.</w:t>
            </w:r>
          </w:p>
        </w:tc>
      </w:tr>
      <w:tr>
        <w:tc>
          <w:tcPr>
            <w:tcW w:type="dxa" w:w="3408"/>
            <w:vAlign w:val="center"/>
          </w:tcPr>
          <w:p>
            <w:pPr>
              <w:spacing w:after="0"/>
            </w:pPr>
            <w:r/>
            <w:r>
              <w:rPr>
                <w:rFonts w:ascii="Aptos" w:hAnsi="Aptos"/>
                <w:b w:val="0"/>
                <w:sz w:val="15"/>
              </w:rPr>
              <w:t>Availability/Capacity</w:t>
            </w:r>
          </w:p>
        </w:tc>
        <w:tc>
          <w:tcPr>
            <w:tcW w:type="dxa" w:w="3408"/>
            <w:vAlign w:val="center"/>
          </w:tcPr>
          <w:p>
            <w:pPr>
              <w:spacing w:after="0"/>
            </w:pPr>
            <w:r/>
            <w:r>
              <w:rPr>
                <w:rFonts w:ascii="Aptos" w:hAnsi="Aptos"/>
                <w:b w:val="0"/>
                <w:sz w:val="15"/>
              </w:rPr>
              <w:t>Listing/resource, interval, timezone, capacity</w:t>
            </w:r>
          </w:p>
        </w:tc>
        <w:tc>
          <w:tcPr>
            <w:tcW w:type="dxa" w:w="3408"/>
            <w:vAlign w:val="center"/>
          </w:tcPr>
          <w:p>
            <w:pPr>
              <w:spacing w:after="0"/>
            </w:pPr>
            <w:r/>
            <w:r>
              <w:rPr>
                <w:rFonts w:ascii="Aptos" w:hAnsi="Aptos"/>
                <w:b w:val="0"/>
                <w:sz w:val="15"/>
              </w:rPr>
              <w:t>Concurrency-safe reservations where modeled.</w:t>
            </w:r>
          </w:p>
        </w:tc>
      </w:tr>
      <w:tr>
        <w:tc>
          <w:tcPr>
            <w:tcW w:type="dxa" w:w="3408"/>
            <w:vAlign w:val="center"/>
            <w:shd w:fill="F2F6F8"/>
          </w:tcPr>
          <w:p>
            <w:pPr>
              <w:spacing w:after="0"/>
            </w:pPr>
            <w:r/>
            <w:r>
              <w:rPr>
                <w:rFonts w:ascii="Aptos" w:hAnsi="Aptos"/>
                <w:b w:val="0"/>
                <w:sz w:val="15"/>
              </w:rPr>
              <w:t>Booking</w:t>
            </w:r>
          </w:p>
        </w:tc>
        <w:tc>
          <w:tcPr>
            <w:tcW w:type="dxa" w:w="3408"/>
            <w:vAlign w:val="center"/>
            <w:shd w:fill="F2F6F8"/>
          </w:tcPr>
          <w:p>
            <w:pPr>
              <w:spacing w:after="0"/>
            </w:pPr>
            <w:r/>
            <w:r>
              <w:rPr>
                <w:rFonts w:ascii="Aptos" w:hAnsi="Aptos"/>
                <w:b w:val="0"/>
                <w:sz w:val="15"/>
              </w:rPr>
              <w:t>Parties, listing, request terms, state, deadline, policy snapshot</w:t>
            </w:r>
          </w:p>
        </w:tc>
        <w:tc>
          <w:tcPr>
            <w:tcW w:type="dxa" w:w="3408"/>
            <w:vAlign w:val="center"/>
            <w:shd w:fill="F2F6F8"/>
          </w:tcPr>
          <w:p>
            <w:pPr>
              <w:spacing w:after="0"/>
            </w:pPr>
            <w:r/>
            <w:r>
              <w:rPr>
                <w:rFonts w:ascii="Aptos" w:hAnsi="Aptos"/>
                <w:b w:val="0"/>
                <w:sz w:val="15"/>
              </w:rPr>
              <w:t>State transition validation; idempotency; accepted terms preserved.</w:t>
            </w:r>
          </w:p>
        </w:tc>
      </w:tr>
      <w:tr>
        <w:tc>
          <w:tcPr>
            <w:tcW w:type="dxa" w:w="3408"/>
            <w:vAlign w:val="center"/>
          </w:tcPr>
          <w:p>
            <w:pPr>
              <w:spacing w:after="0"/>
            </w:pPr>
            <w:r/>
            <w:r>
              <w:rPr>
                <w:rFonts w:ascii="Aptos" w:hAnsi="Aptos"/>
                <w:b w:val="0"/>
                <w:sz w:val="15"/>
              </w:rPr>
              <w:t>RFQ/RFQRevision</w:t>
            </w:r>
          </w:p>
        </w:tc>
        <w:tc>
          <w:tcPr>
            <w:tcW w:type="dxa" w:w="3408"/>
            <w:vAlign w:val="center"/>
          </w:tcPr>
          <w:p>
            <w:pPr>
              <w:spacing w:after="0"/>
            </w:pPr>
            <w:r/>
            <w:r>
              <w:rPr>
                <w:rFonts w:ascii="Aptos" w:hAnsi="Aptos"/>
                <w:b w:val="0"/>
                <w:sz w:val="15"/>
              </w:rPr>
              <w:t>Customer, requirement, deadline, revisions, state</w:t>
            </w:r>
          </w:p>
        </w:tc>
        <w:tc>
          <w:tcPr>
            <w:tcW w:type="dxa" w:w="3408"/>
            <w:vAlign w:val="center"/>
          </w:tcPr>
          <w:p>
            <w:pPr>
              <w:spacing w:after="0"/>
            </w:pPr>
            <w:r/>
            <w:r>
              <w:rPr>
                <w:rFonts w:ascii="Aptos" w:hAnsi="Aptos"/>
                <w:b w:val="0"/>
                <w:sz w:val="15"/>
              </w:rPr>
              <w:t>Owner-only edits while open; history for material changes.</w:t>
            </w:r>
          </w:p>
        </w:tc>
      </w:tr>
      <w:tr>
        <w:tc>
          <w:tcPr>
            <w:tcW w:type="dxa" w:w="3408"/>
            <w:vAlign w:val="center"/>
            <w:shd w:fill="F2F6F8"/>
          </w:tcPr>
          <w:p>
            <w:pPr>
              <w:spacing w:after="0"/>
            </w:pPr>
            <w:r/>
            <w:r>
              <w:rPr>
                <w:rFonts w:ascii="Aptos" w:hAnsi="Aptos"/>
                <w:b w:val="0"/>
                <w:sz w:val="15"/>
              </w:rPr>
              <w:t>Quotation/QuoteTerms</w:t>
            </w:r>
          </w:p>
        </w:tc>
        <w:tc>
          <w:tcPr>
            <w:tcW w:type="dxa" w:w="3408"/>
            <w:vAlign w:val="center"/>
            <w:shd w:fill="F2F6F8"/>
          </w:tcPr>
          <w:p>
            <w:pPr>
              <w:spacing w:after="0"/>
            </w:pPr>
            <w:r/>
            <w:r>
              <w:rPr>
                <w:rFonts w:ascii="Aptos" w:hAnsi="Aptos"/>
                <w:b w:val="0"/>
                <w:sz w:val="15"/>
              </w:rPr>
              <w:t>Vendor, RFQ, price, scope, validity, status, accepted terms</w:t>
            </w:r>
          </w:p>
        </w:tc>
        <w:tc>
          <w:tcPr>
            <w:tcW w:type="dxa" w:w="3408"/>
            <w:vAlign w:val="center"/>
            <w:shd w:fill="F2F6F8"/>
          </w:tcPr>
          <w:p>
            <w:pPr>
              <w:spacing w:after="0"/>
            </w:pPr>
            <w:r/>
            <w:r>
              <w:rPr>
                <w:rFonts w:ascii="Aptos" w:hAnsi="Aptos"/>
                <w:b w:val="0"/>
                <w:sz w:val="15"/>
              </w:rPr>
              <w:t>One accepted quote per RFQ; accepted version immutable.</w:t>
            </w:r>
          </w:p>
        </w:tc>
      </w:tr>
      <w:tr>
        <w:tc>
          <w:tcPr>
            <w:tcW w:type="dxa" w:w="3408"/>
            <w:vAlign w:val="center"/>
          </w:tcPr>
          <w:p>
            <w:pPr>
              <w:spacing w:after="0"/>
            </w:pPr>
            <w:r/>
            <w:r>
              <w:rPr>
                <w:rFonts w:ascii="Aptos" w:hAnsi="Aptos"/>
                <w:b w:val="0"/>
                <w:sz w:val="15"/>
              </w:rPr>
              <w:t>Conversation/Message/Attachment</w:t>
            </w:r>
          </w:p>
        </w:tc>
        <w:tc>
          <w:tcPr>
            <w:tcW w:type="dxa" w:w="3408"/>
            <w:vAlign w:val="center"/>
          </w:tcPr>
          <w:p>
            <w:pPr>
              <w:spacing w:after="0"/>
            </w:pPr>
            <w:r/>
            <w:r>
              <w:rPr>
                <w:rFonts w:ascii="Aptos" w:hAnsi="Aptos"/>
                <w:b w:val="0"/>
                <w:sz w:val="15"/>
              </w:rPr>
              <w:t>Participants, linked transaction, content and scan state</w:t>
            </w:r>
          </w:p>
        </w:tc>
        <w:tc>
          <w:tcPr>
            <w:tcW w:type="dxa" w:w="3408"/>
            <w:vAlign w:val="center"/>
          </w:tcPr>
          <w:p>
            <w:pPr>
              <w:spacing w:after="0"/>
            </w:pPr>
            <w:r/>
            <w:r>
              <w:rPr>
                <w:rFonts w:ascii="Aptos" w:hAnsi="Aptos"/>
                <w:b w:val="0"/>
                <w:sz w:val="15"/>
              </w:rPr>
              <w:t>Participant/case-scoped access; secure file delivery.</w:t>
            </w:r>
          </w:p>
        </w:tc>
      </w:tr>
      <w:tr>
        <w:tc>
          <w:tcPr>
            <w:tcW w:type="dxa" w:w="3408"/>
            <w:vAlign w:val="center"/>
            <w:shd w:fill="F2F6F8"/>
          </w:tcPr>
          <w:p>
            <w:pPr>
              <w:spacing w:after="0"/>
            </w:pPr>
            <w:r/>
            <w:r>
              <w:rPr>
                <w:rFonts w:ascii="Aptos" w:hAnsi="Aptos"/>
                <w:b w:val="0"/>
                <w:sz w:val="15"/>
              </w:rPr>
              <w:t>Favorite/Review</w:t>
            </w:r>
          </w:p>
        </w:tc>
        <w:tc>
          <w:tcPr>
            <w:tcW w:type="dxa" w:w="3408"/>
            <w:vAlign w:val="center"/>
            <w:shd w:fill="F2F6F8"/>
          </w:tcPr>
          <w:p>
            <w:pPr>
              <w:spacing w:after="0"/>
            </w:pPr>
            <w:r/>
            <w:r>
              <w:rPr>
                <w:rFonts w:ascii="Aptos" w:hAnsi="Aptos"/>
                <w:b w:val="0"/>
                <w:sz w:val="15"/>
              </w:rPr>
              <w:t>Customer/vendor, eligible transaction reference, status</w:t>
            </w:r>
          </w:p>
        </w:tc>
        <w:tc>
          <w:tcPr>
            <w:tcW w:type="dxa" w:w="3408"/>
            <w:vAlign w:val="center"/>
            <w:shd w:fill="F2F6F8"/>
          </w:tcPr>
          <w:p>
            <w:pPr>
              <w:spacing w:after="0"/>
            </w:pPr>
            <w:r/>
            <w:r>
              <w:rPr>
                <w:rFonts w:ascii="Aptos" w:hAnsi="Aptos"/>
                <w:b w:val="0"/>
                <w:sz w:val="15"/>
              </w:rPr>
              <w:t>Ownership and eligibility constraints.</w:t>
            </w:r>
          </w:p>
        </w:tc>
      </w:tr>
      <w:tr>
        <w:tc>
          <w:tcPr>
            <w:tcW w:type="dxa" w:w="3408"/>
            <w:vAlign w:val="center"/>
          </w:tcPr>
          <w:p>
            <w:pPr>
              <w:spacing w:after="0"/>
            </w:pPr>
            <w:r/>
            <w:r>
              <w:rPr>
                <w:rFonts w:ascii="Aptos" w:hAnsi="Aptos"/>
                <w:b w:val="0"/>
                <w:sz w:val="15"/>
              </w:rPr>
              <w:t>Report/SupportCase/Evidence</w:t>
            </w:r>
          </w:p>
        </w:tc>
        <w:tc>
          <w:tcPr>
            <w:tcW w:type="dxa" w:w="3408"/>
            <w:vAlign w:val="center"/>
          </w:tcPr>
          <w:p>
            <w:pPr>
              <w:spacing w:after="0"/>
            </w:pPr>
            <w:r/>
            <w:r>
              <w:rPr>
                <w:rFonts w:ascii="Aptos" w:hAnsi="Aptos"/>
                <w:b w:val="0"/>
                <w:sz w:val="15"/>
              </w:rPr>
              <w:t>Reporter, target, severity, assigned staff, outcome</w:t>
            </w:r>
          </w:p>
        </w:tc>
        <w:tc>
          <w:tcPr>
            <w:tcW w:type="dxa" w:w="3408"/>
            <w:vAlign w:val="center"/>
          </w:tcPr>
          <w:p>
            <w:pPr>
              <w:spacing w:after="0"/>
            </w:pPr>
            <w:r/>
            <w:r>
              <w:rPr>
                <w:rFonts w:ascii="Aptos" w:hAnsi="Aptos"/>
                <w:b w:val="0"/>
                <w:sz w:val="15"/>
              </w:rPr>
              <w:t>Case-based access, evidence retention and audit.</w:t>
            </w:r>
          </w:p>
        </w:tc>
      </w:tr>
      <w:tr>
        <w:tc>
          <w:tcPr>
            <w:tcW w:type="dxa" w:w="3408"/>
            <w:vAlign w:val="center"/>
            <w:shd w:fill="F2F6F8"/>
          </w:tcPr>
          <w:p>
            <w:pPr>
              <w:spacing w:after="0"/>
            </w:pPr>
            <w:r/>
            <w:r>
              <w:rPr>
                <w:rFonts w:ascii="Aptos" w:hAnsi="Aptos"/>
                <w:b w:val="0"/>
                <w:sz w:val="15"/>
              </w:rPr>
              <w:t>Notification/DeliveryAttempt</w:t>
            </w:r>
          </w:p>
        </w:tc>
        <w:tc>
          <w:tcPr>
            <w:tcW w:type="dxa" w:w="3408"/>
            <w:vAlign w:val="center"/>
            <w:shd w:fill="F2F6F8"/>
          </w:tcPr>
          <w:p>
            <w:pPr>
              <w:spacing w:after="0"/>
            </w:pPr>
            <w:r/>
            <w:r>
              <w:rPr>
                <w:rFonts w:ascii="Aptos" w:hAnsi="Aptos"/>
                <w:b w:val="0"/>
                <w:sz w:val="15"/>
              </w:rPr>
              <w:t>Event, recipient, channel, idempotency key, status</w:t>
            </w:r>
          </w:p>
        </w:tc>
        <w:tc>
          <w:tcPr>
            <w:tcW w:type="dxa" w:w="3408"/>
            <w:vAlign w:val="center"/>
            <w:shd w:fill="F2F6F8"/>
          </w:tcPr>
          <w:p>
            <w:pPr>
              <w:spacing w:after="0"/>
            </w:pPr>
            <w:r/>
            <w:r>
              <w:rPr>
                <w:rFonts w:ascii="Aptos" w:hAnsi="Aptos"/>
                <w:b w:val="0"/>
                <w:sz w:val="15"/>
              </w:rPr>
              <w:t>Retry-safe; no duplicate logical delivery.</w:t>
            </w:r>
          </w:p>
        </w:tc>
      </w:tr>
      <w:tr>
        <w:tc>
          <w:tcPr>
            <w:tcW w:type="dxa" w:w="3408"/>
            <w:vAlign w:val="center"/>
          </w:tcPr>
          <w:p>
            <w:pPr>
              <w:spacing w:after="0"/>
            </w:pPr>
            <w:r/>
            <w:r>
              <w:rPr>
                <w:rFonts w:ascii="Aptos" w:hAnsi="Aptos"/>
                <w:b w:val="0"/>
                <w:sz w:val="15"/>
              </w:rPr>
              <w:t>AuditEvent</w:t>
            </w:r>
          </w:p>
        </w:tc>
        <w:tc>
          <w:tcPr>
            <w:tcW w:type="dxa" w:w="3408"/>
            <w:vAlign w:val="center"/>
          </w:tcPr>
          <w:p>
            <w:pPr>
              <w:spacing w:after="0"/>
            </w:pPr>
            <w:r/>
            <w:r>
              <w:rPr>
                <w:rFonts w:ascii="Aptos" w:hAnsi="Aptos"/>
                <w:b w:val="0"/>
                <w:sz w:val="15"/>
              </w:rPr>
              <w:t>Actor, role, action, target, timestamp, reason, correlation ID</w:t>
            </w:r>
          </w:p>
        </w:tc>
        <w:tc>
          <w:tcPr>
            <w:tcW w:type="dxa" w:w="3408"/>
            <w:vAlign w:val="center"/>
          </w:tcPr>
          <w:p>
            <w:pPr>
              <w:spacing w:after="0"/>
            </w:pPr>
            <w:r/>
            <w:r>
              <w:rPr>
                <w:rFonts w:ascii="Aptos" w:hAnsi="Aptos"/>
                <w:b w:val="0"/>
                <w:sz w:val="15"/>
              </w:rPr>
              <w:t>Restricted access; tamper-resistant storage.</w:t>
            </w:r>
          </w:p>
        </w:tc>
      </w:tr>
      <w:tr>
        <w:trPr>
          <w:cantSplit/>
        </w:trPr>
        <w:tc>
          <w:tcPr>
            <w:tcW w:type="dxa" w:w="3408"/>
            <w:vAlign w:val="center"/>
            <w:shd w:fill="F2F6F8"/>
          </w:tcPr>
          <w:p>
            <w:pPr>
              <w:spacing w:after="0"/>
            </w:pPr>
            <w:bookmarkStart w:id="9019" w:name="gm_c14_row"/>
            <w:r/>
            <w:r>
              <w:rPr>
                <w:rFonts w:ascii="Aptos" w:hAnsi="Aptos"/>
                <w:b w:val="0"/>
                <w:sz w:val="15"/>
              </w:rPr>
              <w:t xml:space="preserve">Country/Region/City/Locale</w:t>
            </w:r>
            <w:bookmarkEnd w:id="9019"/>
          </w:p>
        </w:tc>
        <w:tc>
          <w:tcPr>
            <w:tcW w:type="dxa" w:w="3408"/>
            <w:vAlign w:val="center"/>
            <w:shd w:fill="F2F6F8"/>
          </w:tcPr>
          <w:p>
            <w:pPr>
              <w:spacing w:after="0"/>
            </w:pPr>
            <w:r/>
            <w:r>
              <w:rPr>
                <w:rFonts w:ascii="Aptos" w:hAnsi="Aptos"/>
                <w:b w:val="0"/>
                <w:sz w:val="15"/>
              </w:rPr>
              <w:t xml:space="preserve">ISO country, administrative region, city, locality/postal, languages, currencies, time zone, activation status</w:t>
            </w:r>
          </w:p>
        </w:tc>
        <w:tc>
          <w:tcPr>
            <w:tcW w:type="dxa" w:w="3408"/>
            <w:vAlign w:val="center"/>
            <w:shd w:fill="F2F6F8"/>
          </w:tcPr>
          <w:p>
            <w:pPr>
              <w:spacing w:after="0"/>
            </w:pPr>
            <w:r/>
            <w:r>
              <w:rPr>
                <w:rFonts w:ascii="Aptos" w:hAnsi="Aptos"/>
                <w:b w:val="0"/>
                <w:sz w:val="15"/>
              </w:rPr>
              <w:t xml:space="preserve">Stable IDs; activation changes audited; markets that are not activated are never publicly searchable.</w:t>
            </w:r>
          </w:p>
        </w:tc>
      </w:tr>
      <w:tr>
        <w:trPr>
          <w:cantSplit/>
        </w:trPr>
        <w:tc>
          <w:tcPr>
            <w:tcW w:type="dxa" w:w="3408"/>
            <w:vAlign w:val="center"/>
          </w:tcPr>
          <w:p>
            <w:pPr>
              <w:spacing w:after="0"/>
            </w:pPr>
            <w:r/>
            <w:r>
              <w:rPr>
                <w:rFonts w:ascii="Aptos" w:hAnsi="Aptos"/>
                <w:b w:val="0"/>
                <w:sz w:val="15"/>
              </w:rPr>
              <w:t xml:space="preserve">MarketActivation</w:t>
            </w:r>
          </w:p>
        </w:tc>
        <w:tc>
          <w:tcPr>
            <w:tcW w:type="dxa" w:w="3408"/>
            <w:vAlign w:val="center"/>
          </w:tcPr>
          <w:p>
            <w:pPr>
              <w:spacing w:after="0"/>
            </w:pPr>
            <w:r/>
            <w:r>
              <w:rPr>
                <w:rFonts w:ascii="Aptos" w:hAnsi="Aptos"/>
                <w:b w:val="0"/>
                <w:sz w:val="15"/>
              </w:rPr>
              <w:t xml:space="preserve">Country/city, enabled categories, languages, currencies, tax settings, payment modes, verification matrix, legal document versions, status</w:t>
            </w:r>
          </w:p>
        </w:tc>
        <w:tc>
          <w:tcPr>
            <w:tcW w:type="dxa" w:w="3408"/>
            <w:vAlign w:val="center"/>
          </w:tcPr>
          <w:p>
            <w:pPr>
              <w:spacing w:after="0"/>
            </w:pPr>
            <w:r/>
            <w:r>
              <w:rPr>
                <w:rFonts w:ascii="Aptos" w:hAnsi="Aptos"/>
                <w:b w:val="0"/>
                <w:sz w:val="15"/>
              </w:rPr>
              <w:t xml:space="preserve">Dual approval; versioned; feature flags enforced server-side.</w:t>
            </w:r>
          </w:p>
        </w:tc>
      </w:tr>
      <w:tr>
        <w:trPr>
          <w:cantSplit/>
        </w:trPr>
        <w:tc>
          <w:tcPr>
            <w:tcW w:type="dxa" w:w="3408"/>
            <w:vAlign w:val="center"/>
            <w:shd w:fill="F2F6F8"/>
          </w:tcPr>
          <w:p>
            <w:pPr>
              <w:spacing w:after="0"/>
            </w:pPr>
            <w:r/>
            <w:r>
              <w:rPr>
                <w:rFonts w:ascii="Aptos" w:hAnsi="Aptos"/>
                <w:b w:val="0"/>
                <w:sz w:val="15"/>
              </w:rPr>
              <w:t xml:space="preserve">SupplierProfile/CatalogItem</w:t>
            </w:r>
          </w:p>
        </w:tc>
        <w:tc>
          <w:tcPr>
            <w:tcW w:type="dxa" w:w="3408"/>
            <w:vAlign w:val="center"/>
            <w:shd w:fill="F2F6F8"/>
          </w:tcPr>
          <w:p>
            <w:pPr>
              <w:spacing w:after="0"/>
            </w:pPr>
            <w:r/>
            <w:r>
              <w:rPr>
                <w:rFonts w:ascii="Aptos" w:hAnsi="Aptos"/>
                <w:b w:val="0"/>
                <w:sz w:val="15"/>
              </w:rPr>
              <w:t xml:space="preserve">Vendor type, products, minimum order, price tiers, lead time, trade terms, certifications, ships-to countries</w:t>
            </w:r>
          </w:p>
        </w:tc>
        <w:tc>
          <w:tcPr>
            <w:tcW w:type="dxa" w:w="3408"/>
            <w:vAlign w:val="center"/>
            <w:shd w:fill="F2F6F8"/>
          </w:tcPr>
          <w:p>
            <w:pPr>
              <w:spacing w:after="0"/>
            </w:pPr>
            <w:r/>
            <w:r>
              <w:rPr>
                <w:rFonts w:ascii="Aptos" w:hAnsi="Aptos"/>
                <w:b w:val="0"/>
                <w:sz w:val="15"/>
              </w:rPr>
              <w:t xml:space="preserve">Self-declared versus verified flags; restricted-content checks; owner-only edits.</w:t>
            </w:r>
          </w:p>
        </w:tc>
      </w:tr>
      <w:tr>
        <w:trPr>
          <w:cantSplit/>
        </w:trPr>
        <w:tc>
          <w:tcPr>
            <w:tcW w:type="dxa" w:w="3408"/>
            <w:vAlign w:val="center"/>
          </w:tcPr>
          <w:p>
            <w:pPr>
              <w:spacing w:after="0"/>
            </w:pPr>
            <w:r/>
            <w:r>
              <w:rPr>
                <w:rFonts w:ascii="Aptos" w:hAnsi="Aptos"/>
                <w:b w:val="0"/>
                <w:sz w:val="15"/>
              </w:rPr>
              <w:t xml:space="preserve">Contract/ContractVersion/Milestone</w:t>
            </w:r>
          </w:p>
        </w:tc>
        <w:tc>
          <w:tcPr>
            <w:tcW w:type="dxa" w:w="3408"/>
            <w:vAlign w:val="center"/>
          </w:tcPr>
          <w:p>
            <w:pPr>
              <w:spacing w:after="0"/>
            </w:pPr>
            <w:r/>
            <w:r>
              <w:rPr>
                <w:rFonts w:ascii="Aptos" w:hAnsi="Aptos"/>
                <w:b w:val="0"/>
                <w:sz w:val="15"/>
              </w:rPr>
              <w:t xml:space="preserve">Parties, source quotation, scope, schedule, price schedule, term, renewal, termination, versions, acceptances</w:t>
            </w:r>
          </w:p>
        </w:tc>
        <w:tc>
          <w:tcPr>
            <w:tcW w:type="dxa" w:w="3408"/>
            <w:vAlign w:val="center"/>
          </w:tcPr>
          <w:p>
            <w:pPr>
              <w:spacing w:after="0"/>
            </w:pPr>
            <w:r/>
            <w:r>
              <w:rPr>
                <w:rFonts w:ascii="Aptos" w:hAnsi="Aptos"/>
                <w:b w:val="0"/>
                <w:sz w:val="15"/>
              </w:rPr>
              <w:t xml:space="preserve">Accepted version immutable; amendments create versions; both-party acceptance recorded with timestamp and version reference.</w:t>
            </w:r>
          </w:p>
        </w:tc>
      </w:tr>
      <w:tr>
        <w:trPr>
          <w:cantSplit/>
        </w:trPr>
        <w:tc>
          <w:tcPr>
            <w:tcW w:type="dxa" w:w="3408"/>
            <w:vAlign w:val="center"/>
            <w:shd w:fill="F2F6F8"/>
          </w:tcPr>
          <w:p>
            <w:pPr>
              <w:spacing w:after="0"/>
            </w:pPr>
            <w:r/>
            <w:r>
              <w:rPr>
                <w:rFonts w:ascii="Aptos" w:hAnsi="Aptos"/>
                <w:b w:val="0"/>
                <w:sz w:val="15"/>
              </w:rPr>
              <w:t xml:space="preserve">CommissionRule/LedgerEntry</w:t>
            </w:r>
          </w:p>
        </w:tc>
        <w:tc>
          <w:tcPr>
            <w:tcW w:type="dxa" w:w="3408"/>
            <w:vAlign w:val="center"/>
            <w:shd w:fill="F2F6F8"/>
          </w:tcPr>
          <w:p>
            <w:pPr>
              <w:spacing w:after="0"/>
            </w:pPr>
            <w:r/>
            <w:r>
              <w:rPr>
                <w:rFonts w:ascii="Aptos" w:hAnsi="Aptos"/>
                <w:b w:val="0"/>
                <w:sz w:val="15"/>
              </w:rPr>
              <w:t xml:space="preserve">Scope (country, category, mode, plan), model, rate, effective dates; ledger entries with minor-unit amounts and currency</w:t>
            </w:r>
          </w:p>
        </w:tc>
        <w:tc>
          <w:tcPr>
            <w:tcW w:type="dxa" w:w="3408"/>
            <w:vAlign w:val="center"/>
            <w:shd w:fill="F2F6F8"/>
          </w:tcPr>
          <w:p>
            <w:pPr>
              <w:spacing w:after="0"/>
            </w:pPr>
            <w:r/>
            <w:r>
              <w:rPr>
                <w:rFonts w:ascii="Aptos" w:hAnsi="Aptos"/>
                <w:b w:val="0"/>
                <w:sz w:val="15"/>
              </w:rPr>
              <w:t xml:space="preserve">Versioned; dual approval; append-only ledger; provider reconciliation; snapshot on each transaction.</w:t>
            </w:r>
          </w:p>
        </w:tc>
      </w:tr>
      <w:tr>
        <w:trPr>
          <w:cantSplit/>
        </w:trPr>
        <w:tc>
          <w:tcPr>
            <w:tcW w:type="dxa" w:w="3408"/>
            <w:vAlign w:val="center"/>
          </w:tcPr>
          <w:p>
            <w:pPr>
              <w:spacing w:after="0"/>
            </w:pPr>
            <w:r/>
            <w:r>
              <w:rPr>
                <w:rFonts w:ascii="Aptos" w:hAnsi="Aptos"/>
                <w:b w:val="0"/>
                <w:sz w:val="15"/>
              </w:rPr>
              <w:t xml:space="preserve">CategorySuggestion</w:t>
            </w:r>
          </w:p>
        </w:tc>
        <w:tc>
          <w:tcPr>
            <w:tcW w:type="dxa" w:w="3408"/>
            <w:vAlign w:val="center"/>
          </w:tcPr>
          <w:p>
            <w:pPr>
              <w:spacing w:after="0"/>
            </w:pPr>
            <w:r/>
            <w:r>
              <w:rPr>
                <w:rFonts w:ascii="Aptos" w:hAnsi="Aptos"/>
                <w:b w:val="0"/>
                <w:sz w:val="15"/>
              </w:rPr>
              <w:t xml:space="preserve">Vendor, proposed path, justification, status, reviewer</w:t>
            </w:r>
          </w:p>
        </w:tc>
        <w:tc>
          <w:tcPr>
            <w:tcW w:type="dxa" w:w="3408"/>
            <w:vAlign w:val="center"/>
          </w:tcPr>
          <w:p>
            <w:pPr>
              <w:spacing w:after="0"/>
            </w:pPr>
            <w:r/>
            <w:r>
              <w:rPr>
                <w:rFonts w:ascii="Aptos" w:hAnsi="Aptos"/>
                <w:b w:val="0"/>
                <w:sz w:val="15"/>
              </w:rPr>
              <w:t xml:space="preserve">No auto-publication; duplicate detection; audit.</w:t>
            </w:r>
          </w:p>
        </w:tc>
      </w:tr>
    </w:tbl>
    <w:p>
      <w:pPr>
        <w:spacing w:after="0"/>
      </w:pPr>
    </w:p>
    <w:p>
      <w:pPr>
        <w:pStyle w:val="Heading2"/>
      </w:pPr>
      <w:r>
        <w:t>14.1 Data consistency rules</w:t>
      </w:r>
    </w:p>
    <w:p>
      <w:pPr>
        <w:pStyle w:val="ListBullet"/>
      </w:pPr>
      <w:r>
        <w:t>Store instants in UTC and keep an explicit timezone for local schedules/deadlines.</w:t>
      </w:r>
    </w:p>
    <w:p>
      <w:pPr>
        <w:pStyle w:val="ListBullet"/>
      </w:pPr>
      <w:r>
        <w:t>Use immutable snapshots for booking policy and accepted quotation terms.</w:t>
      </w:r>
    </w:p>
    <w:p>
      <w:pPr>
        <w:pStyle w:val="ListBullet"/>
      </w:pPr>
      <w:r>
        <w:t>Use stable identifiers and consistent error formats.</w:t>
      </w:r>
    </w:p>
    <w:p>
      <w:pPr>
        <w:pStyle w:val="ListBullet"/>
      </w:pPr>
      <w:r>
        <w:t>Do not store payment card credentials or secrets in application tables/logs.</w:t>
      </w:r>
    </w:p>
    <w:p>
      <w:pPr>
        <w:pStyle w:val="ListBullet"/>
      </w:pPr>
      <w:r>
        <w:t>Keep document storage private by default and serve only via authorized, short-lived access mechanisms.</w:t>
      </w:r>
    </w:p>
    <w:p>
      <w:pPr>
        <w:pStyle w:val="ListBullet"/>
      </w:pPr>
      <w:r>
        <w:t>Define data retention and deletion behavior with legal review; retain necessary audit/support evidence only as permitted.</w:t>
      </w:r>
    </w:p>
    <w:p>
      <w:pPr>
        <w:pStyle w:val="ListBullet"/>
      </w:pPr>
      <w:r>
        <w:t>Use database constraints and transactional state changes to reinforce critical invariants.</w:t>
      </w:r>
    </w:p>
    <w:p>
      <w:pPr>
        <w:pStyle w:val="Heading1"/>
      </w:pPr>
      <w:r>
        <w:t>15. API and integration requirements</w:t>
      </w:r>
    </w:p>
    <w:p>
      <w:pPr>
        <w:pStyle w:val="ListBullet"/>
      </w:pPr>
      <w:r>
        <w:t>Publish an OpenAPI 3.x contract before implementation, including authentication, permission requirements, request/response schemas, pagination, standard errors, idempotency and versioning.</w:t>
      </w:r>
    </w:p>
    <w:p>
      <w:pPr>
        <w:pStyle w:val="ListBullet"/>
      </w:pPr>
      <w:bookmarkStart w:id="9020" w:name="gm_c15"/>
      <w:r>
        <w:t>Logical resource groups: auth/session; users; organizations; categories; listings; search; availability; favorites/comparison; bookings; RFQs; quotations; conversations/messages; subscriptions; verification; reviews; reports/support; notifications; admin queues; audit; and, added in v3.0, geography/markets; contracts; supplier catalogue; and commission/payments (feature-flagged).</w:t>
      </w:r>
      <w:bookmarkEnd w:id="9020"/>
    </w:p>
    <w:p>
      <w:pPr>
        <w:pStyle w:val="ListBullet"/>
      </w:pPr>
      <w:r>
        <w:t>Every mutation validates actor, role, ownership/scope, current object state, required fields, policy and idempotency key where applicable.</w:t>
      </w:r>
    </w:p>
    <w:p>
      <w:pPr>
        <w:pStyle w:val="ListBullet"/>
      </w:pPr>
      <w:r>
        <w:t>Quote acceptance and booking capacity reservations require concurrency-safe transactions or equivalent atomic primitives.</w:t>
      </w:r>
    </w:p>
    <w:p>
      <w:pPr>
        <w:pStyle w:val="ListBullet"/>
      </w:pPr>
      <w:r>
        <w:t>Webhook handlers authenticate provider signatures, deduplicate event IDs, validate expected transitions and reconcile state after failures.</w:t>
      </w:r>
    </w:p>
    <w:p>
      <w:pPr>
        <w:pStyle w:val="ListBullet"/>
      </w:pPr>
      <w:r>
        <w:t>Third-party providers for OTP/SMS, email/push, maps/geocoding, subscription billing, file storage and malware scanning must be selected during technical discovery.</w:t>
      </w:r>
    </w:p>
    <w:p>
      <w:pPr>
        <w:pStyle w:val="ListBullet"/>
      </w:pPr>
      <w:r>
        <w:t>Do not implement platform service-payment intents, escrow, vendor settlements or transaction refunds for Release 1. Payment Mode C and commission APIs (§26.9) may be specified in the OpenAPI contract and data model but must stay disabled until CFG-15 and CFG-16 are approved.</w:t>
      </w:r>
    </w:p>
    <w:p>
      <w:pPr>
        <w:pStyle w:val="Heading2"/>
      </w:pPr>
      <w:r>
        <w:t>15.1 Representative API behavior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Operation</w:t>
            </w:r>
          </w:p>
        </w:tc>
        <w:tc>
          <w:tcPr>
            <w:tcW w:type="dxa" w:w="5112"/>
            <w:vAlign w:val="center"/>
            <w:shd w:fill="10253F"/>
          </w:tcPr>
          <w:p>
            <w:pPr>
              <w:spacing w:after="0"/>
            </w:pPr>
            <w:r/>
            <w:r>
              <w:rPr>
                <w:rFonts w:ascii="Aptos" w:hAnsi="Aptos"/>
                <w:b/>
                <w:color w:val="FFFFFF"/>
                <w:sz w:val="16"/>
              </w:rPr>
              <w:t>Validation / failure cases</w:t>
            </w:r>
          </w:p>
        </w:tc>
      </w:tr>
      <w:tr>
        <w:tc>
          <w:tcPr>
            <w:tcW w:type="dxa" w:w="5112"/>
            <w:vAlign w:val="center"/>
          </w:tcPr>
          <w:p>
            <w:pPr>
              <w:spacing w:after="0"/>
            </w:pPr>
            <w:r/>
            <w:r>
              <w:rPr>
                <w:rFonts w:ascii="Aptos" w:hAnsi="Aptos"/>
                <w:b w:val="0"/>
                <w:sz w:val="15"/>
              </w:rPr>
              <w:t>POST booking request</w:t>
            </w:r>
          </w:p>
        </w:tc>
        <w:tc>
          <w:tcPr>
            <w:tcW w:type="dxa" w:w="5112"/>
            <w:vAlign w:val="center"/>
          </w:tcPr>
          <w:p>
            <w:pPr>
              <w:spacing w:after="0"/>
            </w:pPr>
            <w:r/>
            <w:r>
              <w:rPr>
                <w:rFonts w:ascii="Aptos" w:hAnsi="Aptos"/>
                <w:b w:val="0"/>
                <w:sz w:val="15"/>
              </w:rPr>
              <w:t>Reject unpublished listing, missing fields, unsupported category mode, unauthorized customer or invalid location; idempotent retry.</w:t>
            </w:r>
          </w:p>
        </w:tc>
      </w:tr>
      <w:tr>
        <w:tc>
          <w:tcPr>
            <w:tcW w:type="dxa" w:w="5112"/>
            <w:vAlign w:val="center"/>
            <w:shd w:fill="F2F6F8"/>
          </w:tcPr>
          <w:p>
            <w:pPr>
              <w:spacing w:after="0"/>
            </w:pPr>
            <w:r/>
            <w:r>
              <w:rPr>
                <w:rFonts w:ascii="Aptos" w:hAnsi="Aptos"/>
                <w:b w:val="0"/>
                <w:sz w:val="15"/>
              </w:rPr>
              <w:t>POST booking accept</w:t>
            </w:r>
          </w:p>
        </w:tc>
        <w:tc>
          <w:tcPr>
            <w:tcW w:type="dxa" w:w="5112"/>
            <w:vAlign w:val="center"/>
            <w:shd w:fill="F2F6F8"/>
          </w:tcPr>
          <w:p>
            <w:pPr>
              <w:spacing w:after="0"/>
            </w:pPr>
            <w:r/>
            <w:r>
              <w:rPr>
                <w:rFonts w:ascii="Aptos" w:hAnsi="Aptos"/>
                <w:b w:val="0"/>
                <w:sz w:val="15"/>
              </w:rPr>
              <w:t>Only authorized vendor; only pending request; enforce deadline and capacity; no duplicate confirmation.</w:t>
            </w:r>
          </w:p>
        </w:tc>
      </w:tr>
      <w:tr>
        <w:tc>
          <w:tcPr>
            <w:tcW w:type="dxa" w:w="5112"/>
            <w:vAlign w:val="center"/>
          </w:tcPr>
          <w:p>
            <w:pPr>
              <w:spacing w:after="0"/>
            </w:pPr>
            <w:r/>
            <w:r>
              <w:rPr>
                <w:rFonts w:ascii="Aptos" w:hAnsi="Aptos"/>
                <w:b w:val="0"/>
                <w:sz w:val="15"/>
              </w:rPr>
              <w:t>POST booking modification</w:t>
            </w:r>
          </w:p>
        </w:tc>
        <w:tc>
          <w:tcPr>
            <w:tcW w:type="dxa" w:w="5112"/>
            <w:vAlign w:val="center"/>
          </w:tcPr>
          <w:p>
            <w:pPr>
              <w:spacing w:after="0"/>
            </w:pPr>
            <w:r/>
            <w:r>
              <w:rPr>
                <w:rFonts w:ascii="Aptos" w:hAnsi="Aptos"/>
                <w:b w:val="0"/>
                <w:sz w:val="15"/>
              </w:rPr>
              <w:t>Only customer/participant with permission; preserve original terms until vendor acceptance.</w:t>
            </w:r>
          </w:p>
        </w:tc>
      </w:tr>
      <w:tr>
        <w:tc>
          <w:tcPr>
            <w:tcW w:type="dxa" w:w="5112"/>
            <w:vAlign w:val="center"/>
            <w:shd w:fill="F2F6F8"/>
          </w:tcPr>
          <w:p>
            <w:pPr>
              <w:spacing w:after="0"/>
            </w:pPr>
            <w:r/>
            <w:r>
              <w:rPr>
                <w:rFonts w:ascii="Aptos" w:hAnsi="Aptos"/>
                <w:b w:val="0"/>
                <w:sz w:val="15"/>
              </w:rPr>
              <w:t>POST RFQ revision</w:t>
            </w:r>
          </w:p>
        </w:tc>
        <w:tc>
          <w:tcPr>
            <w:tcW w:type="dxa" w:w="5112"/>
            <w:vAlign w:val="center"/>
            <w:shd w:fill="F2F6F8"/>
          </w:tcPr>
          <w:p>
            <w:pPr>
              <w:spacing w:after="0"/>
            </w:pPr>
            <w:r/>
            <w:r>
              <w:rPr>
                <w:rFonts w:ascii="Aptos" w:hAnsi="Aptos"/>
                <w:b w:val="0"/>
                <w:sz w:val="15"/>
              </w:rPr>
              <w:t>Only RFQ owner while open and before quote acceptance; preserve revision history.</w:t>
            </w:r>
          </w:p>
        </w:tc>
      </w:tr>
      <w:tr>
        <w:tc>
          <w:tcPr>
            <w:tcW w:type="dxa" w:w="5112"/>
            <w:vAlign w:val="center"/>
          </w:tcPr>
          <w:p>
            <w:pPr>
              <w:spacing w:after="0"/>
            </w:pPr>
            <w:r/>
            <w:r>
              <w:rPr>
                <w:rFonts w:ascii="Aptos" w:hAnsi="Aptos"/>
                <w:b w:val="0"/>
                <w:sz w:val="15"/>
              </w:rPr>
              <w:t>POST quote acceptance</w:t>
            </w:r>
          </w:p>
        </w:tc>
        <w:tc>
          <w:tcPr>
            <w:tcW w:type="dxa" w:w="5112"/>
            <w:vAlign w:val="center"/>
          </w:tcPr>
          <w:p>
            <w:pPr>
              <w:spacing w:after="0"/>
            </w:pPr>
            <w:r/>
            <w:r>
              <w:rPr>
                <w:rFonts w:ascii="Aptos" w:hAnsi="Aptos"/>
                <w:b w:val="0"/>
                <w:sz w:val="15"/>
              </w:rPr>
              <w:t>Only RFQ owner; quote non-expired; RFQ open; atomic one-winner rule; record exact terms.</w:t>
            </w:r>
          </w:p>
        </w:tc>
      </w:tr>
      <w:tr>
        <w:tc>
          <w:tcPr>
            <w:tcW w:type="dxa" w:w="5112"/>
            <w:vAlign w:val="center"/>
            <w:shd w:fill="F2F6F8"/>
          </w:tcPr>
          <w:p>
            <w:pPr>
              <w:spacing w:after="0"/>
            </w:pPr>
            <w:r/>
            <w:r>
              <w:rPr>
                <w:rFonts w:ascii="Aptos" w:hAnsi="Aptos"/>
                <w:b w:val="0"/>
                <w:sz w:val="15"/>
              </w:rPr>
              <w:t>POST listing publish</w:t>
            </w:r>
          </w:p>
        </w:tc>
        <w:tc>
          <w:tcPr>
            <w:tcW w:type="dxa" w:w="5112"/>
            <w:vAlign w:val="center"/>
            <w:shd w:fill="F2F6F8"/>
          </w:tcPr>
          <w:p>
            <w:pPr>
              <w:spacing w:after="0"/>
            </w:pPr>
            <w:r/>
            <w:r>
              <w:rPr>
                <w:rFonts w:ascii="Aptos" w:hAnsi="Aptos"/>
                <w:b w:val="0"/>
                <w:sz w:val="15"/>
              </w:rPr>
              <w:t>Re-evaluate all account/subscription/content/verification gates server-side.</w:t>
            </w:r>
          </w:p>
        </w:tc>
      </w:tr>
      <w:tr>
        <w:tc>
          <w:tcPr>
            <w:tcW w:type="dxa" w:w="5112"/>
            <w:vAlign w:val="center"/>
          </w:tcPr>
          <w:p>
            <w:pPr>
              <w:spacing w:after="0"/>
            </w:pPr>
            <w:r/>
            <w:r>
              <w:rPr>
                <w:rFonts w:ascii="Aptos" w:hAnsi="Aptos"/>
                <w:b w:val="0"/>
                <w:sz w:val="15"/>
              </w:rPr>
              <w:t>POST review</w:t>
            </w:r>
          </w:p>
        </w:tc>
        <w:tc>
          <w:tcPr>
            <w:tcW w:type="dxa" w:w="5112"/>
            <w:vAlign w:val="center"/>
          </w:tcPr>
          <w:p>
            <w:pPr>
              <w:spacing w:after="0"/>
            </w:pPr>
            <w:r/>
            <w:r>
              <w:rPr>
                <w:rFonts w:ascii="Aptos" w:hAnsi="Aptos"/>
                <w:b w:val="0"/>
                <w:sz w:val="15"/>
              </w:rPr>
              <w:t>Verify eligible booking/accepted quote relationship and review policy.</w:t>
            </w:r>
          </w:p>
        </w:tc>
      </w:tr>
      <w:tr>
        <w:tc>
          <w:tcPr>
            <w:tcW w:type="dxa" w:w="5112"/>
            <w:vAlign w:val="center"/>
            <w:shd w:fill="F2F6F8"/>
          </w:tcPr>
          <w:p>
            <w:pPr>
              <w:spacing w:after="0"/>
            </w:pPr>
            <w:r/>
            <w:r>
              <w:rPr>
                <w:rFonts w:ascii="Aptos" w:hAnsi="Aptos"/>
                <w:b w:val="0"/>
                <w:sz w:val="15"/>
              </w:rPr>
              <w:t>POST report</w:t>
            </w:r>
          </w:p>
        </w:tc>
        <w:tc>
          <w:tcPr>
            <w:tcW w:type="dxa" w:w="5112"/>
            <w:vAlign w:val="center"/>
            <w:shd w:fill="F2F6F8"/>
          </w:tcPr>
          <w:p>
            <w:pPr>
              <w:spacing w:after="0"/>
            </w:pPr>
            <w:r/>
            <w:r>
              <w:rPr>
                <w:rFonts w:ascii="Aptos" w:hAnsi="Aptos"/>
                <w:b w:val="0"/>
                <w:sz w:val="15"/>
              </w:rPr>
              <w:t>Validate target and reporter access; sanitize/scan attachments; create traceable case.</w:t>
            </w:r>
          </w:p>
        </w:tc>
      </w:tr>
      <w:tr>
        <w:tc>
          <w:tcPr>
            <w:tcW w:type="dxa" w:w="5112"/>
            <w:vAlign w:val="center"/>
          </w:tcPr>
          <w:p>
            <w:pPr>
              <w:spacing w:after="0"/>
            </w:pPr>
            <w:r/>
            <w:r>
              <w:rPr>
                <w:rFonts w:ascii="Aptos" w:hAnsi="Aptos"/>
                <w:b w:val="0"/>
                <w:sz w:val="15"/>
              </w:rPr>
              <w:t>Admin approve verification</w:t>
            </w:r>
          </w:p>
        </w:tc>
        <w:tc>
          <w:tcPr>
            <w:tcW w:type="dxa" w:w="5112"/>
            <w:vAlign w:val="center"/>
          </w:tcPr>
          <w:p>
            <w:pPr>
              <w:spacing w:after="0"/>
            </w:pPr>
            <w:r/>
            <w:r>
              <w:rPr>
                <w:rFonts w:ascii="Aptos" w:hAnsi="Aptos"/>
                <w:b w:val="0"/>
                <w:sz w:val="15"/>
              </w:rPr>
              <w:t>Require reviewer permission, scope, evidence state, reason and audit; prohibit self-approval.</w:t>
            </w:r>
          </w:p>
        </w:tc>
      </w:tr>
    </w:tbl>
    <w:p>
      <w:pPr>
        <w:spacing w:after="0"/>
      </w:pPr>
    </w:p>
    <w:p>
      <w:pPr>
        <w:pStyle w:val="Heading1"/>
      </w:pPr>
      <w:r>
        <w:t>16. Security, privacy and abuse prevention</w:t>
      </w:r>
    </w:p>
    <w:p>
      <w:pPr>
        <w:pStyle w:val="ListBullet"/>
      </w:pPr>
      <w:r>
        <w:t>Use secure authentication/session controls, short-lived access tokens where applicable, refresh/session rotation, revocation and protection against brute force/credential stuffing.</w:t>
      </w:r>
    </w:p>
    <w:p>
      <w:pPr>
        <w:pStyle w:val="ListBullet"/>
      </w:pPr>
      <w:r>
        <w:t>Rate-limit OTP, login, search, message, report and other abuse-prone endpoints.</w:t>
      </w:r>
    </w:p>
    <w:p>
      <w:pPr>
        <w:pStyle w:val="ListBullet"/>
      </w:pPr>
      <w:r>
        <w:t>Use least-privilege secrets management, encryption in transit/at rest and dependency/security scanning.</w:t>
      </w:r>
    </w:p>
    <w:p>
      <w:pPr>
        <w:pStyle w:val="ListBullet"/>
      </w:pPr>
      <w:r>
        <w:t>Validate and sanitize all inputs; encode output; protect against injection, XSS, CSRF where relevant, SSRF, insecure file upload and broken access control.</w:t>
      </w:r>
    </w:p>
    <w:p>
      <w:pPr>
        <w:pStyle w:val="ListBullet"/>
      </w:pPr>
      <w:r>
        <w:t>Scan uploads for malware and prevent public access to private evidence files.</w:t>
      </w:r>
    </w:p>
    <w:p>
      <w:pPr>
        <w:pStyle w:val="ListBullet"/>
      </w:pPr>
      <w:r>
        <w:t>Use explicit consent and purpose limitation for personal data; minimize exposure of phone/email.</w:t>
      </w:r>
    </w:p>
    <w:p>
      <w:pPr>
        <w:pStyle w:val="ListBullet"/>
      </w:pPr>
      <w:r>
        <w:t>Restrict sensitive admin access; audit reads as well as writes for high-risk records.</w:t>
      </w:r>
    </w:p>
    <w:p>
      <w:pPr>
        <w:pStyle w:val="ListBullet"/>
      </w:pPr>
      <w:r>
        <w:t>Protect search and public APIs against scraping, enumeration and abusive traffic while preserving legitimate discovery.</w:t>
      </w:r>
    </w:p>
    <w:p>
      <w:pPr>
        <w:pStyle w:val="ListBullet"/>
      </w:pPr>
      <w:r>
        <w:t>Define incident response, account recovery, breach escalation and backup restore procedures before launch.</w:t>
      </w:r>
    </w:p>
    <w:p>
      <w:pPr>
        <w:pStyle w:val="ListBullet"/>
      </w:pPr>
      <w:r>
        <w:t>Review applicable Indian privacy, consumer protection, advertising, taxation, category licensing and subscription rules with qualified counsel.</w:t>
      </w:r>
    </w:p>
    <w:p>
      <w:pPr>
        <w:pStyle w:val="Heading1"/>
      </w:pPr>
      <w:r>
        <w:t>17.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Quality area</w:t>
            </w:r>
          </w:p>
        </w:tc>
        <w:tc>
          <w:tcPr>
            <w:tcW w:type="dxa" w:w="5112"/>
            <w:vAlign w:val="center"/>
            <w:shd w:fill="10253F"/>
          </w:tcPr>
          <w:p>
            <w:pPr>
              <w:spacing w:after="0"/>
            </w:pPr>
            <w:r/>
            <w:r>
              <w:rPr>
                <w:rFonts w:ascii="Aptos" w:hAnsi="Aptos"/>
                <w:b/>
                <w:color w:val="FFFFFF"/>
                <w:sz w:val="16"/>
              </w:rPr>
              <w:t>Requirement / verification</w:t>
            </w:r>
          </w:p>
        </w:tc>
      </w:tr>
      <w:tr>
        <w:tc>
          <w:tcPr>
            <w:tcW w:type="dxa" w:w="5112"/>
            <w:vAlign w:val="center"/>
          </w:tcPr>
          <w:p>
            <w:pPr>
              <w:spacing w:after="0"/>
            </w:pPr>
            <w:r/>
            <w:r>
              <w:rPr>
                <w:rFonts w:ascii="Aptos" w:hAnsi="Aptos"/>
                <w:b w:val="0"/>
                <w:sz w:val="15"/>
              </w:rPr>
              <w:t>Performance</w:t>
            </w:r>
          </w:p>
        </w:tc>
        <w:tc>
          <w:tcPr>
            <w:tcW w:type="dxa" w:w="5112"/>
            <w:vAlign w:val="center"/>
          </w:tcPr>
          <w:p>
            <w:pPr>
              <w:spacing w:after="0"/>
            </w:pPr>
            <w:r/>
            <w:r>
              <w:rPr>
                <w:rFonts w:ascii="Aptos" w:hAnsi="Aptos"/>
                <w:b w:val="0"/>
                <w:sz w:val="15"/>
              </w:rPr>
              <w:t>Use initial benchmark targets from the source PRD as targets to validate: p95 search API under 800 ms and p95 core CRUD under 500 ms under an agreed load profile.</w:t>
            </w:r>
          </w:p>
        </w:tc>
      </w:tr>
      <w:tr>
        <w:tc>
          <w:tcPr>
            <w:tcW w:type="dxa" w:w="5112"/>
            <w:vAlign w:val="center"/>
            <w:shd w:fill="F2F6F8"/>
          </w:tcPr>
          <w:p>
            <w:pPr>
              <w:spacing w:after="0"/>
            </w:pPr>
            <w:r/>
            <w:r>
              <w:rPr>
                <w:rFonts w:ascii="Aptos" w:hAnsi="Aptos"/>
                <w:b w:val="0"/>
                <w:sz w:val="15"/>
              </w:rPr>
              <w:t>Availability</w:t>
            </w:r>
          </w:p>
        </w:tc>
        <w:tc>
          <w:tcPr>
            <w:tcW w:type="dxa" w:w="5112"/>
            <w:vAlign w:val="center"/>
            <w:shd w:fill="F2F6F8"/>
          </w:tcPr>
          <w:p>
            <w:pPr>
              <w:spacing w:after="0"/>
            </w:pPr>
            <w:r/>
            <w:r>
              <w:rPr>
                <w:rFonts w:ascii="Aptos" w:hAnsi="Aptos"/>
                <w:b w:val="0"/>
                <w:sz w:val="15"/>
              </w:rPr>
              <w:t>Initial planning target 99.5% monthly, subject to architecture, provider dependencies and operational readiness review.</w:t>
            </w:r>
          </w:p>
        </w:tc>
      </w:tr>
      <w:tr>
        <w:tc>
          <w:tcPr>
            <w:tcW w:type="dxa" w:w="5112"/>
            <w:vAlign w:val="center"/>
          </w:tcPr>
          <w:p>
            <w:pPr>
              <w:spacing w:after="0"/>
            </w:pPr>
            <w:r/>
            <w:r>
              <w:rPr>
                <w:rFonts w:ascii="Aptos" w:hAnsi="Aptos"/>
                <w:b w:val="0"/>
                <w:sz w:val="15"/>
              </w:rPr>
              <w:t>Scalability</w:t>
            </w:r>
          </w:p>
        </w:tc>
        <w:tc>
          <w:tcPr>
            <w:tcW w:type="dxa" w:w="5112"/>
            <w:vAlign w:val="center"/>
          </w:tcPr>
          <w:p>
            <w:pPr>
              <w:spacing w:after="0"/>
            </w:pPr>
            <w:r/>
            <w:r>
              <w:rPr>
                <w:rFonts w:ascii="Aptos" w:hAnsi="Aptos"/>
                <w:b w:val="0"/>
                <w:sz w:val="15"/>
              </w:rPr>
              <w:t>Index category/location/searchable attributes; paginate; use caching carefully; separate background processing from interactive requests where needed. Partition data and search by market so that new countries can be added without redesign (§26.11).</w:t>
            </w:r>
          </w:p>
        </w:tc>
      </w:tr>
      <w:tr>
        <w:tc>
          <w:tcPr>
            <w:tcW w:type="dxa" w:w="5112"/>
            <w:vAlign w:val="center"/>
            <w:shd w:fill="F2F6F8"/>
          </w:tcPr>
          <w:p>
            <w:pPr>
              <w:spacing w:after="0"/>
            </w:pPr>
            <w:r/>
            <w:r>
              <w:rPr>
                <w:rFonts w:ascii="Aptos" w:hAnsi="Aptos"/>
                <w:b w:val="0"/>
                <w:sz w:val="15"/>
              </w:rPr>
              <w:t>Reliability</w:t>
            </w:r>
          </w:p>
        </w:tc>
        <w:tc>
          <w:tcPr>
            <w:tcW w:type="dxa" w:w="5112"/>
            <w:vAlign w:val="center"/>
            <w:shd w:fill="F2F6F8"/>
          </w:tcPr>
          <w:p>
            <w:pPr>
              <w:spacing w:after="0"/>
            </w:pPr>
            <w:r/>
            <w:r>
              <w:rPr>
                <w:rFonts w:ascii="Aptos" w:hAnsi="Aptos"/>
                <w:b w:val="0"/>
                <w:sz w:val="15"/>
              </w:rPr>
              <w:t>Idempotent critical mutations, transactional invariants, safe retries, reconciliation and dead-letter handling for asynchronous work.</w:t>
            </w:r>
          </w:p>
        </w:tc>
      </w:tr>
      <w:tr>
        <w:tc>
          <w:tcPr>
            <w:tcW w:type="dxa" w:w="5112"/>
            <w:vAlign w:val="center"/>
          </w:tcPr>
          <w:p>
            <w:pPr>
              <w:spacing w:after="0"/>
            </w:pPr>
            <w:r/>
            <w:r>
              <w:rPr>
                <w:rFonts w:ascii="Aptos" w:hAnsi="Aptos"/>
                <w:b w:val="0"/>
                <w:sz w:val="15"/>
              </w:rPr>
              <w:t>Security</w:t>
            </w:r>
          </w:p>
        </w:tc>
        <w:tc>
          <w:tcPr>
            <w:tcW w:type="dxa" w:w="5112"/>
            <w:vAlign w:val="center"/>
          </w:tcPr>
          <w:p>
            <w:pPr>
              <w:spacing w:after="0"/>
            </w:pPr>
            <w:r/>
            <w:r>
              <w:rPr>
                <w:rFonts w:ascii="Aptos" w:hAnsi="Aptos"/>
                <w:b w:val="0"/>
                <w:sz w:val="15"/>
              </w:rPr>
              <w:t>No unresolved critical/high security findings at launch without explicit documented risk acceptance; RBAC/tenant isolation tests mandatory.</w:t>
            </w:r>
          </w:p>
        </w:tc>
      </w:tr>
      <w:tr>
        <w:tc>
          <w:tcPr>
            <w:tcW w:type="dxa" w:w="5112"/>
            <w:vAlign w:val="center"/>
            <w:shd w:fill="F2F6F8"/>
          </w:tcPr>
          <w:p>
            <w:pPr>
              <w:spacing w:after="0"/>
            </w:pPr>
            <w:r/>
            <w:r>
              <w:rPr>
                <w:rFonts w:ascii="Aptos" w:hAnsi="Aptos"/>
                <w:b w:val="0"/>
                <w:sz w:val="15"/>
              </w:rPr>
              <w:t>Privacy</w:t>
            </w:r>
          </w:p>
        </w:tc>
        <w:tc>
          <w:tcPr>
            <w:tcW w:type="dxa" w:w="5112"/>
            <w:vAlign w:val="center"/>
            <w:shd w:fill="F2F6F8"/>
          </w:tcPr>
          <w:p>
            <w:pPr>
              <w:spacing w:after="0"/>
            </w:pPr>
            <w:r/>
            <w:r>
              <w:rPr>
                <w:rFonts w:ascii="Aptos" w:hAnsi="Aptos"/>
                <w:b w:val="0"/>
                <w:sz w:val="15"/>
              </w:rPr>
              <w:t>Data minimization, controlled disclosure, retention/deletion workflow and audit access controls.</w:t>
            </w:r>
          </w:p>
        </w:tc>
      </w:tr>
      <w:tr>
        <w:tc>
          <w:tcPr>
            <w:tcW w:type="dxa" w:w="5112"/>
            <w:vAlign w:val="center"/>
          </w:tcPr>
          <w:p>
            <w:pPr>
              <w:spacing w:after="0"/>
            </w:pPr>
            <w:r/>
            <w:r>
              <w:rPr>
                <w:rFonts w:ascii="Aptos" w:hAnsi="Aptos"/>
                <w:b w:val="0"/>
                <w:sz w:val="15"/>
              </w:rPr>
              <w:t>Accessibility</w:t>
            </w:r>
          </w:p>
        </w:tc>
        <w:tc>
          <w:tcPr>
            <w:tcW w:type="dxa" w:w="5112"/>
            <w:vAlign w:val="center"/>
          </w:tcPr>
          <w:p>
            <w:pPr>
              <w:spacing w:after="0"/>
            </w:pPr>
            <w:r/>
            <w:r>
              <w:rPr>
                <w:rFonts w:ascii="Aptos" w:hAnsi="Aptos"/>
                <w:b w:val="0"/>
                <w:sz w:val="15"/>
              </w:rPr>
              <w:t>Target WCAG 2.2 AA, subject to test scope: keyboard, screen reader, focus, contrast, touch targets and meaningful errors.</w:t>
            </w:r>
          </w:p>
        </w:tc>
      </w:tr>
      <w:tr>
        <w:tc>
          <w:tcPr>
            <w:tcW w:type="dxa" w:w="5112"/>
            <w:vAlign w:val="center"/>
            <w:shd w:fill="F2F6F8"/>
          </w:tcPr>
          <w:p>
            <w:pPr>
              <w:spacing w:after="0"/>
            </w:pPr>
            <w:r/>
            <w:r>
              <w:rPr>
                <w:rFonts w:ascii="Aptos" w:hAnsi="Aptos"/>
                <w:b w:val="0"/>
                <w:sz w:val="15"/>
              </w:rPr>
              <w:t>Localization</w:t>
            </w:r>
          </w:p>
        </w:tc>
        <w:tc>
          <w:tcPr>
            <w:tcW w:type="dxa" w:w="5112"/>
            <w:vAlign w:val="center"/>
            <w:shd w:fill="F2F6F8"/>
          </w:tcPr>
          <w:p>
            <w:pPr>
              <w:spacing w:after="0"/>
            </w:pPr>
            <w:bookmarkStart w:id="9021" w:name="gm_c17"/>
            <w:r/>
            <w:r>
              <w:rPr>
                <w:rFonts w:ascii="Aptos" w:hAnsi="Aptos"/>
                <w:b w:val="0"/>
                <w:sz w:val="15"/>
              </w:rPr>
              <w:t>English/Hindi at launch; no hard-coded user-visible strings in business logic; preserve language-neutral state codes. Additional languages, right-to-left layouts, locale-aware formats, currencies and time zones are supported by configuration (§26.10, §26.11).</w:t>
            </w:r>
            <w:bookmarkEnd w:id="9021"/>
          </w:p>
        </w:tc>
      </w:tr>
      <w:tr>
        <w:tc>
          <w:tcPr>
            <w:tcW w:type="dxa" w:w="5112"/>
            <w:vAlign w:val="center"/>
          </w:tcPr>
          <w:p>
            <w:pPr>
              <w:spacing w:after="0"/>
            </w:pPr>
            <w:r/>
            <w:r>
              <w:rPr>
                <w:rFonts w:ascii="Aptos" w:hAnsi="Aptos"/>
                <w:b w:val="0"/>
                <w:sz w:val="15"/>
              </w:rPr>
              <w:t>Compatibility</w:t>
            </w:r>
          </w:p>
        </w:tc>
        <w:tc>
          <w:tcPr>
            <w:tcW w:type="dxa" w:w="5112"/>
            <w:vAlign w:val="center"/>
          </w:tcPr>
          <w:p>
            <w:pPr>
              <w:spacing w:after="0"/>
            </w:pPr>
            <w:r/>
            <w:r>
              <w:rPr>
                <w:rFonts w:ascii="Aptos" w:hAnsi="Aptos"/>
                <w:b w:val="0"/>
                <w:sz w:val="15"/>
              </w:rPr>
              <w:t>Web, Android and iOS parity for business states, permission enforcement and critical journeys.</w:t>
            </w:r>
          </w:p>
        </w:tc>
      </w:tr>
      <w:tr>
        <w:tc>
          <w:tcPr>
            <w:tcW w:type="dxa" w:w="5112"/>
            <w:vAlign w:val="center"/>
            <w:shd w:fill="F2F6F8"/>
          </w:tcPr>
          <w:p>
            <w:pPr>
              <w:spacing w:after="0"/>
            </w:pPr>
            <w:r/>
            <w:r>
              <w:rPr>
                <w:rFonts w:ascii="Aptos" w:hAnsi="Aptos"/>
                <w:b w:val="0"/>
                <w:sz w:val="15"/>
              </w:rPr>
              <w:t>Observability</w:t>
            </w:r>
          </w:p>
        </w:tc>
        <w:tc>
          <w:tcPr>
            <w:tcW w:type="dxa" w:w="5112"/>
            <w:vAlign w:val="center"/>
            <w:shd w:fill="F2F6F8"/>
          </w:tcPr>
          <w:p>
            <w:pPr>
              <w:spacing w:after="0"/>
            </w:pPr>
            <w:r/>
            <w:r>
              <w:rPr>
                <w:rFonts w:ascii="Aptos" w:hAnsi="Aptos"/>
                <w:b w:val="0"/>
                <w:sz w:val="15"/>
              </w:rPr>
              <w:t>Structured logs, metrics, traces, correlation IDs, alerts and dashboards; no secrets or excessive personal data in logs.</w:t>
            </w:r>
          </w:p>
        </w:tc>
      </w:tr>
      <w:tr>
        <w:tc>
          <w:tcPr>
            <w:tcW w:type="dxa" w:w="5112"/>
            <w:vAlign w:val="center"/>
          </w:tcPr>
          <w:p>
            <w:pPr>
              <w:spacing w:after="0"/>
            </w:pPr>
            <w:r/>
            <w:r>
              <w:rPr>
                <w:rFonts w:ascii="Aptos" w:hAnsi="Aptos"/>
                <w:b w:val="0"/>
                <w:sz w:val="15"/>
              </w:rPr>
              <w:t>Recovery</w:t>
            </w:r>
          </w:p>
        </w:tc>
        <w:tc>
          <w:tcPr>
            <w:tcW w:type="dxa" w:w="5112"/>
            <w:vAlign w:val="center"/>
          </w:tcPr>
          <w:p>
            <w:pPr>
              <w:spacing w:after="0"/>
            </w:pPr>
            <w:r/>
            <w:r>
              <w:rPr>
                <w:rFonts w:ascii="Aptos" w:hAnsi="Aptos"/>
                <w:b w:val="0"/>
                <w:sz w:val="15"/>
              </w:rPr>
              <w:t>Backups, restore test, operational runbooks, monitoring of failed jobs/webhooks and defined recovery objectives.</w:t>
            </w:r>
          </w:p>
        </w:tc>
      </w:tr>
      <w:tr>
        <w:tc>
          <w:tcPr>
            <w:tcW w:type="dxa" w:w="5112"/>
            <w:vAlign w:val="center"/>
            <w:shd w:fill="F2F6F8"/>
          </w:tcPr>
          <w:p>
            <w:pPr>
              <w:spacing w:after="0"/>
            </w:pPr>
            <w:r/>
            <w:r>
              <w:rPr>
                <w:rFonts w:ascii="Aptos" w:hAnsi="Aptos"/>
                <w:b w:val="0"/>
                <w:sz w:val="15"/>
              </w:rPr>
              <w:t>Maintainability</w:t>
            </w:r>
          </w:p>
        </w:tc>
        <w:tc>
          <w:tcPr>
            <w:tcW w:type="dxa" w:w="5112"/>
            <w:vAlign w:val="center"/>
            <w:shd w:fill="F2F6F8"/>
          </w:tcPr>
          <w:p>
            <w:pPr>
              <w:spacing w:after="0"/>
            </w:pPr>
            <w:r/>
            <w:r>
              <w:rPr>
                <w:rFonts w:ascii="Aptos" w:hAnsi="Aptos"/>
                <w:b w:val="0"/>
                <w:sz w:val="15"/>
              </w:rPr>
              <w:t>Modular architecture, documented contracts, automated tests, migration strategy and no duplicated category-specific business logic where configuration can be shared.</w:t>
            </w:r>
          </w:p>
        </w:tc>
      </w:tr>
    </w:tbl>
    <w:p>
      <w:pPr>
        <w:spacing w:after="0"/>
      </w:pPr>
    </w:p>
    <w:p>
      <w:pPr>
        <w:pStyle w:val="Heading1"/>
      </w:pPr>
      <w:r>
        <w:t>18. Analytics and operational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Domain</w:t>
            </w:r>
          </w:p>
        </w:tc>
        <w:tc>
          <w:tcPr>
            <w:tcW w:type="dxa" w:w="3408"/>
            <w:vAlign w:val="center"/>
            <w:shd w:fill="10253F"/>
          </w:tcPr>
          <w:p>
            <w:pPr>
              <w:spacing w:after="0"/>
            </w:pPr>
            <w:r/>
            <w:r>
              <w:rPr>
                <w:rFonts w:ascii="Aptos" w:hAnsi="Aptos"/>
                <w:b/>
                <w:color w:val="FFFFFF"/>
                <w:sz w:val="16"/>
              </w:rPr>
              <w:t>Minimum metrics</w:t>
            </w:r>
          </w:p>
        </w:tc>
        <w:tc>
          <w:tcPr>
            <w:tcW w:type="dxa" w:w="3408"/>
            <w:vAlign w:val="center"/>
            <w:shd w:fill="10253F"/>
          </w:tcPr>
          <w:p>
            <w:pPr>
              <w:spacing w:after="0"/>
            </w:pPr>
            <w:r/>
            <w:r>
              <w:rPr>
                <w:rFonts w:ascii="Aptos" w:hAnsi="Aptos"/>
                <w:b/>
                <w:color w:val="FFFFFF"/>
                <w:sz w:val="16"/>
              </w:rPr>
              <w:t>Access</w:t>
            </w:r>
          </w:p>
        </w:tc>
      </w:tr>
      <w:tr>
        <w:tc>
          <w:tcPr>
            <w:tcW w:type="dxa" w:w="3408"/>
            <w:vAlign w:val="center"/>
          </w:tcPr>
          <w:p>
            <w:pPr>
              <w:spacing w:after="0"/>
            </w:pPr>
            <w:r/>
            <w:r>
              <w:rPr>
                <w:rFonts w:ascii="Aptos" w:hAnsi="Aptos"/>
                <w:b w:val="0"/>
                <w:sz w:val="15"/>
              </w:rPr>
              <w:t>Supply</w:t>
            </w:r>
          </w:p>
        </w:tc>
        <w:tc>
          <w:tcPr>
            <w:tcW w:type="dxa" w:w="3408"/>
            <w:vAlign w:val="center"/>
          </w:tcPr>
          <w:p>
            <w:pPr>
              <w:spacing w:after="0"/>
            </w:pPr>
            <w:r/>
            <w:r>
              <w:rPr>
                <w:rFonts w:ascii="Aptos" w:hAnsi="Aptos"/>
                <w:b w:val="0"/>
                <w:sz w:val="15"/>
              </w:rPr>
              <w:t>Published eligible vendors by category/area, verification status, listing rejection and service coverage gaps.</w:t>
            </w:r>
          </w:p>
        </w:tc>
        <w:tc>
          <w:tcPr>
            <w:tcW w:type="dxa" w:w="3408"/>
            <w:vAlign w:val="center"/>
          </w:tcPr>
          <w:p>
            <w:pPr>
              <w:spacing w:after="0"/>
            </w:pPr>
            <w:r/>
            <w:r>
              <w:rPr>
                <w:rFonts w:ascii="Aptos" w:hAnsi="Aptos"/>
                <w:b w:val="0"/>
                <w:sz w:val="15"/>
              </w:rPr>
              <w:t>Operations; aggregated by default.</w:t>
            </w:r>
          </w:p>
        </w:tc>
      </w:tr>
      <w:tr>
        <w:tc>
          <w:tcPr>
            <w:tcW w:type="dxa" w:w="3408"/>
            <w:vAlign w:val="center"/>
            <w:shd w:fill="F2F6F8"/>
          </w:tcPr>
          <w:p>
            <w:pPr>
              <w:spacing w:after="0"/>
            </w:pPr>
            <w:r/>
            <w:r>
              <w:rPr>
                <w:rFonts w:ascii="Aptos" w:hAnsi="Aptos"/>
                <w:b w:val="0"/>
                <w:sz w:val="15"/>
              </w:rPr>
              <w:t>Discovery</w:t>
            </w:r>
          </w:p>
        </w:tc>
        <w:tc>
          <w:tcPr>
            <w:tcW w:type="dxa" w:w="3408"/>
            <w:vAlign w:val="center"/>
            <w:shd w:fill="F2F6F8"/>
          </w:tcPr>
          <w:p>
            <w:pPr>
              <w:spacing w:after="0"/>
            </w:pPr>
            <w:r/>
            <w:r>
              <w:rPr>
                <w:rFonts w:ascii="Aptos" w:hAnsi="Aptos"/>
                <w:b w:val="0"/>
                <w:sz w:val="15"/>
              </w:rPr>
              <w:t>Search volume, zero-result rate, filter use, profile views, contact clicks, favorites, compare use and search-to-contact conversion.</w:t>
            </w:r>
          </w:p>
        </w:tc>
        <w:tc>
          <w:tcPr>
            <w:tcW w:type="dxa" w:w="3408"/>
            <w:vAlign w:val="center"/>
            <w:shd w:fill="F2F6F8"/>
          </w:tcPr>
          <w:p>
            <w:pPr>
              <w:spacing w:after="0"/>
            </w:pPr>
            <w:r/>
            <w:r>
              <w:rPr>
                <w:rFonts w:ascii="Aptos" w:hAnsi="Aptos"/>
                <w:b w:val="0"/>
                <w:sz w:val="15"/>
              </w:rPr>
              <w:t>Product/operations with privacy controls.</w:t>
            </w:r>
          </w:p>
        </w:tc>
      </w:tr>
      <w:tr>
        <w:tc>
          <w:tcPr>
            <w:tcW w:type="dxa" w:w="3408"/>
            <w:vAlign w:val="center"/>
          </w:tcPr>
          <w:p>
            <w:pPr>
              <w:spacing w:after="0"/>
            </w:pPr>
            <w:r/>
            <w:r>
              <w:rPr>
                <w:rFonts w:ascii="Aptos" w:hAnsi="Aptos"/>
                <w:b w:val="0"/>
                <w:sz w:val="15"/>
              </w:rPr>
              <w:t>Booking</w:t>
            </w:r>
          </w:p>
        </w:tc>
        <w:tc>
          <w:tcPr>
            <w:tcW w:type="dxa" w:w="3408"/>
            <w:vAlign w:val="center"/>
          </w:tcPr>
          <w:p>
            <w:pPr>
              <w:spacing w:after="0"/>
            </w:pPr>
            <w:r/>
            <w:r>
              <w:rPr>
                <w:rFonts w:ascii="Aptos" w:hAnsi="Aptos"/>
                <w:b w:val="0"/>
                <w:sz w:val="15"/>
              </w:rPr>
              <w:t>Requests, response time, acceptance/decline/expiry, cancellation, modification, completion, issue report and repeat activity.</w:t>
            </w:r>
          </w:p>
        </w:tc>
        <w:tc>
          <w:tcPr>
            <w:tcW w:type="dxa" w:w="3408"/>
            <w:vAlign w:val="center"/>
          </w:tcPr>
          <w:p>
            <w:pPr>
              <w:spacing w:after="0"/>
            </w:pPr>
            <w:r/>
            <w:r>
              <w:rPr>
                <w:rFonts w:ascii="Aptos" w:hAnsi="Aptos"/>
                <w:b w:val="0"/>
                <w:sz w:val="15"/>
              </w:rPr>
              <w:t>Scoped operations; private records restricted.</w:t>
            </w:r>
          </w:p>
        </w:tc>
      </w:tr>
      <w:tr>
        <w:tc>
          <w:tcPr>
            <w:tcW w:type="dxa" w:w="3408"/>
            <w:vAlign w:val="center"/>
            <w:shd w:fill="F2F6F8"/>
          </w:tcPr>
          <w:p>
            <w:pPr>
              <w:spacing w:after="0"/>
            </w:pPr>
            <w:r/>
            <w:r>
              <w:rPr>
                <w:rFonts w:ascii="Aptos" w:hAnsi="Aptos"/>
                <w:b w:val="0"/>
                <w:sz w:val="15"/>
              </w:rPr>
              <w:t>RFQ</w:t>
            </w:r>
          </w:p>
        </w:tc>
        <w:tc>
          <w:tcPr>
            <w:tcW w:type="dxa" w:w="3408"/>
            <w:vAlign w:val="center"/>
            <w:shd w:fill="F2F6F8"/>
          </w:tcPr>
          <w:p>
            <w:pPr>
              <w:spacing w:after="0"/>
            </w:pPr>
            <w:r/>
            <w:r>
              <w:rPr>
                <w:rFonts w:ascii="Aptos" w:hAnsi="Aptos"/>
                <w:b w:val="0"/>
                <w:sz w:val="15"/>
              </w:rPr>
              <w:t>RFQs, matching vendors, first quote time, quote count, no-response rate, expiry, acceptance and follow-on outcomes.</w:t>
            </w:r>
          </w:p>
        </w:tc>
        <w:tc>
          <w:tcPr>
            <w:tcW w:type="dxa" w:w="3408"/>
            <w:vAlign w:val="center"/>
            <w:shd w:fill="F2F6F8"/>
          </w:tcPr>
          <w:p>
            <w:pPr>
              <w:spacing w:after="0"/>
            </w:pPr>
            <w:r/>
            <w:r>
              <w:rPr>
                <w:rFonts w:ascii="Aptos" w:hAnsi="Aptos"/>
                <w:b w:val="0"/>
                <w:sz w:val="15"/>
              </w:rPr>
              <w:t>Scoped operations.</w:t>
            </w:r>
          </w:p>
        </w:tc>
      </w:tr>
      <w:tr>
        <w:tc>
          <w:tcPr>
            <w:tcW w:type="dxa" w:w="3408"/>
            <w:vAlign w:val="center"/>
          </w:tcPr>
          <w:p>
            <w:pPr>
              <w:spacing w:after="0"/>
            </w:pPr>
            <w:r/>
            <w:r>
              <w:rPr>
                <w:rFonts w:ascii="Aptos" w:hAnsi="Aptos"/>
                <w:b w:val="0"/>
                <w:sz w:val="15"/>
              </w:rPr>
              <w:t>Subscription</w:t>
            </w:r>
          </w:p>
        </w:tc>
        <w:tc>
          <w:tcPr>
            <w:tcW w:type="dxa" w:w="3408"/>
            <w:vAlign w:val="center"/>
          </w:tcPr>
          <w:p>
            <w:pPr>
              <w:spacing w:after="0"/>
            </w:pPr>
            <w:r/>
            <w:r>
              <w:rPr>
                <w:rFonts w:ascii="Aptos" w:hAnsi="Aptos"/>
                <w:b w:val="0"/>
                <w:sz w:val="15"/>
              </w:rPr>
              <w:t>Conversion, renewal failure, grace recovery, expiry, churn, lead/listing usage and sponsored delivery.</w:t>
            </w:r>
          </w:p>
        </w:tc>
        <w:tc>
          <w:tcPr>
            <w:tcW w:type="dxa" w:w="3408"/>
            <w:vAlign w:val="center"/>
          </w:tcPr>
          <w:p>
            <w:pPr>
              <w:spacing w:after="0"/>
            </w:pPr>
            <w:r/>
            <w:r>
              <w:rPr>
                <w:rFonts w:ascii="Aptos" w:hAnsi="Aptos"/>
                <w:b w:val="0"/>
                <w:sz w:val="15"/>
              </w:rPr>
              <w:t>Billing/product roles.</w:t>
            </w:r>
          </w:p>
        </w:tc>
      </w:tr>
      <w:tr>
        <w:tc>
          <w:tcPr>
            <w:tcW w:type="dxa" w:w="3408"/>
            <w:vAlign w:val="center"/>
            <w:shd w:fill="F2F6F8"/>
          </w:tcPr>
          <w:p>
            <w:pPr>
              <w:spacing w:after="0"/>
            </w:pPr>
            <w:r/>
            <w:r>
              <w:rPr>
                <w:rFonts w:ascii="Aptos" w:hAnsi="Aptos"/>
                <w:b w:val="0"/>
                <w:sz w:val="15"/>
              </w:rPr>
              <w:t>Trust/support</w:t>
            </w:r>
          </w:p>
        </w:tc>
        <w:tc>
          <w:tcPr>
            <w:tcW w:type="dxa" w:w="3408"/>
            <w:vAlign w:val="center"/>
            <w:shd w:fill="F2F6F8"/>
          </w:tcPr>
          <w:p>
            <w:pPr>
              <w:spacing w:after="0"/>
            </w:pPr>
            <w:r/>
            <w:r>
              <w:rPr>
                <w:rFonts w:ascii="Aptos" w:hAnsi="Aptos"/>
                <w:b w:val="0"/>
                <w:sz w:val="15"/>
              </w:rPr>
              <w:t>Report severity, moderation outcome, appeal rate, case resolution, repeated misconduct and review quality.</w:t>
            </w:r>
          </w:p>
        </w:tc>
        <w:tc>
          <w:tcPr>
            <w:tcW w:type="dxa" w:w="3408"/>
            <w:vAlign w:val="center"/>
            <w:shd w:fill="F2F6F8"/>
          </w:tcPr>
          <w:p>
            <w:pPr>
              <w:spacing w:after="0"/>
            </w:pPr>
            <w:r/>
            <w:r>
              <w:rPr>
                <w:rFonts w:ascii="Aptos" w:hAnsi="Aptos"/>
                <w:b w:val="0"/>
                <w:sz w:val="15"/>
              </w:rPr>
              <w:t>Support/Trust &amp; Safety; strict access controls.</w:t>
            </w:r>
          </w:p>
        </w:tc>
      </w:tr>
      <w:tr>
        <w:tc>
          <w:tcPr>
            <w:tcW w:type="dxa" w:w="3408"/>
            <w:vAlign w:val="center"/>
          </w:tcPr>
          <w:p>
            <w:pPr>
              <w:spacing w:after="0"/>
            </w:pPr>
            <w:r/>
            <w:r>
              <w:rPr>
                <w:rFonts w:ascii="Aptos" w:hAnsi="Aptos"/>
                <w:b w:val="0"/>
                <w:sz w:val="15"/>
              </w:rPr>
              <w:t>Reliability</w:t>
            </w:r>
          </w:p>
        </w:tc>
        <w:tc>
          <w:tcPr>
            <w:tcW w:type="dxa" w:w="3408"/>
            <w:vAlign w:val="center"/>
          </w:tcPr>
          <w:p>
            <w:pPr>
              <w:spacing w:after="0"/>
            </w:pPr>
            <w:r/>
            <w:r>
              <w:rPr>
                <w:rFonts w:ascii="Aptos" w:hAnsi="Aptos"/>
                <w:b w:val="0"/>
                <w:sz w:val="15"/>
              </w:rPr>
              <w:t>API latency/error rate, notification failures, webhook backlog, job retries, security events and uptime.</w:t>
            </w:r>
          </w:p>
        </w:tc>
        <w:tc>
          <w:tcPr>
            <w:tcW w:type="dxa" w:w="3408"/>
            <w:vAlign w:val="center"/>
          </w:tcPr>
          <w:p>
            <w:pPr>
              <w:spacing w:after="0"/>
            </w:pPr>
            <w:r/>
            <w:r>
              <w:rPr>
                <w:rFonts w:ascii="Aptos" w:hAnsi="Aptos"/>
                <w:b w:val="0"/>
                <w:sz w:val="15"/>
              </w:rPr>
              <w:t>Engineering/operations.</w:t>
            </w:r>
          </w:p>
        </w:tc>
      </w:tr>
    </w:tbl>
    <w:p>
      <w:pPr>
        <w:spacing w:after="0"/>
      </w:pPr>
    </w:p>
    <w:p>
      <w:pPr>
        <w:pStyle w:val="Heading1"/>
      </w:pPr>
      <w:r>
        <w:t>19. UX requirements and screen inventory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Surface</w:t>
            </w:r>
          </w:p>
        </w:tc>
        <w:tc>
          <w:tcPr>
            <w:tcW w:type="dxa" w:w="5112"/>
            <w:vAlign w:val="center"/>
            <w:shd w:fill="10253F"/>
          </w:tcPr>
          <w:p>
            <w:pPr>
              <w:spacing w:after="0"/>
            </w:pPr>
            <w:r/>
            <w:r>
              <w:rPr>
                <w:rFonts w:ascii="Aptos" w:hAnsi="Aptos"/>
                <w:b/>
                <w:color w:val="FFFFFF"/>
                <w:sz w:val="16"/>
              </w:rPr>
              <w:t>Core requirements</w:t>
            </w:r>
          </w:p>
        </w:tc>
      </w:tr>
      <w:tr>
        <w:tc>
          <w:tcPr>
            <w:tcW w:type="dxa" w:w="5112"/>
            <w:vAlign w:val="center"/>
          </w:tcPr>
          <w:p>
            <w:pPr>
              <w:spacing w:after="0"/>
            </w:pPr>
            <w:r/>
            <w:r>
              <w:rPr>
                <w:rFonts w:ascii="Aptos" w:hAnsi="Aptos"/>
                <w:b w:val="0"/>
                <w:sz w:val="15"/>
              </w:rPr>
              <w:t>Discovery/home</w:t>
            </w:r>
          </w:p>
        </w:tc>
        <w:tc>
          <w:tcPr>
            <w:tcW w:type="dxa" w:w="5112"/>
            <w:vAlign w:val="center"/>
          </w:tcPr>
          <w:p>
            <w:pPr>
              <w:spacing w:after="0"/>
            </w:pPr>
            <w:r/>
            <w:r>
              <w:rPr>
                <w:rFonts w:ascii="Aptos" w:hAnsi="Aptos"/>
                <w:b w:val="0"/>
                <w:sz w:val="15"/>
              </w:rPr>
              <w:t>Category navigation, location selection, relevant search, empty states and clear sponsored labels.</w:t>
            </w:r>
          </w:p>
        </w:tc>
      </w:tr>
      <w:tr>
        <w:tc>
          <w:tcPr>
            <w:tcW w:type="dxa" w:w="5112"/>
            <w:vAlign w:val="center"/>
            <w:shd w:fill="F2F6F8"/>
          </w:tcPr>
          <w:p>
            <w:pPr>
              <w:spacing w:after="0"/>
            </w:pPr>
            <w:r/>
            <w:r>
              <w:rPr>
                <w:rFonts w:ascii="Aptos" w:hAnsi="Aptos"/>
                <w:b w:val="0"/>
                <w:sz w:val="15"/>
              </w:rPr>
              <w:t>Search/results</w:t>
            </w:r>
          </w:p>
        </w:tc>
        <w:tc>
          <w:tcPr>
            <w:tcW w:type="dxa" w:w="5112"/>
            <w:vAlign w:val="center"/>
            <w:shd w:fill="F2F6F8"/>
          </w:tcPr>
          <w:p>
            <w:pPr>
              <w:spacing w:after="0"/>
            </w:pPr>
            <w:r/>
            <w:r>
              <w:rPr>
                <w:rFonts w:ascii="Aptos" w:hAnsi="Aptos"/>
                <w:b w:val="0"/>
                <w:sz w:val="15"/>
              </w:rPr>
              <w:t>Filters, sort, service-area match, trust signals, honest missing-data labels, pagination and retry.</w:t>
            </w:r>
          </w:p>
        </w:tc>
      </w:tr>
      <w:tr>
        <w:tc>
          <w:tcPr>
            <w:tcW w:type="dxa" w:w="5112"/>
            <w:vAlign w:val="center"/>
          </w:tcPr>
          <w:p>
            <w:pPr>
              <w:spacing w:after="0"/>
            </w:pPr>
            <w:r/>
            <w:r>
              <w:rPr>
                <w:rFonts w:ascii="Aptos" w:hAnsi="Aptos"/>
                <w:b w:val="0"/>
                <w:sz w:val="15"/>
              </w:rPr>
              <w:t>Vendor profile/listing</w:t>
            </w:r>
          </w:p>
        </w:tc>
        <w:tc>
          <w:tcPr>
            <w:tcW w:type="dxa" w:w="5112"/>
            <w:vAlign w:val="center"/>
          </w:tcPr>
          <w:p>
            <w:pPr>
              <w:spacing w:after="0"/>
            </w:pPr>
            <w:r/>
            <w:r>
              <w:rPr>
                <w:rFonts w:ascii="Aptos" w:hAnsi="Aptos"/>
                <w:b w:val="0"/>
                <w:sz w:val="15"/>
              </w:rPr>
              <w:t>Description, service coverage, price/range if provided, credentials/status, eligible reviews, availability if provided, portfolio and contact action.</w:t>
            </w:r>
          </w:p>
        </w:tc>
      </w:tr>
      <w:tr>
        <w:tc>
          <w:tcPr>
            <w:tcW w:type="dxa" w:w="5112"/>
            <w:vAlign w:val="center"/>
            <w:shd w:fill="F2F6F8"/>
          </w:tcPr>
          <w:p>
            <w:pPr>
              <w:spacing w:after="0"/>
            </w:pPr>
            <w:r/>
            <w:r>
              <w:rPr>
                <w:rFonts w:ascii="Aptos" w:hAnsi="Aptos"/>
                <w:b w:val="0"/>
                <w:sz w:val="15"/>
              </w:rPr>
              <w:t>Comparison/favorites</w:t>
            </w:r>
          </w:p>
        </w:tc>
        <w:tc>
          <w:tcPr>
            <w:tcW w:type="dxa" w:w="5112"/>
            <w:vAlign w:val="center"/>
            <w:shd w:fill="F2F6F8"/>
          </w:tcPr>
          <w:p>
            <w:pPr>
              <w:spacing w:after="0"/>
            </w:pPr>
            <w:r/>
            <w:r>
              <w:rPr>
                <w:rFonts w:ascii="Aptos" w:hAnsi="Aptos"/>
                <w:b w:val="0"/>
                <w:sz w:val="15"/>
              </w:rPr>
              <w:t>Up to three comparisons, clear absent-field labels, add/remove favorites and meaningful change alerts.</w:t>
            </w:r>
          </w:p>
        </w:tc>
      </w:tr>
      <w:tr>
        <w:tc>
          <w:tcPr>
            <w:tcW w:type="dxa" w:w="5112"/>
            <w:vAlign w:val="center"/>
          </w:tcPr>
          <w:p>
            <w:pPr>
              <w:spacing w:after="0"/>
            </w:pPr>
            <w:r/>
            <w:r>
              <w:rPr>
                <w:rFonts w:ascii="Aptos" w:hAnsi="Aptos"/>
                <w:b w:val="0"/>
                <w:sz w:val="15"/>
              </w:rPr>
              <w:t>Booking request/detail</w:t>
            </w:r>
          </w:p>
        </w:tc>
        <w:tc>
          <w:tcPr>
            <w:tcW w:type="dxa" w:w="5112"/>
            <w:vAlign w:val="center"/>
          </w:tcPr>
          <w:p>
            <w:pPr>
              <w:spacing w:after="0"/>
            </w:pPr>
            <w:r/>
            <w:r>
              <w:rPr>
                <w:rFonts w:ascii="Aptos" w:hAnsi="Aptos"/>
                <w:b w:val="0"/>
                <w:sz w:val="15"/>
              </w:rPr>
              <w:t>Request form, terms/policy before submission, status timeline, vendor response, modification/cancellation and completion/issue actions.</w:t>
            </w:r>
          </w:p>
        </w:tc>
      </w:tr>
      <w:tr>
        <w:tc>
          <w:tcPr>
            <w:tcW w:type="dxa" w:w="5112"/>
            <w:vAlign w:val="center"/>
            <w:shd w:fill="F2F6F8"/>
          </w:tcPr>
          <w:p>
            <w:pPr>
              <w:spacing w:after="0"/>
            </w:pPr>
            <w:r/>
            <w:r>
              <w:rPr>
                <w:rFonts w:ascii="Aptos" w:hAnsi="Aptos"/>
                <w:b w:val="0"/>
                <w:sz w:val="15"/>
              </w:rPr>
              <w:t>RFQ composer/detail</w:t>
            </w:r>
          </w:p>
        </w:tc>
        <w:tc>
          <w:tcPr>
            <w:tcW w:type="dxa" w:w="5112"/>
            <w:vAlign w:val="center"/>
            <w:shd w:fill="F2F6F8"/>
          </w:tcPr>
          <w:p>
            <w:pPr>
              <w:spacing w:after="0"/>
            </w:pPr>
            <w:r/>
            <w:r>
              <w:rPr>
                <w:rFonts w:ascii="Aptos" w:hAnsi="Aptos"/>
                <w:b w:val="0"/>
                <w:sz w:val="15"/>
              </w:rPr>
              <w:t>Category-specific fields, attachments, deadline, revisions, invited/matching vendors and status.</w:t>
            </w:r>
          </w:p>
        </w:tc>
      </w:tr>
      <w:tr>
        <w:tc>
          <w:tcPr>
            <w:tcW w:type="dxa" w:w="5112"/>
            <w:vAlign w:val="center"/>
          </w:tcPr>
          <w:p>
            <w:pPr>
              <w:spacing w:after="0"/>
            </w:pPr>
            <w:r/>
            <w:r>
              <w:rPr>
                <w:rFonts w:ascii="Aptos" w:hAnsi="Aptos"/>
                <w:b w:val="0"/>
                <w:sz w:val="15"/>
              </w:rPr>
              <w:t>Quotation comparison/detail</w:t>
            </w:r>
          </w:p>
        </w:tc>
        <w:tc>
          <w:tcPr>
            <w:tcW w:type="dxa" w:w="5112"/>
            <w:vAlign w:val="center"/>
          </w:tcPr>
          <w:p>
            <w:pPr>
              <w:spacing w:after="0"/>
            </w:pPr>
            <w:r/>
            <w:r>
              <w:rPr>
                <w:rFonts w:ascii="Aptos" w:hAnsi="Aptos"/>
                <w:b w:val="0"/>
                <w:sz w:val="15"/>
              </w:rPr>
              <w:t>Structured comparable fields, validity, scope, inclusions/exclusions, negotiation and explicit acceptance confirmation.</w:t>
            </w:r>
          </w:p>
        </w:tc>
      </w:tr>
      <w:tr>
        <w:tc>
          <w:tcPr>
            <w:tcW w:type="dxa" w:w="5112"/>
            <w:vAlign w:val="center"/>
            <w:shd w:fill="F2F6F8"/>
          </w:tcPr>
          <w:p>
            <w:pPr>
              <w:spacing w:after="0"/>
            </w:pPr>
            <w:r/>
            <w:r>
              <w:rPr>
                <w:rFonts w:ascii="Aptos" w:hAnsi="Aptos"/>
                <w:b w:val="0"/>
                <w:sz w:val="15"/>
              </w:rPr>
              <w:t>Conversation</w:t>
            </w:r>
          </w:p>
        </w:tc>
        <w:tc>
          <w:tcPr>
            <w:tcW w:type="dxa" w:w="5112"/>
            <w:vAlign w:val="center"/>
            <w:shd w:fill="F2F6F8"/>
          </w:tcPr>
          <w:p>
            <w:pPr>
              <w:spacing w:after="0"/>
            </w:pPr>
            <w:r/>
            <w:r>
              <w:rPr>
                <w:rFonts w:ascii="Aptos" w:hAnsi="Aptos"/>
                <w:b w:val="0"/>
                <w:sz w:val="15"/>
              </w:rPr>
              <w:t>Transaction linkage, privacy notice, attachment controls, reporting and clear participant identity.</w:t>
            </w:r>
          </w:p>
        </w:tc>
      </w:tr>
      <w:tr>
        <w:tc>
          <w:tcPr>
            <w:tcW w:type="dxa" w:w="5112"/>
            <w:vAlign w:val="center"/>
          </w:tcPr>
          <w:p>
            <w:pPr>
              <w:spacing w:after="0"/>
            </w:pPr>
            <w:r/>
            <w:r>
              <w:rPr>
                <w:rFonts w:ascii="Aptos" w:hAnsi="Aptos"/>
                <w:b w:val="0"/>
                <w:sz w:val="15"/>
              </w:rPr>
              <w:t>Vendor dashboard</w:t>
            </w:r>
          </w:p>
        </w:tc>
        <w:tc>
          <w:tcPr>
            <w:tcW w:type="dxa" w:w="5112"/>
            <w:vAlign w:val="center"/>
          </w:tcPr>
          <w:p>
            <w:pPr>
              <w:spacing w:after="0"/>
            </w:pPr>
            <w:r/>
            <w:r>
              <w:rPr>
                <w:rFonts w:ascii="Aptos" w:hAnsi="Aptos"/>
                <w:b w:val="0"/>
                <w:sz w:val="15"/>
              </w:rPr>
              <w:t>Listing states, subscription status, requests, RFQs, quotes, conversations, notifications and fulfilment commitments.</w:t>
            </w:r>
          </w:p>
        </w:tc>
      </w:tr>
      <w:tr>
        <w:tc>
          <w:tcPr>
            <w:tcW w:type="dxa" w:w="5112"/>
            <w:vAlign w:val="center"/>
            <w:shd w:fill="F2F6F8"/>
          </w:tcPr>
          <w:p>
            <w:pPr>
              <w:spacing w:after="0"/>
            </w:pPr>
            <w:r/>
            <w:r>
              <w:rPr>
                <w:rFonts w:ascii="Aptos" w:hAnsi="Aptos"/>
                <w:b w:val="0"/>
                <w:sz w:val="15"/>
              </w:rPr>
              <w:t>Subscription</w:t>
            </w:r>
          </w:p>
        </w:tc>
        <w:tc>
          <w:tcPr>
            <w:tcW w:type="dxa" w:w="5112"/>
            <w:vAlign w:val="center"/>
            <w:shd w:fill="F2F6F8"/>
          </w:tcPr>
          <w:p>
            <w:pPr>
              <w:spacing w:after="0"/>
            </w:pPr>
            <w:r/>
            <w:r>
              <w:rPr>
                <w:rFonts w:ascii="Aptos" w:hAnsi="Aptos"/>
                <w:b w:val="0"/>
                <w:sz w:val="15"/>
              </w:rPr>
              <w:t>Plan limits, lead usage, renewal status, grace-period deadline, sponsored visibility labels and renewal action.</w:t>
            </w:r>
          </w:p>
        </w:tc>
      </w:tr>
      <w:tr>
        <w:tc>
          <w:tcPr>
            <w:tcW w:type="dxa" w:w="5112"/>
            <w:vAlign w:val="center"/>
          </w:tcPr>
          <w:p>
            <w:pPr>
              <w:spacing w:after="0"/>
            </w:pPr>
            <w:r/>
            <w:r>
              <w:rPr>
                <w:rFonts w:ascii="Aptos" w:hAnsi="Aptos"/>
                <w:b w:val="0"/>
                <w:sz w:val="15"/>
              </w:rPr>
              <w:t>Support/report</w:t>
            </w:r>
          </w:p>
        </w:tc>
        <w:tc>
          <w:tcPr>
            <w:tcW w:type="dxa" w:w="5112"/>
            <w:vAlign w:val="center"/>
          </w:tcPr>
          <w:p>
            <w:pPr>
              <w:spacing w:after="0"/>
            </w:pPr>
            <w:r/>
            <w:r>
              <w:rPr>
                <w:rFonts w:ascii="Aptos" w:hAnsi="Aptos"/>
                <w:b w:val="0"/>
                <w:sz w:val="15"/>
              </w:rPr>
              <w:t>Reason selection, evidence upload, case status, updates, appeal and accessible error states.</w:t>
            </w:r>
          </w:p>
        </w:tc>
      </w:tr>
      <w:tr>
        <w:tc>
          <w:tcPr>
            <w:tcW w:type="dxa" w:w="5112"/>
            <w:vAlign w:val="center"/>
            <w:shd w:fill="F2F6F8"/>
          </w:tcPr>
          <w:p>
            <w:pPr>
              <w:spacing w:after="0"/>
            </w:pPr>
            <w:r/>
            <w:r>
              <w:rPr>
                <w:rFonts w:ascii="Aptos" w:hAnsi="Aptos"/>
                <w:b w:val="0"/>
                <w:sz w:val="15"/>
              </w:rPr>
              <w:t>Admin console</w:t>
            </w:r>
          </w:p>
        </w:tc>
        <w:tc>
          <w:tcPr>
            <w:tcW w:type="dxa" w:w="5112"/>
            <w:vAlign w:val="center"/>
            <w:shd w:fill="F2F6F8"/>
          </w:tcPr>
          <w:p>
            <w:pPr>
              <w:spacing w:after="0"/>
            </w:pPr>
            <w:r/>
            <w:r>
              <w:rPr>
                <w:rFonts w:ascii="Aptos" w:hAnsi="Aptos"/>
                <w:b w:val="0"/>
                <w:sz w:val="15"/>
              </w:rPr>
              <w:t>Scoped queues, review evidence, reason codes, permission-aware actions, audit history and confirmation for high-impact operations.</w:t>
            </w:r>
          </w:p>
        </w:tc>
      </w:tr>
      <w:tr>
        <w:trPr>
          <w:cantSplit/>
        </w:trPr>
        <w:tc>
          <w:tcPr>
            <w:tcW w:type="dxa" w:w="5112"/>
            <w:vAlign w:val="center"/>
          </w:tcPr>
          <w:p>
            <w:pPr>
              <w:spacing w:after="0"/>
            </w:pPr>
            <w:bookmarkStart w:id="9022" w:name="gm_c19_row"/>
            <w:r/>
            <w:r>
              <w:rPr>
                <w:rFonts w:ascii="Aptos" w:hAnsi="Aptos"/>
                <w:b w:val="0"/>
                <w:sz w:val="15"/>
              </w:rPr>
              <w:t xml:space="preserve">Global homepage and market selector</w:t>
            </w:r>
            <w:bookmarkEnd w:id="9022"/>
          </w:p>
        </w:tc>
        <w:tc>
          <w:tcPr>
            <w:tcW w:type="dxa" w:w="5112"/>
            <w:vAlign w:val="center"/>
          </w:tcPr>
          <w:p>
            <w:pPr>
              <w:spacing w:after="0"/>
            </w:pPr>
            <w:r/>
            <w:r>
              <w:rPr>
                <w:rFonts w:ascii="Aptos" w:hAnsi="Aptos"/>
                <w:b w:val="0"/>
                <w:sz w:val="15"/>
              </w:rPr>
              <w:t xml:space="preserve">Global hero search (what and where), country/language/currency selectors, dynamic category explorer, not-yet-available state with waitlist, trust explainer and labelled sponsored blocks (§26.1).</w:t>
            </w:r>
          </w:p>
        </w:tc>
      </w:tr>
      <w:tr>
        <w:trPr>
          <w:cantSplit/>
        </w:trPr>
        <w:tc>
          <w:tcPr>
            <w:tcW w:type="dxa" w:w="5112"/>
            <w:vAlign w:val="center"/>
            <w:shd w:fill="F2F6F8"/>
          </w:tcPr>
          <w:p>
            <w:pPr>
              <w:spacing w:after="0"/>
            </w:pPr>
            <w:r/>
            <w:r>
              <w:rPr>
                <w:rFonts w:ascii="Aptos" w:hAnsi="Aptos"/>
                <w:b w:val="0"/>
                <w:sz w:val="15"/>
              </w:rPr>
              <w:t xml:space="preserve">Customer dashboard</w:t>
            </w:r>
          </w:p>
        </w:tc>
        <w:tc>
          <w:tcPr>
            <w:tcW w:type="dxa" w:w="5112"/>
            <w:vAlign w:val="center"/>
            <w:shd w:fill="F2F6F8"/>
          </w:tcPr>
          <w:p>
            <w:pPr>
              <w:spacing w:after="0"/>
            </w:pPr>
            <w:r/>
            <w:r>
              <w:rPr>
                <w:rFonts w:ascii="Aptos" w:hAnsi="Aptos"/>
                <w:b w:val="0"/>
                <w:sz w:val="15"/>
              </w:rPr>
              <w:t xml:space="preserve">Bookings, RFQs, quotations, contracts, favorites, messages, reviews to give, support cases and notifications (§26.8).</w:t>
            </w:r>
          </w:p>
        </w:tc>
      </w:tr>
      <w:tr>
        <w:trPr>
          <w:cantSplit/>
        </w:trPr>
        <w:tc>
          <w:tcPr>
            <w:tcW w:type="dxa" w:w="5112"/>
            <w:vAlign w:val="center"/>
          </w:tcPr>
          <w:p>
            <w:pPr>
              <w:spacing w:after="0"/>
            </w:pPr>
            <w:r/>
            <w:r>
              <w:rPr>
                <w:rFonts w:ascii="Aptos" w:hAnsi="Aptos"/>
                <w:b w:val="0"/>
                <w:sz w:val="15"/>
              </w:rPr>
              <w:t xml:space="preserve">Contract proposal and detail</w:t>
            </w:r>
          </w:p>
        </w:tc>
        <w:tc>
          <w:tcPr>
            <w:tcW w:type="dxa" w:w="5112"/>
            <w:vAlign w:val="center"/>
          </w:tcPr>
          <w:p>
            <w:pPr>
              <w:spacing w:after="0"/>
            </w:pPr>
            <w:r/>
            <w:r>
              <w:rPr>
                <w:rFonts w:ascii="Aptos" w:hAnsi="Aptos"/>
                <w:b w:val="0"/>
                <w:sz w:val="15"/>
              </w:rPr>
              <w:t xml:space="preserve">Versioned terms, milestones, acceptance by both parties, amendment history and status timeline (§26.5.1).</w:t>
            </w:r>
          </w:p>
        </w:tc>
      </w:tr>
      <w:tr>
        <w:trPr>
          <w:cantSplit/>
        </w:trPr>
        <w:tc>
          <w:tcPr>
            <w:tcW w:type="dxa" w:w="5112"/>
            <w:vAlign w:val="center"/>
            <w:shd w:fill="F2F6F8"/>
          </w:tcPr>
          <w:p>
            <w:pPr>
              <w:spacing w:after="0"/>
            </w:pPr>
            <w:r/>
            <w:r>
              <w:rPr>
                <w:rFonts w:ascii="Aptos" w:hAnsi="Aptos"/>
                <w:b w:val="0"/>
                <w:sz w:val="15"/>
              </w:rPr>
              <w:t xml:space="preserve">Supplier and manufacturer listing</w:t>
            </w:r>
          </w:p>
        </w:tc>
        <w:tc>
          <w:tcPr>
            <w:tcW w:type="dxa" w:w="5112"/>
            <w:vAlign w:val="center"/>
            <w:shd w:fill="F2F6F8"/>
          </w:tcPr>
          <w:p>
            <w:pPr>
              <w:spacing w:after="0"/>
            </w:pPr>
            <w:r/>
            <w:r>
              <w:rPr>
                <w:rFonts w:ascii="Aptos" w:hAnsi="Aptos"/>
                <w:b w:val="0"/>
                <w:sz w:val="15"/>
              </w:rPr>
              <w:t xml:space="preserve">Vendor type and verification labels, catalogue, minimum order, lead time, price tiers, ships-to countries, certifications and Request quote action (§26.7).</w:t>
            </w:r>
          </w:p>
        </w:tc>
      </w:tr>
      <w:tr>
        <w:trPr>
          <w:cantSplit/>
        </w:trPr>
        <w:tc>
          <w:tcPr>
            <w:tcW w:type="dxa" w:w="5112"/>
            <w:vAlign w:val="center"/>
          </w:tcPr>
          <w:p>
            <w:pPr>
              <w:spacing w:after="0"/>
            </w:pPr>
            <w:r/>
            <w:r>
              <w:rPr>
                <w:rFonts w:ascii="Aptos" w:hAnsi="Aptos"/>
                <w:b w:val="0"/>
                <w:sz w:val="15"/>
              </w:rPr>
              <w:t xml:space="preserve">Category suggestion</w:t>
            </w:r>
          </w:p>
        </w:tc>
        <w:tc>
          <w:tcPr>
            <w:tcW w:type="dxa" w:w="5112"/>
            <w:vAlign w:val="center"/>
          </w:tcPr>
          <w:p>
            <w:pPr>
              <w:spacing w:after="0"/>
            </w:pPr>
            <w:r/>
            <w:r>
              <w:rPr>
                <w:rFonts w:ascii="Aptos" w:hAnsi="Aptos"/>
                <w:b w:val="0"/>
                <w:sz w:val="15"/>
              </w:rPr>
              <w:t xml:space="preserve">Vendor form to propose a missing category, with status and the nearest approved category used meanwhile (§26.2).</w:t>
            </w:r>
          </w:p>
        </w:tc>
      </w:tr>
    </w:tbl>
    <w:p>
      <w:pPr>
        <w:spacing w:after="0"/>
      </w:pPr>
    </w:p>
    <w:p>
      <w:pPr>
        <w:pStyle w:val="ListBullet"/>
      </w:pPr>
      <w:r>
        <w:t>All important screens need loading, empty, error, offline/retry, permission-denied and expired-state handling.</w:t>
      </w:r>
    </w:p>
    <w:p>
      <w:pPr>
        <w:pStyle w:val="ListBullet"/>
      </w:pPr>
      <w:r>
        <w:t>Explain what action is blocked and what the user can do next without leaking security-sensitive details.</w:t>
      </w:r>
    </w:p>
    <w:p>
      <w:pPr>
        <w:pStyle w:val="ListBullet"/>
      </w:pPr>
      <w:r>
        <w:t>Do not rely on color alone to communicate states.</w:t>
      </w:r>
    </w:p>
    <w:p>
      <w:pPr>
        <w:pStyle w:val="ListBullet"/>
      </w:pPr>
      <w:r>
        <w:t>Show cancellation rules before booking submission and quotation terms/validity before acceptance.</w:t>
      </w:r>
    </w:p>
    <w:p>
      <w:pPr>
        <w:pStyle w:val="ListBullet"/>
      </w:pPr>
      <w:r>
        <w:t>Keep core business language and transaction status consistent across platforms and English/Hindi.</w:t>
      </w:r>
    </w:p>
    <w:p>
      <w:pPr>
        <w:pStyle w:val="ListBullet"/>
      </w:pPr>
      <w:bookmarkStart w:id="9023" w:name="gm_c19_bul"/>
      <w:r>
        <w:t xml:space="preserve">Layouts must be responsive from phone to desktop and ready for right-to-left languages; see §26.10 for navigation, internationalization and low-bandwidth requirements.</w:t>
      </w:r>
      <w:bookmarkEnd w:id="9023"/>
    </w:p>
    <w:p>
      <w:pPr>
        <w:pStyle w:val="Heading1"/>
      </w:pPr>
      <w:r>
        <w:t>20. End-to-end scenario catalogue</w:t>
      </w:r>
    </w:p>
    <w:p>
      <w:pPr>
        <w:pStyle w:val="Heading3"/>
      </w:pPr>
      <w:r>
        <w:t>SC-001 Search match</w:t>
      </w:r>
    </w:p>
    <w:p>
      <w:r>
        <w:t>Customer searches category and pincode; system returns only published eligible vendors whose configured service coverage matches; organic ranking and filters apply.</w:t>
      </w:r>
    </w:p>
    <w:p>
      <w:pPr>
        <w:pStyle w:val="Heading3"/>
      </w:pPr>
      <w:r>
        <w:t>SC-002 No search result</w:t>
      </w:r>
    </w:p>
    <w:p>
      <w:r>
        <w:t>System explains no suitable result and offers area/filter adjustment or supported enquiry/notify option; it does not falsely claim out-of-area vendors match.</w:t>
      </w:r>
    </w:p>
    <w:p>
      <w:pPr>
        <w:pStyle w:val="Heading3"/>
      </w:pPr>
      <w:r>
        <w:t>SC-003 Missing vendor data</w:t>
      </w:r>
    </w:p>
    <w:p>
      <w:r>
        <w:t>Price/rating/availability absent; display explicit missing labels and allow contact; never fill gaps with inferred values.</w:t>
      </w:r>
    </w:p>
    <w:p>
      <w:pPr>
        <w:pStyle w:val="Heading3"/>
      </w:pPr>
      <w:r>
        <w:t>SC-004 Compare vendors</w:t>
      </w:r>
    </w:p>
    <w:p>
      <w:r>
        <w:t>Customer selects up to three; fields are aligned; absent fields remain labelled; subscription tier is not a quality signal.</w:t>
      </w:r>
    </w:p>
    <w:p>
      <w:pPr>
        <w:pStyle w:val="Heading3"/>
      </w:pPr>
      <w:r>
        <w:t>SC-005 Favorite vendor</w:t>
      </w:r>
    </w:p>
    <w:p>
      <w:r>
        <w:t>Favorite persists across platforms; vendor receives no save notification; meaningful availability/service-area changes may alert customer.</w:t>
      </w:r>
    </w:p>
    <w:p>
      <w:pPr>
        <w:pStyle w:val="Heading3"/>
      </w:pPr>
      <w:r>
        <w:t>SC-006 Unpaid listing</w:t>
      </w:r>
    </w:p>
    <w:p>
      <w:r>
        <w:t>Vendor submits listing without eligible paid subscription; listing remains private, even if content review passes.</w:t>
      </w:r>
    </w:p>
    <w:p>
      <w:pPr>
        <w:pStyle w:val="Heading3"/>
      </w:pPr>
      <w:r>
        <w:t>SC-007 Paid but rejected listing</w:t>
      </w:r>
    </w:p>
    <w:p>
      <w:r>
        <w:t>Payment succeeds but listing content fails review; listing stays hidden, rejection reason is shown, resubmission allowed and subscription continues running.</w:t>
      </w:r>
    </w:p>
    <w:p>
      <w:pPr>
        <w:pStyle w:val="Heading3"/>
      </w:pPr>
      <w:r>
        <w:t>SC-008 Missing required licence</w:t>
      </w:r>
    </w:p>
    <w:p>
      <w:r>
        <w:t>Regulated category requires document; listing stays hidden until approved; no verified badge appears prematurely.</w:t>
      </w:r>
    </w:p>
    <w:p>
      <w:pPr>
        <w:pStyle w:val="Heading3"/>
      </w:pPr>
      <w:r>
        <w:t>SC-009 Document expires</w:t>
      </w:r>
    </w:p>
    <w:p>
      <w:r>
        <w:t>Required credential expires; publication eligibility is re-evaluated and affected listing is hidden/restricted as policy requires; vendor is notified.</w:t>
      </w:r>
    </w:p>
    <w:p>
      <w:pPr>
        <w:pStyle w:val="Heading3"/>
      </w:pPr>
      <w:r>
        <w:t>SC-010 Duplicate listing</w:t>
      </w:r>
    </w:p>
    <w:p>
      <w:r>
        <w:t>Likely duplicate is flagged; vendor/reviewer notified; no auto-merge/delete; legitimate location variants remain.</w:t>
      </w:r>
    </w:p>
    <w:p>
      <w:pPr>
        <w:pStyle w:val="Heading3"/>
      </w:pPr>
      <w:r>
        <w:t>SC-011 Direct booking accepted</w:t>
      </w:r>
    </w:p>
    <w:p>
      <w:r>
        <w:t>Customer sees terms/policy and submits; vendor accepts; booking confirmed, parties notified, payment remains direct.</w:t>
      </w:r>
    </w:p>
    <w:p>
      <w:pPr>
        <w:pStyle w:val="Heading3"/>
      </w:pPr>
      <w:r>
        <w:t>SC-012 Booking unanswered</w:t>
      </w:r>
    </w:p>
    <w:p>
      <w:r>
        <w:t>Reminders fire; response deadline passes; request expires; customer notified; no automatic penalty for a single late response.</w:t>
      </w:r>
    </w:p>
    <w:p>
      <w:pPr>
        <w:pStyle w:val="Heading3"/>
      </w:pPr>
      <w:r>
        <w:t>SC-013 Instant booking race</w:t>
      </w:r>
    </w:p>
    <w:p>
      <w:r>
        <w:t>Two customers attempt same exclusive slot; atomic capacity check allows no more than configured capacity.</w:t>
      </w:r>
    </w:p>
    <w:p>
      <w:pPr>
        <w:pStyle w:val="Heading3"/>
      </w:pPr>
      <w:r>
        <w:t>SC-014 Multi-vendor requests</w:t>
      </w:r>
    </w:p>
    <w:p>
      <w:r>
        <w:t>Customer requests multiple vendors; each request independent and private from competitors; conflicting confirmations require customer choice.</w:t>
      </w:r>
    </w:p>
    <w:p>
      <w:pPr>
        <w:pStyle w:val="Heading3"/>
      </w:pPr>
      <w:r>
        <w:t>SC-015 Modification accepted</w:t>
      </w:r>
    </w:p>
    <w:p>
      <w:r>
        <w:t>Vendor accepts requested booking changes; new terms are recorded and both parties notified.</w:t>
      </w:r>
    </w:p>
    <w:p>
      <w:pPr>
        <w:pStyle w:val="Heading3"/>
      </w:pPr>
      <w:r>
        <w:t>SC-016 Modification declined</w:t>
      </w:r>
    </w:p>
    <w:p>
      <w:r>
        <w:t>Original booking remains confirmed under original terms; customer chooses keep, negotiate or cancel under policy.</w:t>
      </w:r>
    </w:p>
    <w:p>
      <w:pPr>
        <w:pStyle w:val="Heading3"/>
      </w:pPr>
      <w:r>
        <w:t>SC-017 Vendor cancellation</w:t>
      </w:r>
    </w:p>
    <w:p>
      <w:r>
        <w:t>Reason recorded, customer notified, repeat pattern tracked, support may investigate; no automatic penalty for every cancellation.</w:t>
      </w:r>
    </w:p>
    <w:p>
      <w:pPr>
        <w:pStyle w:val="Heading3"/>
      </w:pPr>
      <w:r>
        <w:t>SC-018 Completion timeout</w:t>
      </w:r>
    </w:p>
    <w:p>
      <w:r>
        <w:t>Vendor marks complete; customer has 7 days; no response closes booking while post-closure support remains available.</w:t>
      </w:r>
    </w:p>
    <w:p>
      <w:pPr>
        <w:pStyle w:val="Heading3"/>
      </w:pPr>
      <w:r>
        <w:t>SC-019 Post-completion issue</w:t>
      </w:r>
    </w:p>
    <w:p>
      <w:r>
        <w:t>Support case linked to closed booking; evidence gathered and vendor contacted appropriately; transaction history preserved.</w:t>
      </w:r>
    </w:p>
    <w:p>
      <w:pPr>
        <w:pStyle w:val="Heading3"/>
      </w:pPr>
      <w:r>
        <w:t>SC-020 RFQ no response</w:t>
      </w:r>
    </w:p>
    <w:p>
      <w:r>
        <w:t>Vendors reminded, customer can extend deadline, then receives no-quote notice and suggestions if no quote arrives.</w:t>
      </w:r>
    </w:p>
    <w:p>
      <w:pPr>
        <w:pStyle w:val="Heading3"/>
      </w:pPr>
      <w:r>
        <w:t>SC-021 RFQ edited</w:t>
      </w:r>
    </w:p>
    <w:p>
      <w:r>
        <w:t>Customer edits open RFQ before quote acceptance; revision stored and relevant vendors notified; after acceptance requires separate agreement.</w:t>
      </w:r>
    </w:p>
    <w:p>
      <w:pPr>
        <w:pStyle w:val="Heading3"/>
      </w:pPr>
      <w:r>
        <w:t>SC-022 Quote revision</w:t>
      </w:r>
    </w:p>
    <w:p>
      <w:r>
        <w:t>Pending quote revised and customer notified; acceptance captures current terms; accepted terms cannot be edited normally.</w:t>
      </w:r>
    </w:p>
    <w:p>
      <w:pPr>
        <w:pStyle w:val="Heading3"/>
      </w:pPr>
      <w:r>
        <w:t>SC-023 Quote expires</w:t>
      </w:r>
    </w:p>
    <w:p>
      <w:r>
        <w:t>Expired quote cannot be accepted; parties notified; revised quote possible only while RFQ remains open.</w:t>
      </w:r>
    </w:p>
    <w:p>
      <w:pPr>
        <w:pStyle w:val="Heading3"/>
      </w:pPr>
      <w:r>
        <w:t>SC-024 Quote withdrawal</w:t>
      </w:r>
    </w:p>
    <w:p>
      <w:r>
        <w:t>Pending quote may be withdrawn with reason and notification; accepted quote uses support/dispute path.</w:t>
      </w:r>
    </w:p>
    <w:p>
      <w:pPr>
        <w:pStyle w:val="Heading3"/>
      </w:pPr>
      <w:r>
        <w:t>SC-025 Concurrent quote acceptance</w:t>
      </w:r>
    </w:p>
    <w:p>
      <w:r>
        <w:t>Two quote acceptance requests race; exactly one succeeds; RFQ closes and other pending quotes become unsuccessful.</w:t>
      </w:r>
    </w:p>
    <w:p>
      <w:pPr>
        <w:pStyle w:val="Heading3"/>
      </w:pPr>
      <w:r>
        <w:t>SC-026 Subscription failure</w:t>
      </w:r>
    </w:p>
    <w:p>
      <w:r>
        <w:t>Three-day grace retains visibility with notices; after grace, listing/new enquiry/sponsored placement disabled; existing commitments/conversations remain.</w:t>
      </w:r>
    </w:p>
    <w:p>
      <w:pPr>
        <w:pStyle w:val="Heading3"/>
      </w:pPr>
      <w:r>
        <w:t>SC-027 Subscription cancelled</w:t>
      </w:r>
    </w:p>
    <w:p>
      <w:r>
        <w:t>Auto-renewal stops; eligibility lasts through paid period subject to gates; existing obligations remain manageable.</w:t>
      </w:r>
    </w:p>
    <w:p>
      <w:pPr>
        <w:pStyle w:val="Heading3"/>
      </w:pPr>
      <w:r>
        <w:t>SC-028 Direct-payment dispute</w:t>
      </w:r>
    </w:p>
    <w:p>
      <w:r>
        <w:t>Support investigates and may enforce platform policy; VendorVerse does not issue direct vendor-payment refund from platform-held funds.</w:t>
      </w:r>
    </w:p>
    <w:p>
      <w:pPr>
        <w:pStyle w:val="Heading3"/>
      </w:pPr>
      <w:r>
        <w:t>SC-029 Unsafe listing report</w:t>
      </w:r>
    </w:p>
    <w:p>
      <w:r>
        <w:t>Report becomes a case; severity triaged; content/account restricted if justified; reporter updated where appropriate; appeal route available.</w:t>
      </w:r>
    </w:p>
    <w:p>
      <w:pPr>
        <w:pStyle w:val="Heading3"/>
      </w:pPr>
      <w:r>
        <w:t>SC-030 Ineligible review</w:t>
      </w:r>
    </w:p>
    <w:p>
      <w:r>
        <w:t>Review without a recorded booking or accepted quotation/work order is denied.</w:t>
      </w:r>
    </w:p>
    <w:p>
      <w:pPr>
        <w:pStyle w:val="Heading3"/>
      </w:pPr>
      <w:r>
        <w:t>SC-031 Cross-tenant attack</w:t>
      </w:r>
    </w:p>
    <w:p>
      <w:r>
        <w:t>Vendor changes object ID to access another tenant; server denies without exposing foreign record and logs relevant signal.</w:t>
      </w:r>
    </w:p>
    <w:p>
      <w:pPr>
        <w:pStyle w:val="Heading3"/>
      </w:pPr>
      <w:r>
        <w:t>SC-032 Forged admin role</w:t>
      </w:r>
    </w:p>
    <w:p>
      <w:r>
        <w:t>Client supplies privileged role or calls admin endpoint; server ignores/rejects forged role and denies action.</w:t>
      </w:r>
    </w:p>
    <w:p>
      <w:pPr>
        <w:pStyle w:val="Heading3"/>
      </w:pPr>
      <w:r>
        <w:t>SC-033 Staff scope violation</w:t>
      </w:r>
    </w:p>
    <w:p>
      <w:r>
        <w:t>Support staff attempts unrelated conversation/document access; deny absent case-bound permission.</w:t>
      </w:r>
    </w:p>
    <w:p>
      <w:pPr>
        <w:pStyle w:val="Heading3"/>
      </w:pPr>
      <w:r>
        <w:t>SC-034 Sponsored ineligible listing</w:t>
      </w:r>
    </w:p>
    <w:p>
      <w:r>
        <w:t>Campaign tries to promote restricted/unpublished listing; placement rejected; no trust gate bypass.</w:t>
      </w:r>
    </w:p>
    <w:p>
      <w:pPr>
        <w:pStyle w:val="Heading3"/>
      </w:pPr>
      <w:r>
        <w:t>SC-035 Web/mobile parity</w:t>
      </w:r>
    </w:p>
    <w:p>
      <w:r>
        <w:t>A transaction created on web is viewed on Android/iOS; same state, terms, permissions and event history appear.</w:t>
      </w:r>
    </w:p>
    <w:p>
      <w:pPr>
        <w:pStyle w:val="Heading3"/>
      </w:pPr>
      <w:r>
        <w:t>SC-036 Notification retry</w:t>
      </w:r>
    </w:p>
    <w:p>
      <w:r>
        <w:t>Provider temporarily fails and retries; delivery status updates without duplicate logical state transition or duplicate booking/quote.</w:t>
      </w:r>
    </w:p>
    <w:p>
      <w:pPr>
        <w:pStyle w:val="Heading3"/>
      </w:pPr>
      <w:r>
        <w:t>SC-037 Subscription webhook duplicate</w:t>
      </w:r>
    </w:p>
    <w:p>
      <w:r>
        <w:t>Billing provider sends duplicate event; idempotent handler does not extend/charge/notify twice.</w:t>
      </w:r>
    </w:p>
    <w:p>
      <w:pPr>
        <w:pStyle w:val="Heading3"/>
      </w:pPr>
      <w:r>
        <w:t>SC-038 Moderation appeal</w:t>
      </w:r>
    </w:p>
    <w:p>
      <w:r>
        <w:t>Vendor appeals; human reviewer re-evaluates evidence; outcome and reason are recorded and communicated.</w:t>
      </w:r>
    </w:p>
    <w:p>
      <w:pPr>
        <w:pStyle w:val="Heading3"/>
      </w:pPr>
      <w:r>
        <w:t>SC-039 Role revoked mid-session</w:t>
      </w:r>
    </w:p>
    <w:p>
      <w:r>
        <w:t>Staff permission is removed; subsequent sensitive API request is denied and sessions/tokens are invalidated as configured.</w:t>
      </w:r>
    </w:p>
    <w:p>
      <w:pPr>
        <w:pStyle w:val="Heading3"/>
      </w:pPr>
      <w:r>
        <w:t>SC-040 Deletion request</w:t>
      </w:r>
    </w:p>
    <w:p>
      <w:r>
        <w:t>User requests account deletion; verify requester, execute approved deletion/anonymization while preserving records legally required and communicate status.</w:t>
      </w:r>
    </w:p>
    <w:p>
      <w:pPr>
        <w:pStyle w:val="Heading3"/>
      </w:pPr>
      <w:bookmarkStart w:id="9024" w:name="gm_sc"/>
      <w:r>
        <w:t xml:space="preserve">SC-041 Search in a city that is not live</w:t>
      </w:r>
      <w:bookmarkEnd w:id="9024"/>
    </w:p>
    <w:p>
      <w:r>
        <w:t xml:space="preserve">Customer searches a category in a city that has not been activated; the system explains the status, offers a waitlist, shows nearby live markets and remote-capable vendors, and does not present out-of-area vendors as local.</w:t>
      </w:r>
    </w:p>
    <w:p>
      <w:pPr>
        <w:pStyle w:val="Heading3"/>
      </w:pPr>
      <w:r>
        <w:t xml:space="preserve">SC-042 Cross-border supplier RFQ</w:t>
      </w:r>
    </w:p>
    <w:p>
      <w:r>
        <w:t xml:space="preserve">Customer requests a quote from a manufacturer that ships to the customer's country; the RFQ carries quantity, currency and trade terms, the quotation states lead time and validity, and currencies are never mixed silently.</w:t>
      </w:r>
    </w:p>
    <w:p>
      <w:pPr>
        <w:pStyle w:val="Heading3"/>
      </w:pPr>
      <w:r>
        <w:t xml:space="preserve">SC-043 Contract amendment race</w:t>
      </w:r>
    </w:p>
    <w:p>
      <w:r>
        <w:t xml:space="preserve">Both parties try to accept different versions of a contract at the same time; exactly one version becomes the accepted version, the other is rejected as superseded, and both parties are notified.</w:t>
      </w:r>
    </w:p>
    <w:p>
      <w:pPr>
        <w:pStyle w:val="Heading3"/>
      </w:pPr>
      <w:r>
        <w:t xml:space="preserve">SC-044 Commission mode enabled without approval</w:t>
      </w:r>
    </w:p>
    <w:p>
      <w:r>
        <w:t xml:space="preserve">An admin tries to enable platform-facilitated payment for a country without dual approval or without the required decisions; the action is blocked and recorded in the audit log.</w:t>
      </w:r>
    </w:p>
    <w:p>
      <w:pPr>
        <w:pStyle w:val="Heading3"/>
      </w:pPr>
      <w:r>
        <w:t xml:space="preserve">SC-045 Market activation with incomplete checklist</w:t>
      </w:r>
    </w:p>
    <w:p>
      <w:r>
        <w:t xml:space="preserve">A market is submitted for activation while its legal content or verification matrix is missing; activation is refused and the missing items are listed.</w:t>
      </w:r>
    </w:p>
    <w:p>
      <w:pPr>
        <w:pStyle w:val="Heading3"/>
      </w:pPr>
      <w:r>
        <w:t xml:space="preserve">SC-046 Vendor suggests a new category</w:t>
      </w:r>
    </w:p>
    <w:p>
      <w:r>
        <w:t xml:space="preserve">A vendor proposes a category that does not exist; the proposal enters the review queue, the vendor lists under the nearest approved category meanwhile, and nothing is auto-published.</w:t>
      </w:r>
    </w:p>
    <w:p>
      <w:pPr>
        <w:pStyle w:val="Heading1"/>
      </w:pPr>
      <w:r>
        <w:t>21. Acceptance criteria and release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Gate</w:t>
            </w:r>
          </w:p>
        </w:tc>
        <w:tc>
          <w:tcPr>
            <w:tcW w:type="dxa" w:w="5112"/>
            <w:vAlign w:val="center"/>
            <w:shd w:fill="10253F"/>
          </w:tcPr>
          <w:p>
            <w:pPr>
              <w:spacing w:after="0"/>
            </w:pPr>
            <w:r/>
            <w:r>
              <w:rPr>
                <w:rFonts w:ascii="Aptos" w:hAnsi="Aptos"/>
                <w:b/>
                <w:color w:val="FFFFFF"/>
                <w:sz w:val="16"/>
              </w:rPr>
              <w:t>Pass criteria</w:t>
            </w:r>
          </w:p>
        </w:tc>
      </w:tr>
      <w:tr>
        <w:tc>
          <w:tcPr>
            <w:tcW w:type="dxa" w:w="5112"/>
            <w:vAlign w:val="center"/>
          </w:tcPr>
          <w:p>
            <w:pPr>
              <w:spacing w:after="0"/>
            </w:pPr>
            <w:r/>
            <w:r>
              <w:rPr>
                <w:rFonts w:ascii="Aptos" w:hAnsi="Aptos"/>
                <w:b w:val="0"/>
                <w:sz w:val="15"/>
              </w:rPr>
              <w:t>Identity</w:t>
            </w:r>
          </w:p>
        </w:tc>
        <w:tc>
          <w:tcPr>
            <w:tcW w:type="dxa" w:w="5112"/>
            <w:vAlign w:val="center"/>
          </w:tcPr>
          <w:p>
            <w:pPr>
              <w:spacing w:after="0"/>
            </w:pPr>
            <w:r/>
            <w:r>
              <w:rPr>
                <w:rFonts w:ascii="Aptos" w:hAnsi="Aptos"/>
                <w:b w:val="0"/>
                <w:sz w:val="15"/>
              </w:rPr>
              <w:t>Sign-in/session/recovery/rate-limit and mode switching tested; no privilege escalation through mode selection.</w:t>
            </w:r>
          </w:p>
        </w:tc>
      </w:tr>
      <w:tr>
        <w:tc>
          <w:tcPr>
            <w:tcW w:type="dxa" w:w="5112"/>
            <w:vAlign w:val="center"/>
            <w:shd w:fill="F2F6F8"/>
          </w:tcPr>
          <w:p>
            <w:pPr>
              <w:spacing w:after="0"/>
            </w:pPr>
            <w:r/>
            <w:r>
              <w:rPr>
                <w:rFonts w:ascii="Aptos" w:hAnsi="Aptos"/>
                <w:b w:val="0"/>
                <w:sz w:val="15"/>
              </w:rPr>
              <w:t>RBAC</w:t>
            </w:r>
          </w:p>
        </w:tc>
        <w:tc>
          <w:tcPr>
            <w:tcW w:type="dxa" w:w="5112"/>
            <w:vAlign w:val="center"/>
            <w:shd w:fill="F2F6F8"/>
          </w:tcPr>
          <w:p>
            <w:pPr>
              <w:spacing w:after="0"/>
            </w:pPr>
            <w:r/>
            <w:r>
              <w:rPr>
                <w:rFonts w:ascii="Aptos" w:hAnsi="Aptos"/>
                <w:b w:val="0"/>
                <w:sz w:val="15"/>
              </w:rPr>
              <w:t>All role matrix cases tested; object ownership and tenant isolation tests pass across API, files, search and background jobs.</w:t>
            </w:r>
          </w:p>
        </w:tc>
      </w:tr>
      <w:tr>
        <w:tc>
          <w:tcPr>
            <w:tcW w:type="dxa" w:w="5112"/>
            <w:vAlign w:val="center"/>
          </w:tcPr>
          <w:p>
            <w:pPr>
              <w:spacing w:after="0"/>
            </w:pPr>
            <w:r/>
            <w:r>
              <w:rPr>
                <w:rFonts w:ascii="Aptos" w:hAnsi="Aptos"/>
                <w:b w:val="0"/>
                <w:sz w:val="15"/>
              </w:rPr>
              <w:t>Vendor publication</w:t>
            </w:r>
          </w:p>
        </w:tc>
        <w:tc>
          <w:tcPr>
            <w:tcW w:type="dxa" w:w="5112"/>
            <w:vAlign w:val="center"/>
          </w:tcPr>
          <w:p>
            <w:pPr>
              <w:spacing w:after="0"/>
            </w:pPr>
            <w:r/>
            <w:r>
              <w:rPr>
                <w:rFonts w:ascii="Aptos" w:hAnsi="Aptos"/>
                <w:b w:val="0"/>
                <w:sz w:val="15"/>
              </w:rPr>
              <w:t>Unpaid/rejected/restricted/unverified-where-required listing never appears publicly; state changes propagate reliably.</w:t>
            </w:r>
          </w:p>
        </w:tc>
      </w:tr>
      <w:tr>
        <w:tc>
          <w:tcPr>
            <w:tcW w:type="dxa" w:w="5112"/>
            <w:vAlign w:val="center"/>
            <w:shd w:fill="F2F6F8"/>
          </w:tcPr>
          <w:p>
            <w:pPr>
              <w:spacing w:after="0"/>
            </w:pPr>
            <w:r/>
            <w:r>
              <w:rPr>
                <w:rFonts w:ascii="Aptos" w:hAnsi="Aptos"/>
                <w:b w:val="0"/>
                <w:sz w:val="15"/>
              </w:rPr>
              <w:t>Discovery</w:t>
            </w:r>
          </w:p>
        </w:tc>
        <w:tc>
          <w:tcPr>
            <w:tcW w:type="dxa" w:w="5112"/>
            <w:vAlign w:val="center"/>
            <w:shd w:fill="F2F6F8"/>
          </w:tcPr>
          <w:p>
            <w:pPr>
              <w:spacing w:after="0"/>
            </w:pPr>
            <w:r/>
            <w:r>
              <w:rPr>
                <w:rFonts w:ascii="Aptos" w:hAnsi="Aptos"/>
                <w:b w:val="0"/>
                <w:sz w:val="15"/>
              </w:rPr>
              <w:t>Service-area match, filters, ranking, no-result path and missing-data labels tested.</w:t>
            </w:r>
          </w:p>
        </w:tc>
      </w:tr>
      <w:tr>
        <w:tc>
          <w:tcPr>
            <w:tcW w:type="dxa" w:w="5112"/>
            <w:vAlign w:val="center"/>
          </w:tcPr>
          <w:p>
            <w:pPr>
              <w:spacing w:after="0"/>
            </w:pPr>
            <w:r/>
            <w:r>
              <w:rPr>
                <w:rFonts w:ascii="Aptos" w:hAnsi="Aptos"/>
                <w:b w:val="0"/>
                <w:sz w:val="15"/>
              </w:rPr>
              <w:t>Booking</w:t>
            </w:r>
          </w:p>
        </w:tc>
        <w:tc>
          <w:tcPr>
            <w:tcW w:type="dxa" w:w="5112"/>
            <w:vAlign w:val="center"/>
          </w:tcPr>
          <w:p>
            <w:pPr>
              <w:spacing w:after="0"/>
            </w:pPr>
            <w:r/>
            <w:r>
              <w:rPr>
                <w:rFonts w:ascii="Aptos" w:hAnsi="Aptos"/>
                <w:b w:val="0"/>
                <w:sz w:val="15"/>
              </w:rPr>
              <w:t>Response deadline, reminders, expiry, modification, cancellation, 7-day completion response, idempotency and capacity concurrency tested.</w:t>
            </w:r>
          </w:p>
        </w:tc>
      </w:tr>
      <w:tr>
        <w:tc>
          <w:tcPr>
            <w:tcW w:type="dxa" w:w="5112"/>
            <w:vAlign w:val="center"/>
            <w:shd w:fill="F2F6F8"/>
          </w:tcPr>
          <w:p>
            <w:pPr>
              <w:spacing w:after="0"/>
            </w:pPr>
            <w:r/>
            <w:r>
              <w:rPr>
                <w:rFonts w:ascii="Aptos" w:hAnsi="Aptos"/>
                <w:b w:val="0"/>
                <w:sz w:val="15"/>
              </w:rPr>
              <w:t>RFQ</w:t>
            </w:r>
          </w:p>
        </w:tc>
        <w:tc>
          <w:tcPr>
            <w:tcW w:type="dxa" w:w="5112"/>
            <w:vAlign w:val="center"/>
            <w:shd w:fill="F2F6F8"/>
          </w:tcPr>
          <w:p>
            <w:pPr>
              <w:spacing w:after="0"/>
            </w:pPr>
            <w:r/>
            <w:r>
              <w:rPr>
                <w:rFonts w:ascii="Aptos" w:hAnsi="Aptos"/>
                <w:b w:val="0"/>
                <w:sz w:val="15"/>
              </w:rPr>
              <w:t>Dynamic fields, attachments, revisions, quote validity, one accepted quote and immutable accepted terms tested.</w:t>
            </w:r>
          </w:p>
        </w:tc>
      </w:tr>
      <w:tr>
        <w:tc>
          <w:tcPr>
            <w:tcW w:type="dxa" w:w="5112"/>
            <w:vAlign w:val="center"/>
          </w:tcPr>
          <w:p>
            <w:pPr>
              <w:spacing w:after="0"/>
            </w:pPr>
            <w:r/>
            <w:r>
              <w:rPr>
                <w:rFonts w:ascii="Aptos" w:hAnsi="Aptos"/>
                <w:b w:val="0"/>
                <w:sz w:val="15"/>
              </w:rPr>
              <w:t>Subscription</w:t>
            </w:r>
          </w:p>
        </w:tc>
        <w:tc>
          <w:tcPr>
            <w:tcW w:type="dxa" w:w="5112"/>
            <w:vAlign w:val="center"/>
          </w:tcPr>
          <w:p>
            <w:pPr>
              <w:spacing w:after="0"/>
            </w:pPr>
            <w:r/>
            <w:r>
              <w:rPr>
                <w:rFonts w:ascii="Aptos" w:hAnsi="Aptos"/>
                <w:b w:val="0"/>
                <w:sz w:val="15"/>
              </w:rPr>
              <w:t>Failed renewal grace, expiry hiding, sponsored removal, restoration and existing commitment access tested.</w:t>
            </w:r>
          </w:p>
        </w:tc>
      </w:tr>
      <w:tr>
        <w:tc>
          <w:tcPr>
            <w:tcW w:type="dxa" w:w="5112"/>
            <w:vAlign w:val="center"/>
            <w:shd w:fill="F2F6F8"/>
          </w:tcPr>
          <w:p>
            <w:pPr>
              <w:spacing w:after="0"/>
            </w:pPr>
            <w:r/>
            <w:r>
              <w:rPr>
                <w:rFonts w:ascii="Aptos" w:hAnsi="Aptos"/>
                <w:b w:val="0"/>
                <w:sz w:val="15"/>
              </w:rPr>
              <w:t>Messaging</w:t>
            </w:r>
          </w:p>
        </w:tc>
        <w:tc>
          <w:tcPr>
            <w:tcW w:type="dxa" w:w="5112"/>
            <w:vAlign w:val="center"/>
            <w:shd w:fill="F2F6F8"/>
          </w:tcPr>
          <w:p>
            <w:pPr>
              <w:spacing w:after="0"/>
            </w:pPr>
            <w:r/>
            <w:r>
              <w:rPr>
                <w:rFonts w:ascii="Aptos" w:hAnsi="Aptos"/>
                <w:b w:val="0"/>
                <w:sz w:val="15"/>
              </w:rPr>
              <w:t>Only participants/authorized reviewers can access conversations and attachments; contact details protected by default.</w:t>
            </w:r>
          </w:p>
        </w:tc>
      </w:tr>
      <w:tr>
        <w:tc>
          <w:tcPr>
            <w:tcW w:type="dxa" w:w="5112"/>
            <w:vAlign w:val="center"/>
          </w:tcPr>
          <w:p>
            <w:pPr>
              <w:spacing w:after="0"/>
            </w:pPr>
            <w:r/>
            <w:r>
              <w:rPr>
                <w:rFonts w:ascii="Aptos" w:hAnsi="Aptos"/>
                <w:b w:val="0"/>
                <w:sz w:val="15"/>
              </w:rPr>
              <w:t>Trust/support</w:t>
            </w:r>
          </w:p>
        </w:tc>
        <w:tc>
          <w:tcPr>
            <w:tcW w:type="dxa" w:w="5112"/>
            <w:vAlign w:val="center"/>
          </w:tcPr>
          <w:p>
            <w:pPr>
              <w:spacing w:after="0"/>
            </w:pPr>
            <w:r/>
            <w:r>
              <w:rPr>
                <w:rFonts w:ascii="Aptos" w:hAnsi="Aptos"/>
                <w:b w:val="0"/>
                <w:sz w:val="15"/>
              </w:rPr>
              <w:t>Reports are traceable; high-risk moderation and appeals work; administrative actions are auditable.</w:t>
            </w:r>
          </w:p>
        </w:tc>
      </w:tr>
      <w:tr>
        <w:tc>
          <w:tcPr>
            <w:tcW w:type="dxa" w:w="5112"/>
            <w:vAlign w:val="center"/>
            <w:shd w:fill="F2F6F8"/>
          </w:tcPr>
          <w:p>
            <w:pPr>
              <w:spacing w:after="0"/>
            </w:pPr>
            <w:r/>
            <w:r>
              <w:rPr>
                <w:rFonts w:ascii="Aptos" w:hAnsi="Aptos"/>
                <w:b w:val="0"/>
                <w:sz w:val="15"/>
              </w:rPr>
              <w:t>Notifications</w:t>
            </w:r>
          </w:p>
        </w:tc>
        <w:tc>
          <w:tcPr>
            <w:tcW w:type="dxa" w:w="5112"/>
            <w:vAlign w:val="center"/>
            <w:shd w:fill="F2F6F8"/>
          </w:tcPr>
          <w:p>
            <w:pPr>
              <w:spacing w:after="0"/>
            </w:pPr>
            <w:r/>
            <w:r>
              <w:rPr>
                <w:rFonts w:ascii="Aptos" w:hAnsi="Aptos"/>
                <w:b w:val="0"/>
                <w:sz w:val="15"/>
              </w:rPr>
              <w:t>Required triggers covered; provider retry and duplicate event behavior tested.</w:t>
            </w:r>
          </w:p>
        </w:tc>
      </w:tr>
      <w:tr>
        <w:tc>
          <w:tcPr>
            <w:tcW w:type="dxa" w:w="5112"/>
            <w:vAlign w:val="center"/>
          </w:tcPr>
          <w:p>
            <w:pPr>
              <w:spacing w:after="0"/>
            </w:pPr>
            <w:r/>
            <w:r>
              <w:rPr>
                <w:rFonts w:ascii="Aptos" w:hAnsi="Aptos"/>
                <w:b w:val="0"/>
                <w:sz w:val="15"/>
              </w:rPr>
              <w:t>Cross-platform</w:t>
            </w:r>
          </w:p>
        </w:tc>
        <w:tc>
          <w:tcPr>
            <w:tcW w:type="dxa" w:w="5112"/>
            <w:vAlign w:val="center"/>
          </w:tcPr>
          <w:p>
            <w:pPr>
              <w:spacing w:after="0"/>
            </w:pPr>
            <w:r/>
            <w:r>
              <w:rPr>
                <w:rFonts w:ascii="Aptos" w:hAnsi="Aptos"/>
                <w:b w:val="0"/>
                <w:sz w:val="15"/>
              </w:rPr>
              <w:t>Critical flows pass on web, Android and iOS; business states and permission results match.</w:t>
            </w:r>
          </w:p>
        </w:tc>
      </w:tr>
      <w:tr>
        <w:tc>
          <w:tcPr>
            <w:tcW w:type="dxa" w:w="5112"/>
            <w:vAlign w:val="center"/>
            <w:shd w:fill="F2F6F8"/>
          </w:tcPr>
          <w:p>
            <w:pPr>
              <w:spacing w:after="0"/>
            </w:pPr>
            <w:r/>
            <w:r>
              <w:rPr>
                <w:rFonts w:ascii="Aptos" w:hAnsi="Aptos"/>
                <w:b w:val="0"/>
                <w:sz w:val="15"/>
              </w:rPr>
              <w:t>Accessibility/localization</w:t>
            </w:r>
          </w:p>
        </w:tc>
        <w:tc>
          <w:tcPr>
            <w:tcW w:type="dxa" w:w="5112"/>
            <w:vAlign w:val="center"/>
            <w:shd w:fill="F2F6F8"/>
          </w:tcPr>
          <w:p>
            <w:pPr>
              <w:spacing w:after="0"/>
            </w:pPr>
            <w:r/>
            <w:r>
              <w:rPr>
                <w:rFonts w:ascii="Aptos" w:hAnsi="Aptos"/>
                <w:b w:val="0"/>
                <w:sz w:val="15"/>
              </w:rPr>
              <w:t>English/Hindi strings reviewed; accessibility checks for keyboard, screen reader, contrast and touch targets.</w:t>
            </w:r>
          </w:p>
        </w:tc>
      </w:tr>
      <w:tr>
        <w:tc>
          <w:tcPr>
            <w:tcW w:type="dxa" w:w="5112"/>
            <w:vAlign w:val="center"/>
          </w:tcPr>
          <w:p>
            <w:pPr>
              <w:spacing w:after="0"/>
            </w:pPr>
            <w:r/>
            <w:r>
              <w:rPr>
                <w:rFonts w:ascii="Aptos" w:hAnsi="Aptos"/>
                <w:b w:val="0"/>
                <w:sz w:val="15"/>
              </w:rPr>
              <w:t>Operational readiness</w:t>
            </w:r>
          </w:p>
        </w:tc>
        <w:tc>
          <w:tcPr>
            <w:tcW w:type="dxa" w:w="5112"/>
            <w:vAlign w:val="center"/>
          </w:tcPr>
          <w:p>
            <w:pPr>
              <w:spacing w:after="0"/>
            </w:pPr>
            <w:r/>
            <w:r>
              <w:rPr>
                <w:rFonts w:ascii="Aptos" w:hAnsi="Aptos"/>
                <w:b w:val="0"/>
                <w:sz w:val="15"/>
              </w:rPr>
              <w:t>Monitoring, alerts, support runbooks, backup restore, incident escalation and release rollback are rehearsed.</w:t>
            </w:r>
          </w:p>
        </w:tc>
      </w:tr>
      <w:tr>
        <w:tc>
          <w:tcPr>
            <w:tcW w:type="dxa" w:w="5112"/>
            <w:vAlign w:val="center"/>
            <w:shd w:fill="F2F6F8"/>
          </w:tcPr>
          <w:p>
            <w:pPr>
              <w:spacing w:after="0"/>
            </w:pPr>
            <w:r/>
            <w:r>
              <w:rPr>
                <w:rFonts w:ascii="Aptos" w:hAnsi="Aptos"/>
                <w:b w:val="0"/>
                <w:sz w:val="15"/>
              </w:rPr>
              <w:t>Security readiness</w:t>
            </w:r>
          </w:p>
        </w:tc>
        <w:tc>
          <w:tcPr>
            <w:tcW w:type="dxa" w:w="5112"/>
            <w:vAlign w:val="center"/>
            <w:shd w:fill="F2F6F8"/>
          </w:tcPr>
          <w:p>
            <w:pPr>
              <w:spacing w:after="0"/>
            </w:pPr>
            <w:r/>
            <w:r>
              <w:rPr>
                <w:rFonts w:ascii="Aptos" w:hAnsi="Aptos"/>
                <w:b w:val="0"/>
                <w:sz w:val="15"/>
              </w:rPr>
              <w:t>No unresolved critical vulnerabilities; high-risk findings are fixed or formally risk-accepted by accountable owner.</w:t>
            </w:r>
          </w:p>
        </w:tc>
      </w:tr>
      <w:tr>
        <w:trPr>
          <w:cantSplit/>
        </w:trPr>
        <w:tc>
          <w:tcPr>
            <w:tcW w:type="dxa" w:w="5112"/>
            <w:vAlign w:val="center"/>
          </w:tcPr>
          <w:p>
            <w:pPr>
              <w:spacing w:after="0"/>
            </w:pPr>
            <w:bookmarkStart w:id="9025" w:name="gm_c21_row"/>
            <w:r/>
            <w:r>
              <w:rPr>
                <w:rFonts w:ascii="Aptos" w:hAnsi="Aptos"/>
                <w:b w:val="0"/>
                <w:sz w:val="15"/>
              </w:rPr>
              <w:t xml:space="preserve">Global marketplace</w:t>
            </w:r>
            <w:bookmarkEnd w:id="9025"/>
          </w:p>
        </w:tc>
        <w:tc>
          <w:tcPr>
            <w:tcW w:type="dxa" w:w="5112"/>
            <w:vAlign w:val="center"/>
          </w:tcPr>
          <w:p>
            <w:pPr>
              <w:spacing w:after="0"/>
            </w:pPr>
            <w:r/>
            <w:r>
              <w:rPr>
                <w:rFonts w:ascii="Aptos" w:hAnsi="Aptos"/>
                <w:b w:val="0"/>
                <w:sz w:val="15"/>
              </w:rPr>
              <w:t xml:space="preserve">Unlaunched markets and categories never appear publicly; coverage, ships-to and currency rules hold; dynamic category changes propagate without release; contract acceptance is atomic and versioned; commission and payment modes stay disabled without approvals; market activation checklist enforced with dual approval.</w:t>
            </w:r>
          </w:p>
        </w:tc>
      </w:tr>
    </w:tbl>
    <w:p>
      <w:pPr>
        <w:spacing w:after="0"/>
      </w:pPr>
    </w:p>
    <w:p>
      <w:pPr>
        <w:pStyle w:val="Heading1"/>
      </w:pPr>
      <w:r>
        <w:t>22. Delivery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Phase</w:t>
            </w:r>
          </w:p>
        </w:tc>
        <w:tc>
          <w:tcPr>
            <w:tcW w:type="dxa" w:w="3408"/>
            <w:vAlign w:val="center"/>
            <w:shd w:fill="10253F"/>
          </w:tcPr>
          <w:p>
            <w:pPr>
              <w:spacing w:after="0"/>
            </w:pPr>
            <w:r/>
            <w:r>
              <w:rPr>
                <w:rFonts w:ascii="Aptos" w:hAnsi="Aptos"/>
                <w:b/>
                <w:color w:val="FFFFFF"/>
                <w:sz w:val="16"/>
              </w:rPr>
              <w:t>Work package</w:t>
            </w:r>
          </w:p>
        </w:tc>
        <w:tc>
          <w:tcPr>
            <w:tcW w:type="dxa" w:w="3408"/>
            <w:vAlign w:val="center"/>
            <w:shd w:fill="10253F"/>
          </w:tcPr>
          <w:p>
            <w:pPr>
              <w:spacing w:after="0"/>
            </w:pPr>
            <w:r/>
            <w:r>
              <w:rPr>
                <w:rFonts w:ascii="Aptos" w:hAnsi="Aptos"/>
                <w:b/>
                <w:color w:val="FFFFFF"/>
                <w:sz w:val="16"/>
              </w:rPr>
              <w:t>Exit criteria</w:t>
            </w:r>
          </w:p>
        </w:tc>
      </w:tr>
      <w:tr>
        <w:tc>
          <w:tcPr>
            <w:tcW w:type="dxa" w:w="3408"/>
            <w:vAlign w:val="center"/>
          </w:tcPr>
          <w:p>
            <w:pPr>
              <w:spacing w:after="0"/>
            </w:pPr>
            <w:r/>
            <w:r>
              <w:rPr>
                <w:rFonts w:ascii="Aptos" w:hAnsi="Aptos"/>
                <w:b w:val="0"/>
                <w:sz w:val="15"/>
              </w:rPr>
              <w:t>0. Discovery and design</w:t>
            </w:r>
          </w:p>
        </w:tc>
        <w:tc>
          <w:tcPr>
            <w:tcW w:type="dxa" w:w="3408"/>
            <w:vAlign w:val="center"/>
          </w:tcPr>
          <w:p>
            <w:pPr>
              <w:spacing w:after="0"/>
            </w:pPr>
            <w:r/>
            <w:r>
              <w:rPr>
                <w:rFonts w:ascii="Aptos" w:hAnsi="Aptos"/>
                <w:b w:val="0"/>
                <w:sz w:val="15"/>
              </w:rPr>
              <w:t>Confirm open configurations, category matrix, legal/privacy review, UX flows, architecture, OpenAPI, data model and QA plan.</w:t>
            </w:r>
          </w:p>
        </w:tc>
        <w:tc>
          <w:tcPr>
            <w:tcW w:type="dxa" w:w="3408"/>
            <w:vAlign w:val="center"/>
          </w:tcPr>
          <w:p>
            <w:pPr>
              <w:spacing w:after="0"/>
            </w:pPr>
            <w:r/>
            <w:r>
              <w:rPr>
                <w:rFonts w:ascii="Aptos" w:hAnsi="Aptos"/>
                <w:b w:val="0"/>
                <w:sz w:val="15"/>
              </w:rPr>
              <w:t>Scope baseline signed off; dependencies and acceptance tests traceable.</w:t>
            </w:r>
          </w:p>
        </w:tc>
      </w:tr>
      <w:tr>
        <w:tc>
          <w:tcPr>
            <w:tcW w:type="dxa" w:w="3408"/>
            <w:vAlign w:val="center"/>
            <w:shd w:fill="F2F6F8"/>
          </w:tcPr>
          <w:p>
            <w:pPr>
              <w:spacing w:after="0"/>
            </w:pPr>
            <w:r/>
            <w:r>
              <w:rPr>
                <w:rFonts w:ascii="Aptos" w:hAnsi="Aptos"/>
                <w:b w:val="0"/>
                <w:sz w:val="15"/>
              </w:rPr>
              <w:t>1. Identity/RBAC/taxonomy</w:t>
            </w:r>
          </w:p>
        </w:tc>
        <w:tc>
          <w:tcPr>
            <w:tcW w:type="dxa" w:w="3408"/>
            <w:vAlign w:val="center"/>
            <w:shd w:fill="F2F6F8"/>
          </w:tcPr>
          <w:p>
            <w:pPr>
              <w:spacing w:after="0"/>
            </w:pPr>
            <w:r/>
            <w:r>
              <w:rPr>
                <w:rFonts w:ascii="Aptos" w:hAnsi="Aptos"/>
                <w:b w:val="0"/>
                <w:sz w:val="15"/>
              </w:rPr>
              <w:t>Authentication, user modes, organization ownership, authorization framework, audit, taxonomy and dynamic schemas.</w:t>
            </w:r>
          </w:p>
        </w:tc>
        <w:tc>
          <w:tcPr>
            <w:tcW w:type="dxa" w:w="3408"/>
            <w:vAlign w:val="center"/>
            <w:shd w:fill="F2F6F8"/>
          </w:tcPr>
          <w:p>
            <w:pPr>
              <w:spacing w:after="0"/>
            </w:pPr>
            <w:r/>
            <w:r>
              <w:rPr>
                <w:rFonts w:ascii="Aptos" w:hAnsi="Aptos"/>
                <w:b w:val="0"/>
                <w:sz w:val="15"/>
              </w:rPr>
              <w:t>Tenant isolation and role tests pass.</w:t>
            </w:r>
          </w:p>
        </w:tc>
      </w:tr>
      <w:tr>
        <w:tc>
          <w:tcPr>
            <w:tcW w:type="dxa" w:w="3408"/>
            <w:vAlign w:val="center"/>
          </w:tcPr>
          <w:p>
            <w:pPr>
              <w:spacing w:after="0"/>
            </w:pPr>
            <w:r/>
            <w:r>
              <w:rPr>
                <w:rFonts w:ascii="Aptos" w:hAnsi="Aptos"/>
                <w:b w:val="0"/>
                <w:sz w:val="15"/>
              </w:rPr>
              <w:t>2. Vendor onboarding/listings</w:t>
            </w:r>
          </w:p>
        </w:tc>
        <w:tc>
          <w:tcPr>
            <w:tcW w:type="dxa" w:w="3408"/>
            <w:vAlign w:val="center"/>
          </w:tcPr>
          <w:p>
            <w:pPr>
              <w:spacing w:after="0"/>
            </w:pPr>
            <w:r/>
            <w:r>
              <w:rPr>
                <w:rFonts w:ascii="Aptos" w:hAnsi="Aptos"/>
                <w:b w:val="0"/>
                <w:sz w:val="15"/>
              </w:rPr>
              <w:t>Vendor profiles, documents, verification queues, listing lifecycle, publication gates and duplicate detection.</w:t>
            </w:r>
          </w:p>
        </w:tc>
        <w:tc>
          <w:tcPr>
            <w:tcW w:type="dxa" w:w="3408"/>
            <w:vAlign w:val="center"/>
          </w:tcPr>
          <w:p>
            <w:pPr>
              <w:spacing w:after="0"/>
            </w:pPr>
            <w:r/>
            <w:r>
              <w:rPr>
                <w:rFonts w:ascii="Aptos" w:hAnsi="Aptos"/>
                <w:b w:val="0"/>
                <w:sz w:val="15"/>
              </w:rPr>
              <w:t>Ineligible listing publication is impossible through normal APIs.</w:t>
            </w:r>
          </w:p>
        </w:tc>
      </w:tr>
      <w:tr>
        <w:tc>
          <w:tcPr>
            <w:tcW w:type="dxa" w:w="3408"/>
            <w:vAlign w:val="center"/>
            <w:shd w:fill="F2F6F8"/>
          </w:tcPr>
          <w:p>
            <w:pPr>
              <w:spacing w:after="0"/>
            </w:pPr>
            <w:r/>
            <w:r>
              <w:rPr>
                <w:rFonts w:ascii="Aptos" w:hAnsi="Aptos"/>
                <w:b w:val="0"/>
                <w:sz w:val="15"/>
              </w:rPr>
              <w:t>3. Discovery</w:t>
            </w:r>
          </w:p>
        </w:tc>
        <w:tc>
          <w:tcPr>
            <w:tcW w:type="dxa" w:w="3408"/>
            <w:vAlign w:val="center"/>
            <w:shd w:fill="F2F6F8"/>
          </w:tcPr>
          <w:p>
            <w:pPr>
              <w:spacing w:after="0"/>
            </w:pPr>
            <w:r/>
            <w:r>
              <w:rPr>
                <w:rFonts w:ascii="Aptos" w:hAnsi="Aptos"/>
                <w:b w:val="0"/>
                <w:sz w:val="15"/>
              </w:rPr>
              <w:t>Search, filters, service areas, ranking, vendor detail, favorites, comparison and sponsored labels.</w:t>
            </w:r>
          </w:p>
        </w:tc>
        <w:tc>
          <w:tcPr>
            <w:tcW w:type="dxa" w:w="3408"/>
            <w:vAlign w:val="center"/>
            <w:shd w:fill="F2F6F8"/>
          </w:tcPr>
          <w:p>
            <w:pPr>
              <w:spacing w:after="0"/>
            </w:pPr>
            <w:r/>
            <w:r>
              <w:rPr>
                <w:rFonts w:ascii="Aptos" w:hAnsi="Aptos"/>
                <w:b w:val="0"/>
                <w:sz w:val="15"/>
              </w:rPr>
              <w:t>Search accuracy and empty/missing-data behavior verified.</w:t>
            </w:r>
          </w:p>
        </w:tc>
      </w:tr>
      <w:tr>
        <w:tc>
          <w:tcPr>
            <w:tcW w:type="dxa" w:w="3408"/>
            <w:vAlign w:val="center"/>
          </w:tcPr>
          <w:p>
            <w:pPr>
              <w:spacing w:after="0"/>
            </w:pPr>
            <w:r/>
            <w:r>
              <w:rPr>
                <w:rFonts w:ascii="Aptos" w:hAnsi="Aptos"/>
                <w:b w:val="0"/>
                <w:sz w:val="15"/>
              </w:rPr>
              <w:t>4. Booking/RFQ</w:t>
            </w:r>
          </w:p>
        </w:tc>
        <w:tc>
          <w:tcPr>
            <w:tcW w:type="dxa" w:w="3408"/>
            <w:vAlign w:val="center"/>
          </w:tcPr>
          <w:p>
            <w:pPr>
              <w:spacing w:after="0"/>
            </w:pPr>
            <w:r/>
            <w:r>
              <w:rPr>
                <w:rFonts w:ascii="Aptos" w:hAnsi="Aptos"/>
                <w:b w:val="0"/>
                <w:sz w:val="15"/>
              </w:rPr>
              <w:t>Booking lifecycle, deadlines, changes/cancellation/completion; RFQ revisions, structured quotes and acceptance.</w:t>
            </w:r>
          </w:p>
        </w:tc>
        <w:tc>
          <w:tcPr>
            <w:tcW w:type="dxa" w:w="3408"/>
            <w:vAlign w:val="center"/>
          </w:tcPr>
          <w:p>
            <w:pPr>
              <w:spacing w:after="0"/>
            </w:pPr>
            <w:r/>
            <w:r>
              <w:rPr>
                <w:rFonts w:ascii="Aptos" w:hAnsi="Aptos"/>
                <w:b w:val="0"/>
                <w:sz w:val="15"/>
              </w:rPr>
              <w:t>State-machine, race-condition and idempotency tests pass.</w:t>
            </w:r>
          </w:p>
        </w:tc>
      </w:tr>
      <w:tr>
        <w:tc>
          <w:tcPr>
            <w:tcW w:type="dxa" w:w="3408"/>
            <w:vAlign w:val="center"/>
            <w:shd w:fill="F2F6F8"/>
          </w:tcPr>
          <w:p>
            <w:pPr>
              <w:spacing w:after="0"/>
            </w:pPr>
            <w:r/>
            <w:r>
              <w:rPr>
                <w:rFonts w:ascii="Aptos" w:hAnsi="Aptos"/>
                <w:b w:val="0"/>
                <w:sz w:val="15"/>
              </w:rPr>
              <w:t>5. Communication/subscriptions/support</w:t>
            </w:r>
          </w:p>
        </w:tc>
        <w:tc>
          <w:tcPr>
            <w:tcW w:type="dxa" w:w="3408"/>
            <w:vAlign w:val="center"/>
            <w:shd w:fill="F2F6F8"/>
          </w:tcPr>
          <w:p>
            <w:pPr>
              <w:spacing w:after="0"/>
            </w:pPr>
            <w:r/>
            <w:r>
              <w:rPr>
                <w:rFonts w:ascii="Aptos" w:hAnsi="Aptos"/>
                <w:b w:val="0"/>
                <w:sz w:val="15"/>
              </w:rPr>
              <w:t>Chat, notifications, subscription lifecycle, reviews, reports, cases and admin queues.</w:t>
            </w:r>
          </w:p>
        </w:tc>
        <w:tc>
          <w:tcPr>
            <w:tcW w:type="dxa" w:w="3408"/>
            <w:vAlign w:val="center"/>
            <w:shd w:fill="F2F6F8"/>
          </w:tcPr>
          <w:p>
            <w:pPr>
              <w:spacing w:after="0"/>
            </w:pPr>
            <w:r/>
            <w:r>
              <w:rPr>
                <w:rFonts w:ascii="Aptos" w:hAnsi="Aptos"/>
                <w:b w:val="0"/>
                <w:sz w:val="15"/>
              </w:rPr>
              <w:t>Critical notifications and expiry/recovery workflows pass.</w:t>
            </w:r>
          </w:p>
        </w:tc>
      </w:tr>
      <w:tr>
        <w:tc>
          <w:tcPr>
            <w:tcW w:type="dxa" w:w="3408"/>
            <w:vAlign w:val="center"/>
          </w:tcPr>
          <w:p>
            <w:pPr>
              <w:spacing w:after="0"/>
            </w:pPr>
            <w:r/>
            <w:r>
              <w:rPr>
                <w:rFonts w:ascii="Aptos" w:hAnsi="Aptos"/>
                <w:b w:val="0"/>
                <w:sz w:val="15"/>
              </w:rPr>
              <w:t>6. Release hardening</w:t>
            </w:r>
          </w:p>
        </w:tc>
        <w:tc>
          <w:tcPr>
            <w:tcW w:type="dxa" w:w="3408"/>
            <w:vAlign w:val="center"/>
          </w:tcPr>
          <w:p>
            <w:pPr>
              <w:spacing w:after="0"/>
            </w:pPr>
            <w:r/>
            <w:r>
              <w:rPr>
                <w:rFonts w:ascii="Aptos" w:hAnsi="Aptos"/>
                <w:b w:val="0"/>
                <w:sz w:val="15"/>
              </w:rPr>
              <w:t>Cross-platform QA, performance, security, accessibility, localization, observability, restore and launch operations.</w:t>
            </w:r>
          </w:p>
        </w:tc>
        <w:tc>
          <w:tcPr>
            <w:tcW w:type="dxa" w:w="3408"/>
            <w:vAlign w:val="center"/>
          </w:tcPr>
          <w:p>
            <w:pPr>
              <w:spacing w:after="0"/>
            </w:pPr>
            <w:r/>
            <w:r>
              <w:rPr>
                <w:rFonts w:ascii="Aptos" w:hAnsi="Aptos"/>
                <w:b w:val="0"/>
                <w:sz w:val="15"/>
              </w:rPr>
              <w:t>All release gates signed off.</w:t>
            </w:r>
          </w:p>
        </w:tc>
      </w:tr>
    </w:tbl>
    <w:p>
      <w:pPr>
        <w:spacing w:after="0"/>
      </w:pPr>
    </w:p>
    <w:p>
      <w:bookmarkStart w:id="9026" w:name="gm_c22"/>
      <w:r>
        <w:rPr>
          <w:b/>
        </w:rPr>
        <w:t xml:space="preserve">v3.0 mapping. </w:t>
      </w:r>
      <w:r>
        <w:t xml:space="preserve">Global-ready foundations (geography, currency, locale, market activation, dynamic taxonomy) are delivered in phases 0 to 2. Supplier and manufacturer listings are delivered in phases 2 and 3, and contract bookings together with phase 4. Dashboards span phases 2 to 5. Commission and Payment Mode C are not scheduled and depend on CFG-15 and CFG-16. Launch waves are defined in §26.11.</w:t>
      </w:r>
      <w:bookmarkEnd w:id="9026"/>
    </w:p>
    <w:p>
      <w:r>
        <w:t>No fixed delivery duration is committed here. Estimate after Phase 0 confirms category complexity, third-party providers, migration needs, staffing and platform release constraints.</w:t>
      </w:r>
    </w:p>
    <w:p>
      <w:pPr>
        <w:pStyle w:val="Heading1"/>
      </w:pPr>
      <w:r>
        <w:t>23. Open configuration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53F"/>
          </w:tcPr>
          <w:p>
            <w:pPr>
              <w:spacing w:after="0"/>
            </w:pPr>
            <w:r/>
            <w:r>
              <w:rPr>
                <w:rFonts w:ascii="Aptos" w:hAnsi="Aptos"/>
                <w:b/>
                <w:color w:val="FFFFFF"/>
                <w:sz w:val="16"/>
              </w:rPr>
              <w:t>ID</w:t>
            </w:r>
          </w:p>
        </w:tc>
        <w:tc>
          <w:tcPr>
            <w:tcW w:type="dxa" w:w="3408"/>
            <w:vAlign w:val="center"/>
            <w:shd w:fill="10253F"/>
          </w:tcPr>
          <w:p>
            <w:pPr>
              <w:spacing w:after="0"/>
            </w:pPr>
            <w:r/>
            <w:r>
              <w:rPr>
                <w:rFonts w:ascii="Aptos" w:hAnsi="Aptos"/>
                <w:b/>
                <w:color w:val="FFFFFF"/>
                <w:sz w:val="16"/>
              </w:rPr>
              <w:t>Open item</w:t>
            </w:r>
          </w:p>
        </w:tc>
        <w:tc>
          <w:tcPr>
            <w:tcW w:type="dxa" w:w="3408"/>
            <w:vAlign w:val="center"/>
            <w:shd w:fill="10253F"/>
          </w:tcPr>
          <w:p>
            <w:pPr>
              <w:spacing w:after="0"/>
            </w:pPr>
            <w:r/>
            <w:r>
              <w:rPr>
                <w:rFonts w:ascii="Aptos" w:hAnsi="Aptos"/>
                <w:b/>
                <w:color w:val="FFFFFF"/>
                <w:sz w:val="16"/>
              </w:rPr>
              <w:t>Required decision / owner</w:t>
            </w:r>
          </w:p>
        </w:tc>
      </w:tr>
      <w:tr>
        <w:tc>
          <w:tcPr>
            <w:tcW w:type="dxa" w:w="3408"/>
            <w:vAlign w:val="center"/>
          </w:tcPr>
          <w:p>
            <w:pPr>
              <w:spacing w:after="0"/>
            </w:pPr>
            <w:r/>
            <w:r>
              <w:rPr>
                <w:rFonts w:ascii="Aptos" w:hAnsi="Aptos"/>
                <w:b w:val="0"/>
                <w:sz w:val="15"/>
              </w:rPr>
              <w:t>CFG-01</w:t>
            </w:r>
          </w:p>
        </w:tc>
        <w:tc>
          <w:tcPr>
            <w:tcW w:type="dxa" w:w="3408"/>
            <w:vAlign w:val="center"/>
          </w:tcPr>
          <w:p>
            <w:pPr>
              <w:spacing w:after="0"/>
            </w:pPr>
            <w:r/>
            <w:r>
              <w:rPr>
                <w:rFonts w:ascii="Aptos" w:hAnsi="Aptos"/>
                <w:b w:val="0"/>
                <w:sz w:val="15"/>
              </w:rPr>
              <w:t>Subscription plans/pricing</w:t>
            </w:r>
          </w:p>
        </w:tc>
        <w:tc>
          <w:tcPr>
            <w:tcW w:type="dxa" w:w="3408"/>
            <w:vAlign w:val="center"/>
          </w:tcPr>
          <w:p>
            <w:pPr>
              <w:spacing w:after="0"/>
            </w:pPr>
            <w:r/>
            <w:r>
              <w:rPr>
                <w:rFonts w:ascii="Aptos" w:hAnsi="Aptos"/>
                <w:b w:val="0"/>
                <w:sz w:val="15"/>
              </w:rPr>
              <w:t>Business: plan names, price, billing cadence, taxes, trial policy and entitlements.</w:t>
            </w:r>
          </w:p>
        </w:tc>
      </w:tr>
      <w:tr>
        <w:tc>
          <w:tcPr>
            <w:tcW w:type="dxa" w:w="3408"/>
            <w:vAlign w:val="center"/>
            <w:shd w:fill="F2F6F8"/>
          </w:tcPr>
          <w:p>
            <w:pPr>
              <w:spacing w:after="0"/>
            </w:pPr>
            <w:r/>
            <w:r>
              <w:rPr>
                <w:rFonts w:ascii="Aptos" w:hAnsi="Aptos"/>
                <w:b w:val="0"/>
                <w:sz w:val="15"/>
              </w:rPr>
              <w:t>CFG-02</w:t>
            </w:r>
          </w:p>
        </w:tc>
        <w:tc>
          <w:tcPr>
            <w:tcW w:type="dxa" w:w="3408"/>
            <w:vAlign w:val="center"/>
            <w:shd w:fill="F2F6F8"/>
          </w:tcPr>
          <w:p>
            <w:pPr>
              <w:spacing w:after="0"/>
            </w:pPr>
            <w:r/>
            <w:r>
              <w:rPr>
                <w:rFonts w:ascii="Aptos" w:hAnsi="Aptos"/>
                <w:b w:val="0"/>
                <w:sz w:val="15"/>
              </w:rPr>
              <w:t>Numerical listing/lead limits</w:t>
            </w:r>
          </w:p>
        </w:tc>
        <w:tc>
          <w:tcPr>
            <w:tcW w:type="dxa" w:w="3408"/>
            <w:vAlign w:val="center"/>
            <w:shd w:fill="F2F6F8"/>
          </w:tcPr>
          <w:p>
            <w:pPr>
              <w:spacing w:after="0"/>
            </w:pPr>
            <w:r/>
            <w:r>
              <w:rPr>
                <w:rFonts w:ascii="Aptos" w:hAnsi="Aptos"/>
                <w:b w:val="0"/>
                <w:sz w:val="15"/>
              </w:rPr>
              <w:t>Business/Product: exact caps and how each counted event is defined.</w:t>
            </w:r>
          </w:p>
        </w:tc>
      </w:tr>
      <w:tr>
        <w:tc>
          <w:tcPr>
            <w:tcW w:type="dxa" w:w="3408"/>
            <w:vAlign w:val="center"/>
          </w:tcPr>
          <w:p>
            <w:pPr>
              <w:spacing w:after="0"/>
            </w:pPr>
            <w:r/>
            <w:r>
              <w:rPr>
                <w:rFonts w:ascii="Aptos" w:hAnsi="Aptos"/>
                <w:b w:val="0"/>
                <w:sz w:val="15"/>
              </w:rPr>
              <w:t>CFG-03</w:t>
            </w:r>
          </w:p>
        </w:tc>
        <w:tc>
          <w:tcPr>
            <w:tcW w:type="dxa" w:w="3408"/>
            <w:vAlign w:val="center"/>
          </w:tcPr>
          <w:p>
            <w:pPr>
              <w:spacing w:after="0"/>
            </w:pPr>
            <w:r/>
            <w:r>
              <w:rPr>
                <w:rFonts w:ascii="Aptos" w:hAnsi="Aptos"/>
                <w:b w:val="0"/>
                <w:sz w:val="15"/>
              </w:rPr>
              <w:t>Category workflow matrix</w:t>
            </w:r>
          </w:p>
        </w:tc>
        <w:tc>
          <w:tcPr>
            <w:tcW w:type="dxa" w:w="3408"/>
            <w:vAlign w:val="center"/>
          </w:tcPr>
          <w:p>
            <w:pPr>
              <w:spacing w:after="0"/>
            </w:pPr>
            <w:r/>
            <w:r>
              <w:rPr>
                <w:rFonts w:ascii="Aptos" w:hAnsi="Aptos"/>
                <w:b w:val="0"/>
                <w:sz w:val="15"/>
              </w:rPr>
              <w:t>Product/Operations: booking vs RFQ vs both, required fields, availability model and response deadlines.</w:t>
            </w:r>
          </w:p>
        </w:tc>
      </w:tr>
      <w:tr>
        <w:tc>
          <w:tcPr>
            <w:tcW w:type="dxa" w:w="3408"/>
            <w:vAlign w:val="center"/>
            <w:shd w:fill="F2F6F8"/>
          </w:tcPr>
          <w:p>
            <w:pPr>
              <w:spacing w:after="0"/>
            </w:pPr>
            <w:r/>
            <w:r>
              <w:rPr>
                <w:rFonts w:ascii="Aptos" w:hAnsi="Aptos"/>
                <w:b w:val="0"/>
                <w:sz w:val="15"/>
              </w:rPr>
              <w:t>CFG-04</w:t>
            </w:r>
          </w:p>
        </w:tc>
        <w:tc>
          <w:tcPr>
            <w:tcW w:type="dxa" w:w="3408"/>
            <w:vAlign w:val="center"/>
            <w:shd w:fill="F2F6F8"/>
          </w:tcPr>
          <w:p>
            <w:pPr>
              <w:spacing w:after="0"/>
            </w:pPr>
            <w:r/>
            <w:r>
              <w:rPr>
                <w:rFonts w:ascii="Aptos" w:hAnsi="Aptos"/>
                <w:b w:val="0"/>
                <w:sz w:val="15"/>
              </w:rPr>
              <w:t>Cancellation/no-show policy</w:t>
            </w:r>
          </w:p>
        </w:tc>
        <w:tc>
          <w:tcPr>
            <w:tcW w:type="dxa" w:w="3408"/>
            <w:vAlign w:val="center"/>
            <w:shd w:fill="F2F6F8"/>
          </w:tcPr>
          <w:p>
            <w:pPr>
              <w:spacing w:after="0"/>
            </w:pPr>
            <w:r/>
            <w:r>
              <w:rPr>
                <w:rFonts w:ascii="Aptos" w:hAnsi="Aptos"/>
                <w:b w:val="0"/>
                <w:sz w:val="15"/>
              </w:rPr>
              <w:t>Business/Legal: baseline and category exceptions; disclose before request.</w:t>
            </w:r>
          </w:p>
        </w:tc>
      </w:tr>
      <w:tr>
        <w:tc>
          <w:tcPr>
            <w:tcW w:type="dxa" w:w="3408"/>
            <w:vAlign w:val="center"/>
          </w:tcPr>
          <w:p>
            <w:pPr>
              <w:spacing w:after="0"/>
            </w:pPr>
            <w:r/>
            <w:r>
              <w:rPr>
                <w:rFonts w:ascii="Aptos" w:hAnsi="Aptos"/>
                <w:b w:val="0"/>
                <w:sz w:val="15"/>
              </w:rPr>
              <w:t>CFG-05</w:t>
            </w:r>
          </w:p>
        </w:tc>
        <w:tc>
          <w:tcPr>
            <w:tcW w:type="dxa" w:w="3408"/>
            <w:vAlign w:val="center"/>
          </w:tcPr>
          <w:p>
            <w:pPr>
              <w:spacing w:after="0"/>
            </w:pPr>
            <w:r/>
            <w:r>
              <w:rPr>
                <w:rFonts w:ascii="Aptos" w:hAnsi="Aptos"/>
                <w:b w:val="0"/>
                <w:sz w:val="15"/>
              </w:rPr>
              <w:t>Verification matrix</w:t>
            </w:r>
          </w:p>
        </w:tc>
        <w:tc>
          <w:tcPr>
            <w:tcW w:type="dxa" w:w="3408"/>
            <w:vAlign w:val="center"/>
          </w:tcPr>
          <w:p>
            <w:pPr>
              <w:spacing w:after="0"/>
            </w:pPr>
            <w:r/>
            <w:r>
              <w:rPr>
                <w:rFonts w:ascii="Aptos" w:hAnsi="Aptos"/>
                <w:b w:val="0"/>
                <w:sz w:val="15"/>
              </w:rPr>
              <w:t>Trust/Legal/Operations: required documents/licences by category, reviewer evidence and expiry handling.</w:t>
            </w:r>
          </w:p>
        </w:tc>
      </w:tr>
      <w:tr>
        <w:tc>
          <w:tcPr>
            <w:tcW w:type="dxa" w:w="3408"/>
            <w:vAlign w:val="center"/>
            <w:shd w:fill="F2F6F8"/>
          </w:tcPr>
          <w:p>
            <w:pPr>
              <w:spacing w:after="0"/>
            </w:pPr>
            <w:r/>
            <w:r>
              <w:rPr>
                <w:rFonts w:ascii="Aptos" w:hAnsi="Aptos"/>
                <w:b w:val="0"/>
                <w:sz w:val="15"/>
              </w:rPr>
              <w:t>CFG-06</w:t>
            </w:r>
          </w:p>
        </w:tc>
        <w:tc>
          <w:tcPr>
            <w:tcW w:type="dxa" w:w="3408"/>
            <w:vAlign w:val="center"/>
            <w:shd w:fill="F2F6F8"/>
          </w:tcPr>
          <w:p>
            <w:pPr>
              <w:spacing w:after="0"/>
            </w:pPr>
            <w:r/>
            <w:r>
              <w:rPr>
                <w:rFonts w:ascii="Aptos" w:hAnsi="Aptos"/>
                <w:b w:val="0"/>
                <w:sz w:val="15"/>
              </w:rPr>
              <w:t>Support severity and SLAs</w:t>
            </w:r>
          </w:p>
        </w:tc>
        <w:tc>
          <w:tcPr>
            <w:tcW w:type="dxa" w:w="3408"/>
            <w:vAlign w:val="center"/>
            <w:shd w:fill="F2F6F8"/>
          </w:tcPr>
          <w:p>
            <w:pPr>
              <w:spacing w:after="0"/>
            </w:pPr>
            <w:r/>
            <w:r>
              <w:rPr>
                <w:rFonts w:ascii="Aptos" w:hAnsi="Aptos"/>
                <w:b w:val="0"/>
                <w:sz w:val="15"/>
              </w:rPr>
              <w:t>Operations: severity definitions, coverage hours, response targets and escalation owner.</w:t>
            </w:r>
          </w:p>
        </w:tc>
      </w:tr>
      <w:tr>
        <w:tc>
          <w:tcPr>
            <w:tcW w:type="dxa" w:w="3408"/>
            <w:vAlign w:val="center"/>
          </w:tcPr>
          <w:p>
            <w:pPr>
              <w:spacing w:after="0"/>
            </w:pPr>
            <w:r/>
            <w:r>
              <w:rPr>
                <w:rFonts w:ascii="Aptos" w:hAnsi="Aptos"/>
                <w:b w:val="0"/>
                <w:sz w:val="15"/>
              </w:rPr>
              <w:t>CFG-07</w:t>
            </w:r>
          </w:p>
        </w:tc>
        <w:tc>
          <w:tcPr>
            <w:tcW w:type="dxa" w:w="3408"/>
            <w:vAlign w:val="center"/>
          </w:tcPr>
          <w:p>
            <w:pPr>
              <w:spacing w:after="0"/>
            </w:pPr>
            <w:r/>
            <w:r>
              <w:rPr>
                <w:rFonts w:ascii="Aptos" w:hAnsi="Aptos"/>
                <w:b w:val="0"/>
                <w:sz w:val="15"/>
              </w:rPr>
              <w:t>Providers</w:t>
            </w:r>
          </w:p>
        </w:tc>
        <w:tc>
          <w:tcPr>
            <w:tcW w:type="dxa" w:w="3408"/>
            <w:vAlign w:val="center"/>
          </w:tcPr>
          <w:p>
            <w:pPr>
              <w:spacing w:after="0"/>
            </w:pPr>
            <w:r/>
            <w:r>
              <w:rPr>
                <w:rFonts w:ascii="Aptos" w:hAnsi="Aptos"/>
                <w:b w:val="0"/>
                <w:sz w:val="15"/>
              </w:rPr>
              <w:t>Engineering/Product: OTP/SMS, email/push, maps, billing, storage and malware scanning.</w:t>
            </w:r>
          </w:p>
        </w:tc>
      </w:tr>
      <w:tr>
        <w:tc>
          <w:tcPr>
            <w:tcW w:type="dxa" w:w="3408"/>
            <w:vAlign w:val="center"/>
            <w:shd w:fill="F2F6F8"/>
          </w:tcPr>
          <w:p>
            <w:pPr>
              <w:spacing w:after="0"/>
            </w:pPr>
            <w:r/>
            <w:r>
              <w:rPr>
                <w:rFonts w:ascii="Aptos" w:hAnsi="Aptos"/>
                <w:b w:val="0"/>
                <w:sz w:val="15"/>
              </w:rPr>
              <w:t>CFG-08</w:t>
            </w:r>
          </w:p>
        </w:tc>
        <w:tc>
          <w:tcPr>
            <w:tcW w:type="dxa" w:w="3408"/>
            <w:vAlign w:val="center"/>
            <w:shd w:fill="F2F6F8"/>
          </w:tcPr>
          <w:p>
            <w:pPr>
              <w:spacing w:after="0"/>
            </w:pPr>
            <w:r/>
            <w:r>
              <w:rPr>
                <w:rFonts w:ascii="Aptos" w:hAnsi="Aptos"/>
                <w:b w:val="0"/>
                <w:sz w:val="15"/>
              </w:rPr>
              <w:t>Retention and deletion</w:t>
            </w:r>
          </w:p>
        </w:tc>
        <w:tc>
          <w:tcPr>
            <w:tcW w:type="dxa" w:w="3408"/>
            <w:vAlign w:val="center"/>
            <w:shd w:fill="F2F6F8"/>
          </w:tcPr>
          <w:p>
            <w:pPr>
              <w:spacing w:after="0"/>
            </w:pPr>
            <w:r/>
            <w:r>
              <w:rPr>
                <w:rFonts w:ascii="Aptos" w:hAnsi="Aptos"/>
                <w:b w:val="0"/>
                <w:sz w:val="15"/>
              </w:rPr>
              <w:t>Legal/Security: retention periods, legal holds, deletion/anonymization exceptions.</w:t>
            </w:r>
          </w:p>
        </w:tc>
      </w:tr>
      <w:tr>
        <w:tc>
          <w:tcPr>
            <w:tcW w:type="dxa" w:w="3408"/>
            <w:vAlign w:val="center"/>
          </w:tcPr>
          <w:p>
            <w:pPr>
              <w:spacing w:after="0"/>
            </w:pPr>
            <w:r/>
            <w:r>
              <w:rPr>
                <w:rFonts w:ascii="Aptos" w:hAnsi="Aptos"/>
                <w:b w:val="0"/>
                <w:sz w:val="15"/>
              </w:rPr>
              <w:t>CFG-09</w:t>
            </w:r>
          </w:p>
        </w:tc>
        <w:tc>
          <w:tcPr>
            <w:tcW w:type="dxa" w:w="3408"/>
            <w:vAlign w:val="center"/>
          </w:tcPr>
          <w:p>
            <w:pPr>
              <w:spacing w:after="0"/>
            </w:pPr>
            <w:r/>
            <w:r>
              <w:rPr>
                <w:rFonts w:ascii="Aptos" w:hAnsi="Aptos"/>
                <w:b w:val="0"/>
                <w:sz w:val="15"/>
              </w:rPr>
              <w:t>Performance/recovery targets</w:t>
            </w:r>
          </w:p>
        </w:tc>
        <w:tc>
          <w:tcPr>
            <w:tcW w:type="dxa" w:w="3408"/>
            <w:vAlign w:val="center"/>
          </w:tcPr>
          <w:p>
            <w:pPr>
              <w:spacing w:after="0"/>
            </w:pPr>
            <w:r/>
            <w:r>
              <w:rPr>
                <w:rFonts w:ascii="Aptos" w:hAnsi="Aptos"/>
                <w:b w:val="0"/>
                <w:sz w:val="15"/>
              </w:rPr>
              <w:t>Engineering/Ops: load profile, SLO, RTO/RPO and incident escalation.</w:t>
            </w:r>
          </w:p>
        </w:tc>
      </w:tr>
      <w:tr>
        <w:tc>
          <w:tcPr>
            <w:tcW w:type="dxa" w:w="3408"/>
            <w:vAlign w:val="center"/>
            <w:shd w:fill="F2F6F8"/>
          </w:tcPr>
          <w:p>
            <w:pPr>
              <w:spacing w:after="0"/>
            </w:pPr>
            <w:r/>
            <w:r>
              <w:rPr>
                <w:rFonts w:ascii="Aptos" w:hAnsi="Aptos"/>
                <w:b w:val="0"/>
                <w:sz w:val="15"/>
              </w:rPr>
              <w:t>CFG-10</w:t>
            </w:r>
          </w:p>
        </w:tc>
        <w:tc>
          <w:tcPr>
            <w:tcW w:type="dxa" w:w="3408"/>
            <w:vAlign w:val="center"/>
            <w:shd w:fill="F2F6F8"/>
          </w:tcPr>
          <w:p>
            <w:pPr>
              <w:spacing w:after="0"/>
            </w:pPr>
            <w:r/>
            <w:r>
              <w:rPr>
                <w:rFonts w:ascii="Aptos" w:hAnsi="Aptos"/>
                <w:b w:val="0"/>
                <w:sz w:val="15"/>
              </w:rPr>
              <w:t>Notification copy</w:t>
            </w:r>
          </w:p>
        </w:tc>
        <w:tc>
          <w:tcPr>
            <w:tcW w:type="dxa" w:w="3408"/>
            <w:vAlign w:val="center"/>
            <w:shd w:fill="F2F6F8"/>
          </w:tcPr>
          <w:p>
            <w:pPr>
              <w:spacing w:after="0"/>
            </w:pPr>
            <w:r/>
            <w:r>
              <w:rPr>
                <w:rFonts w:ascii="Aptos" w:hAnsi="Aptos"/>
                <w:b w:val="0"/>
                <w:sz w:val="15"/>
              </w:rPr>
              <w:t>Product/Legal: localized templates, required vs optional channels and consent wording.</w:t>
            </w:r>
          </w:p>
        </w:tc>
      </w:tr>
      <w:tr>
        <w:tc>
          <w:tcPr>
            <w:tcW w:type="dxa" w:w="3408"/>
            <w:vAlign w:val="center"/>
          </w:tcPr>
          <w:p>
            <w:pPr>
              <w:spacing w:after="0"/>
            </w:pPr>
            <w:r/>
            <w:r>
              <w:rPr>
                <w:rFonts w:ascii="Aptos" w:hAnsi="Aptos"/>
                <w:b w:val="0"/>
                <w:sz w:val="15"/>
              </w:rPr>
              <w:t>CFG-11</w:t>
            </w:r>
          </w:p>
        </w:tc>
        <w:tc>
          <w:tcPr>
            <w:tcW w:type="dxa" w:w="3408"/>
            <w:vAlign w:val="center"/>
          </w:tcPr>
          <w:p>
            <w:pPr>
              <w:spacing w:after="0"/>
            </w:pPr>
            <w:r/>
            <w:r>
              <w:rPr>
                <w:rFonts w:ascii="Aptos" w:hAnsi="Aptos"/>
                <w:b w:val="0"/>
                <w:sz w:val="15"/>
              </w:rPr>
              <w:t>Moderation policy</w:t>
            </w:r>
          </w:p>
        </w:tc>
        <w:tc>
          <w:tcPr>
            <w:tcW w:type="dxa" w:w="3408"/>
            <w:vAlign w:val="center"/>
          </w:tcPr>
          <w:p>
            <w:pPr>
              <w:spacing w:after="0"/>
            </w:pPr>
            <w:r/>
            <w:r>
              <w:rPr>
                <w:rFonts w:ascii="Aptos" w:hAnsi="Aptos"/>
                <w:b w:val="0"/>
                <w:sz w:val="15"/>
              </w:rPr>
              <w:t>Trust/Legal: prohibited content, severity thresholds, appeal timing and emergency actions.</w:t>
            </w:r>
          </w:p>
        </w:tc>
      </w:tr>
      <w:tr>
        <w:tc>
          <w:tcPr>
            <w:tcW w:type="dxa" w:w="3408"/>
            <w:vAlign w:val="center"/>
            <w:shd w:fill="F2F6F8"/>
          </w:tcPr>
          <w:p>
            <w:pPr>
              <w:spacing w:after="0"/>
            </w:pPr>
            <w:r/>
            <w:r>
              <w:rPr>
                <w:rFonts w:ascii="Aptos" w:hAnsi="Aptos"/>
                <w:b w:val="0"/>
                <w:sz w:val="15"/>
              </w:rPr>
              <w:t>CFG-12</w:t>
            </w:r>
          </w:p>
        </w:tc>
        <w:tc>
          <w:tcPr>
            <w:tcW w:type="dxa" w:w="3408"/>
            <w:vAlign w:val="center"/>
            <w:shd w:fill="F2F6F8"/>
          </w:tcPr>
          <w:p>
            <w:pPr>
              <w:spacing w:after="0"/>
            </w:pPr>
            <w:r/>
            <w:r>
              <w:rPr>
                <w:rFonts w:ascii="Aptos" w:hAnsi="Aptos"/>
                <w:b w:val="0"/>
                <w:sz w:val="15"/>
              </w:rPr>
              <w:t>Brand clearance</w:t>
            </w:r>
          </w:p>
        </w:tc>
        <w:tc>
          <w:tcPr>
            <w:tcW w:type="dxa" w:w="3408"/>
            <w:vAlign w:val="center"/>
            <w:shd w:fill="F2F6F8"/>
          </w:tcPr>
          <w:p>
            <w:pPr>
              <w:spacing w:after="0"/>
            </w:pPr>
            <w:r/>
            <w:r>
              <w:rPr>
                <w:rFonts w:ascii="Aptos" w:hAnsi="Aptos"/>
                <w:b w:val="0"/>
                <w:sz w:val="15"/>
              </w:rPr>
              <w:t>Business: trademark/domain clearance for VendorVerse before public launch.</w:t>
            </w:r>
          </w:p>
        </w:tc>
      </w:tr>
      <w:tr>
        <w:trPr>
          <w:cantSplit/>
        </w:trPr>
        <w:tc>
          <w:tcPr>
            <w:tcW w:type="dxa" w:w="3408"/>
            <w:vAlign w:val="center"/>
          </w:tcPr>
          <w:p>
            <w:pPr>
              <w:spacing w:after="0"/>
            </w:pPr>
            <w:bookmarkStart w:id="9027" w:name="gm_c23_row"/>
            <w:r/>
            <w:r>
              <w:rPr>
                <w:rFonts w:ascii="Aptos" w:hAnsi="Aptos"/>
                <w:b w:val="0"/>
                <w:sz w:val="15"/>
              </w:rPr>
              <w:t xml:space="preserve">CFG-13</w:t>
            </w:r>
            <w:bookmarkEnd w:id="9027"/>
          </w:p>
        </w:tc>
        <w:tc>
          <w:tcPr>
            <w:tcW w:type="dxa" w:w="3408"/>
            <w:vAlign w:val="center"/>
          </w:tcPr>
          <w:p>
            <w:pPr>
              <w:spacing w:after="0"/>
            </w:pPr>
            <w:r/>
            <w:r>
              <w:rPr>
                <w:rFonts w:ascii="Aptos" w:hAnsi="Aptos"/>
                <w:b w:val="0"/>
                <w:sz w:val="15"/>
              </w:rPr>
              <w:t xml:space="preserve">Launch Market Register</w:t>
            </w:r>
          </w:p>
        </w:tc>
        <w:tc>
          <w:tcPr>
            <w:tcW w:type="dxa" w:w="3408"/>
            <w:vAlign w:val="center"/>
          </w:tcPr>
          <w:p>
            <w:pPr>
              <w:spacing w:after="0"/>
            </w:pPr>
            <w:r/>
            <w:r>
              <w:rPr>
                <w:rFonts w:ascii="Aptos" w:hAnsi="Aptos"/>
                <w:b w:val="0"/>
                <w:sz w:val="15"/>
              </w:rPr>
              <w:t xml:space="preserve">Business/Operations: initial cities and categories, minimum supply per category and launch order.</w:t>
            </w:r>
          </w:p>
        </w:tc>
      </w:tr>
      <w:tr>
        <w:trPr>
          <w:cantSplit/>
        </w:trPr>
        <w:tc>
          <w:tcPr>
            <w:tcW w:type="dxa" w:w="3408"/>
            <w:vAlign w:val="center"/>
            <w:shd w:fill="F2F6F8"/>
          </w:tcPr>
          <w:p>
            <w:pPr>
              <w:spacing w:after="0"/>
            </w:pPr>
            <w:r/>
            <w:r>
              <w:rPr>
                <w:rFonts w:ascii="Aptos" w:hAnsi="Aptos"/>
                <w:b w:val="0"/>
                <w:sz w:val="15"/>
              </w:rPr>
              <w:t xml:space="preserve">CFG-14</w:t>
            </w:r>
          </w:p>
        </w:tc>
        <w:tc>
          <w:tcPr>
            <w:tcW w:type="dxa" w:w="3408"/>
            <w:vAlign w:val="center"/>
            <w:shd w:fill="F2F6F8"/>
          </w:tcPr>
          <w:p>
            <w:pPr>
              <w:spacing w:after="0"/>
            </w:pPr>
            <w:r/>
            <w:r>
              <w:rPr>
                <w:rFonts w:ascii="Aptos" w:hAnsi="Aptos"/>
                <w:b w:val="0"/>
                <w:sz w:val="15"/>
              </w:rPr>
              <w:t xml:space="preserve">Country activation criteria</w:t>
            </w:r>
          </w:p>
        </w:tc>
        <w:tc>
          <w:tcPr>
            <w:tcW w:type="dxa" w:w="3408"/>
            <w:vAlign w:val="center"/>
            <w:shd w:fill="F2F6F8"/>
          </w:tcPr>
          <w:p>
            <w:pPr>
              <w:spacing w:after="0"/>
            </w:pPr>
            <w:r/>
            <w:r>
              <w:rPr>
                <w:rFonts w:ascii="Aptos" w:hAnsi="Aptos"/>
                <w:b w:val="0"/>
                <w:sz w:val="15"/>
              </w:rPr>
              <w:t xml:space="preserve">Business/Legal/Operations: checklist, approvers, privacy and data-residency position and thresholds for opening a new country.</w:t>
            </w:r>
          </w:p>
        </w:tc>
      </w:tr>
      <w:tr>
        <w:trPr>
          <w:cantSplit/>
        </w:trPr>
        <w:tc>
          <w:tcPr>
            <w:tcW w:type="dxa" w:w="3408"/>
            <w:vAlign w:val="center"/>
          </w:tcPr>
          <w:p>
            <w:pPr>
              <w:spacing w:after="0"/>
            </w:pPr>
            <w:r/>
            <w:r>
              <w:rPr>
                <w:rFonts w:ascii="Aptos" w:hAnsi="Aptos"/>
                <w:b w:val="0"/>
                <w:sz w:val="15"/>
              </w:rPr>
              <w:t xml:space="preserve">CFG-15</w:t>
            </w:r>
          </w:p>
        </w:tc>
        <w:tc>
          <w:tcPr>
            <w:tcW w:type="dxa" w:w="3408"/>
            <w:vAlign w:val="center"/>
          </w:tcPr>
          <w:p>
            <w:pPr>
              <w:spacing w:after="0"/>
            </w:pPr>
            <w:r/>
            <w:r>
              <w:rPr>
                <w:rFonts w:ascii="Aptos" w:hAnsi="Aptos"/>
                <w:b w:val="0"/>
                <w:sz w:val="15"/>
              </w:rPr>
              <w:t xml:space="preserve">Commission model</w:t>
            </w:r>
          </w:p>
        </w:tc>
        <w:tc>
          <w:tcPr>
            <w:tcW w:type="dxa" w:w="3408"/>
            <w:vAlign w:val="center"/>
          </w:tcPr>
          <w:p>
            <w:pPr>
              <w:spacing w:after="0"/>
            </w:pPr>
            <w:r/>
            <w:r>
              <w:rPr>
                <w:rFonts w:ascii="Aptos" w:hAnsi="Aptos"/>
                <w:b w:val="0"/>
                <w:sz w:val="15"/>
              </w:rPr>
              <w:t xml:space="preserve">Business/Finance/Legal: whether and where commission applies, rates, who pays, refund and reversal rules.</w:t>
            </w:r>
          </w:p>
        </w:tc>
      </w:tr>
      <w:tr>
        <w:trPr>
          <w:cantSplit/>
        </w:trPr>
        <w:tc>
          <w:tcPr>
            <w:tcW w:type="dxa" w:w="3408"/>
            <w:vAlign w:val="center"/>
            <w:shd w:fill="F2F6F8"/>
          </w:tcPr>
          <w:p>
            <w:pPr>
              <w:spacing w:after="0"/>
            </w:pPr>
            <w:r/>
            <w:r>
              <w:rPr>
                <w:rFonts w:ascii="Aptos" w:hAnsi="Aptos"/>
                <w:b w:val="0"/>
                <w:sz w:val="15"/>
              </w:rPr>
              <w:t xml:space="preserve">CFG-16</w:t>
            </w:r>
          </w:p>
        </w:tc>
        <w:tc>
          <w:tcPr>
            <w:tcW w:type="dxa" w:w="3408"/>
            <w:vAlign w:val="center"/>
            <w:shd w:fill="F2F6F8"/>
          </w:tcPr>
          <w:p>
            <w:pPr>
              <w:spacing w:after="0"/>
            </w:pPr>
            <w:r/>
            <w:r>
              <w:rPr>
                <w:rFonts w:ascii="Aptos" w:hAnsi="Aptos"/>
                <w:b w:val="0"/>
                <w:sz w:val="15"/>
              </w:rPr>
              <w:t xml:space="preserve">Currencies, taxes and payment providers by country</w:t>
            </w:r>
          </w:p>
        </w:tc>
        <w:tc>
          <w:tcPr>
            <w:tcW w:type="dxa" w:w="3408"/>
            <w:vAlign w:val="center"/>
            <w:shd w:fill="F2F6F8"/>
          </w:tcPr>
          <w:p>
            <w:pPr>
              <w:spacing w:after="0"/>
            </w:pPr>
            <w:r/>
            <w:r>
              <w:rPr>
                <w:rFonts w:ascii="Aptos" w:hAnsi="Aptos"/>
                <w:b w:val="0"/>
                <w:sz w:val="15"/>
              </w:rPr>
              <w:t xml:space="preserve">Finance/Legal/Engineering: supported currencies, tax registrations, invoicing rules and licensed providers.</w:t>
            </w:r>
          </w:p>
        </w:tc>
      </w:tr>
      <w:tr>
        <w:trPr>
          <w:cantSplit/>
        </w:trPr>
        <w:tc>
          <w:tcPr>
            <w:tcW w:type="dxa" w:w="3408"/>
            <w:vAlign w:val="center"/>
          </w:tcPr>
          <w:p>
            <w:pPr>
              <w:spacing w:after="0"/>
            </w:pPr>
            <w:r/>
            <w:r>
              <w:rPr>
                <w:rFonts w:ascii="Aptos" w:hAnsi="Aptos"/>
                <w:b w:val="0"/>
                <w:sz w:val="15"/>
              </w:rPr>
              <w:t xml:space="preserve">CFG-17</w:t>
            </w:r>
          </w:p>
        </w:tc>
        <w:tc>
          <w:tcPr>
            <w:tcW w:type="dxa" w:w="3408"/>
            <w:vAlign w:val="center"/>
          </w:tcPr>
          <w:p>
            <w:pPr>
              <w:spacing w:after="0"/>
            </w:pPr>
            <w:r/>
            <w:r>
              <w:rPr>
                <w:rFonts w:ascii="Aptos" w:hAnsi="Aptos"/>
                <w:b w:val="0"/>
                <w:sz w:val="15"/>
              </w:rPr>
              <w:t xml:space="preserve">Contract templates and legal position</w:t>
            </w:r>
          </w:p>
        </w:tc>
        <w:tc>
          <w:tcPr>
            <w:tcW w:type="dxa" w:w="3408"/>
            <w:vAlign w:val="center"/>
          </w:tcPr>
          <w:p>
            <w:pPr>
              <w:spacing w:after="0"/>
            </w:pPr>
            <w:r/>
            <w:r>
              <w:rPr>
                <w:rFonts w:ascii="Aptos" w:hAnsi="Aptos"/>
                <w:b w:val="0"/>
                <w:sz w:val="15"/>
              </w:rPr>
              <w:t xml:space="preserve">Legal: approved templates and clauses per country, platform role and e-acceptance requirements.</w:t>
            </w:r>
          </w:p>
        </w:tc>
      </w:tr>
      <w:tr>
        <w:trPr>
          <w:cantSplit/>
        </w:trPr>
        <w:tc>
          <w:tcPr>
            <w:tcW w:type="dxa" w:w="3408"/>
            <w:vAlign w:val="center"/>
            <w:shd w:fill="F2F6F8"/>
          </w:tcPr>
          <w:p>
            <w:pPr>
              <w:spacing w:after="0"/>
            </w:pPr>
            <w:r/>
            <w:r>
              <w:rPr>
                <w:rFonts w:ascii="Aptos" w:hAnsi="Aptos"/>
                <w:b w:val="0"/>
                <w:sz w:val="15"/>
              </w:rPr>
              <w:t xml:space="preserve">CFG-18</w:t>
            </w:r>
          </w:p>
        </w:tc>
        <w:tc>
          <w:tcPr>
            <w:tcW w:type="dxa" w:w="3408"/>
            <w:vAlign w:val="center"/>
            <w:shd w:fill="F2F6F8"/>
          </w:tcPr>
          <w:p>
            <w:pPr>
              <w:spacing w:after="0"/>
            </w:pPr>
            <w:r/>
            <w:r>
              <w:rPr>
                <w:rFonts w:ascii="Aptos" w:hAnsi="Aptos"/>
                <w:b w:val="0"/>
                <w:sz w:val="15"/>
              </w:rPr>
              <w:t xml:space="preserve">Global verification matrix</w:t>
            </w:r>
          </w:p>
        </w:tc>
        <w:tc>
          <w:tcPr>
            <w:tcW w:type="dxa" w:w="3408"/>
            <w:vAlign w:val="center"/>
            <w:shd w:fill="F2F6F8"/>
          </w:tcPr>
          <w:p>
            <w:pPr>
              <w:spacing w:after="0"/>
            </w:pPr>
            <w:r/>
            <w:r>
              <w:rPr>
                <w:rFonts w:ascii="Aptos" w:hAnsi="Aptos"/>
                <w:b w:val="0"/>
                <w:sz w:val="15"/>
              </w:rPr>
              <w:t xml:space="preserve">Trust/Legal/Operations: evidence by country and category for levels L1 to L4, including screening duties.</w:t>
            </w:r>
          </w:p>
        </w:tc>
      </w:tr>
      <w:tr>
        <w:trPr>
          <w:cantSplit/>
        </w:trPr>
        <w:tc>
          <w:tcPr>
            <w:tcW w:type="dxa" w:w="3408"/>
            <w:vAlign w:val="center"/>
          </w:tcPr>
          <w:p>
            <w:pPr>
              <w:spacing w:after="0"/>
            </w:pPr>
            <w:r/>
            <w:r>
              <w:rPr>
                <w:rFonts w:ascii="Aptos" w:hAnsi="Aptos"/>
                <w:b w:val="0"/>
                <w:sz w:val="15"/>
              </w:rPr>
              <w:t xml:space="preserve">CFG-19</w:t>
            </w:r>
          </w:p>
        </w:tc>
        <w:tc>
          <w:tcPr>
            <w:tcW w:type="dxa" w:w="3408"/>
            <w:vAlign w:val="center"/>
          </w:tcPr>
          <w:p>
            <w:pPr>
              <w:spacing w:after="0"/>
            </w:pPr>
            <w:r/>
            <w:r>
              <w:rPr>
                <w:rFonts w:ascii="Aptos" w:hAnsi="Aptos"/>
                <w:b w:val="0"/>
                <w:sz w:val="15"/>
              </w:rPr>
              <w:t xml:space="preserve">Supported languages and scripts</w:t>
            </w:r>
          </w:p>
        </w:tc>
        <w:tc>
          <w:tcPr>
            <w:tcW w:type="dxa" w:w="3408"/>
            <w:vAlign w:val="center"/>
          </w:tcPr>
          <w:p>
            <w:pPr>
              <w:spacing w:after="0"/>
            </w:pPr>
            <w:r/>
            <w:r>
              <w:rPr>
                <w:rFonts w:ascii="Aptos" w:hAnsi="Aptos"/>
                <w:b w:val="0"/>
                <w:sz w:val="15"/>
              </w:rPr>
              <w:t xml:space="preserve">Product/Operations: language list per wave, right-to-left scope and translation ownership.</w:t>
            </w:r>
          </w:p>
        </w:tc>
      </w:tr>
    </w:tbl>
    <w:p>
      <w:pPr>
        <w:spacing w:after="0"/>
      </w:pPr>
    </w:p>
    <w:p>
      <w:r>
        <w:t>These items do not reopen confirmed product decisions. They identify configuration and implementation details that should be completed in discovery or before the dependent feature is released.</w:t>
      </w:r>
    </w:p>
    <w:p>
      <w:pPr>
        <w:pStyle w:val="Heading1"/>
      </w:pPr>
      <w:r>
        <w:t>24. Deferred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Capability</w:t>
            </w:r>
          </w:p>
        </w:tc>
        <w:tc>
          <w:tcPr>
            <w:tcW w:type="dxa" w:w="5112"/>
            <w:vAlign w:val="center"/>
            <w:shd w:fill="10253F"/>
          </w:tcPr>
          <w:p>
            <w:pPr>
              <w:spacing w:after="0"/>
            </w:pPr>
            <w:r/>
            <w:r>
              <w:rPr>
                <w:rFonts w:ascii="Aptos" w:hAnsi="Aptos"/>
                <w:b/>
                <w:color w:val="FFFFFF"/>
                <w:sz w:val="16"/>
              </w:rPr>
              <w:t>Why deferred / boundary</w:t>
            </w:r>
          </w:p>
        </w:tc>
      </w:tr>
      <w:tr>
        <w:tc>
          <w:tcPr>
            <w:tcW w:type="dxa" w:w="5112"/>
            <w:vAlign w:val="center"/>
          </w:tcPr>
          <w:p>
            <w:pPr>
              <w:spacing w:after="0"/>
            </w:pPr>
            <w:r/>
            <w:r>
              <w:rPr>
                <w:rFonts w:ascii="Aptos" w:hAnsi="Aptos"/>
                <w:b w:val="0"/>
                <w:sz w:val="15"/>
              </w:rPr>
              <w:t>Product orders, cart, inventory, shipping and returns</w:t>
            </w:r>
          </w:p>
        </w:tc>
        <w:tc>
          <w:tcPr>
            <w:tcW w:type="dxa" w:w="5112"/>
            <w:vAlign w:val="center"/>
          </w:tcPr>
          <w:p>
            <w:pPr>
              <w:spacing w:after="0"/>
            </w:pPr>
            <w:r/>
            <w:r>
              <w:rPr>
                <w:rFonts w:ascii="Aptos" w:hAnsi="Aptos"/>
                <w:b w:val="0"/>
                <w:sz w:val="15"/>
              </w:rPr>
              <w:t>Release 1 focuses on service booking/RFQ; do not create partial checkout accidentally.</w:t>
            </w:r>
          </w:p>
        </w:tc>
      </w:tr>
      <w:tr>
        <w:tc>
          <w:tcPr>
            <w:tcW w:type="dxa" w:w="5112"/>
            <w:vAlign w:val="center"/>
            <w:shd w:fill="F2F6F8"/>
          </w:tcPr>
          <w:p>
            <w:pPr>
              <w:spacing w:after="0"/>
            </w:pPr>
            <w:r/>
            <w:r>
              <w:rPr>
                <w:rFonts w:ascii="Aptos" w:hAnsi="Aptos"/>
                <w:b w:val="0"/>
                <w:sz w:val="15"/>
              </w:rPr>
              <w:t>Platform-held payments, escrow, payout and transaction commissions</w:t>
            </w:r>
          </w:p>
        </w:tc>
        <w:tc>
          <w:tcPr>
            <w:tcW w:type="dxa" w:w="5112"/>
            <w:vAlign w:val="center"/>
            <w:shd w:fill="F2F6F8"/>
          </w:tcPr>
          <w:p>
            <w:pPr>
              <w:spacing w:after="0"/>
            </w:pPr>
            <w:r/>
            <w:r>
              <w:rPr>
                <w:rFonts w:ascii="Aptos" w:hAnsi="Aptos"/>
                <w:b w:val="0"/>
                <w:sz w:val="15"/>
              </w:rPr>
              <w:t>Not part of the Release 1 baseline (direct payment). Designed as gated Payment Mode C (§26.9); enable only after CFG-15 and CFG-16 and legal review.</w:t>
            </w:r>
          </w:p>
        </w:tc>
      </w:tr>
      <w:tr>
        <w:tc>
          <w:tcPr>
            <w:tcW w:type="dxa" w:w="5112"/>
            <w:vAlign w:val="center"/>
          </w:tcPr>
          <w:p>
            <w:pPr>
              <w:spacing w:after="0"/>
            </w:pPr>
            <w:r/>
            <w:r>
              <w:rPr>
                <w:rFonts w:ascii="Aptos" w:hAnsi="Aptos"/>
                <w:b w:val="0"/>
                <w:sz w:val="15"/>
              </w:rPr>
              <w:t>Vendor staff accounts and delegated roles</w:t>
            </w:r>
          </w:p>
        </w:tc>
        <w:tc>
          <w:tcPr>
            <w:tcW w:type="dxa" w:w="5112"/>
            <w:vAlign w:val="center"/>
          </w:tcPr>
          <w:p>
            <w:pPr>
              <w:spacing w:after="0"/>
            </w:pPr>
            <w:r/>
            <w:r>
              <w:rPr>
                <w:rFonts w:ascii="Aptos" w:hAnsi="Aptos"/>
                <w:b w:val="0"/>
                <w:sz w:val="15"/>
              </w:rPr>
              <w:t>Owner-only vendor management is confirmed for initial release.</w:t>
            </w:r>
          </w:p>
        </w:tc>
      </w:tr>
      <w:tr>
        <w:tc>
          <w:tcPr>
            <w:tcW w:type="dxa" w:w="5112"/>
            <w:vAlign w:val="center"/>
            <w:shd w:fill="F2F6F8"/>
          </w:tcPr>
          <w:p>
            <w:pPr>
              <w:spacing w:after="0"/>
            </w:pPr>
            <w:r/>
            <w:r>
              <w:rPr>
                <w:rFonts w:ascii="Aptos" w:hAnsi="Aptos"/>
                <w:b w:val="0"/>
                <w:sz w:val="15"/>
              </w:rPr>
              <w:t>Enterprise procurement approvals, purchase orders and budgets</w:t>
            </w:r>
          </w:p>
        </w:tc>
        <w:tc>
          <w:tcPr>
            <w:tcW w:type="dxa" w:w="5112"/>
            <w:vAlign w:val="center"/>
            <w:shd w:fill="F2F6F8"/>
          </w:tcPr>
          <w:p>
            <w:pPr>
              <w:spacing w:after="0"/>
            </w:pPr>
            <w:r/>
            <w:r>
              <w:rPr>
                <w:rFonts w:ascii="Aptos" w:hAnsi="Aptos"/>
                <w:b w:val="0"/>
                <w:sz w:val="15"/>
              </w:rPr>
              <w:t>Business customers use core RFQ workflows; enterprise governance is later scope.</w:t>
            </w:r>
          </w:p>
        </w:tc>
      </w:tr>
      <w:tr>
        <w:tc>
          <w:tcPr>
            <w:tcW w:type="dxa" w:w="5112"/>
            <w:vAlign w:val="center"/>
          </w:tcPr>
          <w:p>
            <w:pPr>
              <w:spacing w:after="0"/>
            </w:pPr>
            <w:r/>
            <w:r>
              <w:rPr>
                <w:rFonts w:ascii="Aptos" w:hAnsi="Aptos"/>
                <w:b w:val="0"/>
                <w:sz w:val="15"/>
              </w:rPr>
              <w:t>Multi-vendor project plans, milestones and work packages</w:t>
            </w:r>
          </w:p>
        </w:tc>
        <w:tc>
          <w:tcPr>
            <w:tcW w:type="dxa" w:w="5112"/>
            <w:vAlign w:val="center"/>
          </w:tcPr>
          <w:p>
            <w:pPr>
              <w:spacing w:after="0"/>
            </w:pPr>
            <w:r/>
            <w:r>
              <w:rPr>
                <w:rFonts w:ascii="Aptos" w:hAnsi="Aptos"/>
                <w:b w:val="0"/>
                <w:sz w:val="15"/>
              </w:rPr>
              <w:t>Future operational expansion.</w:t>
            </w:r>
          </w:p>
        </w:tc>
      </w:tr>
      <w:tr>
        <w:tc>
          <w:tcPr>
            <w:tcW w:type="dxa" w:w="5112"/>
            <w:vAlign w:val="center"/>
            <w:shd w:fill="F2F6F8"/>
          </w:tcPr>
          <w:p>
            <w:pPr>
              <w:spacing w:after="0"/>
            </w:pPr>
            <w:r/>
            <w:r>
              <w:rPr>
                <w:rFonts w:ascii="Aptos" w:hAnsi="Aptos"/>
                <w:b w:val="0"/>
                <w:sz w:val="15"/>
              </w:rPr>
              <w:t>AI search/price estimation/agents</w:t>
            </w:r>
          </w:p>
        </w:tc>
        <w:tc>
          <w:tcPr>
            <w:tcW w:type="dxa" w:w="5112"/>
            <w:vAlign w:val="center"/>
            <w:shd w:fill="F2F6F8"/>
          </w:tcPr>
          <w:p>
            <w:pPr>
              <w:spacing w:after="0"/>
            </w:pPr>
            <w:r/>
            <w:r>
              <w:rPr>
                <w:rFonts w:ascii="Aptos" w:hAnsi="Aptos"/>
                <w:b w:val="0"/>
                <w:sz w:val="15"/>
              </w:rPr>
              <w:t>Future scope; must be evaluated for accuracy, transparency and safe failure.</w:t>
            </w:r>
          </w:p>
        </w:tc>
      </w:tr>
      <w:tr>
        <w:tc>
          <w:tcPr>
            <w:tcW w:type="dxa" w:w="5112"/>
            <w:vAlign w:val="center"/>
          </w:tcPr>
          <w:p>
            <w:pPr>
              <w:spacing w:after="0"/>
            </w:pPr>
            <w:r/>
            <w:r>
              <w:rPr>
                <w:rFonts w:ascii="Aptos" w:hAnsi="Aptos"/>
                <w:b w:val="0"/>
                <w:sz w:val="15"/>
              </w:rPr>
              <w:t>Field staff GPS/offline sync/warranty/asset management</w:t>
            </w:r>
          </w:p>
        </w:tc>
        <w:tc>
          <w:tcPr>
            <w:tcW w:type="dxa" w:w="5112"/>
            <w:vAlign w:val="center"/>
          </w:tcPr>
          <w:p>
            <w:pPr>
              <w:spacing w:after="0"/>
            </w:pPr>
            <w:r/>
            <w:r>
              <w:rPr>
                <w:rFonts w:ascii="Aptos" w:hAnsi="Aptos"/>
                <w:b w:val="0"/>
                <w:sz w:val="15"/>
              </w:rPr>
              <w:t>Future field-operations modules.</w:t>
            </w:r>
          </w:p>
        </w:tc>
      </w:tr>
      <w:tr>
        <w:tc>
          <w:tcPr>
            <w:tcW w:type="dxa" w:w="5112"/>
            <w:vAlign w:val="center"/>
            <w:shd w:fill="F2F6F8"/>
          </w:tcPr>
          <w:p>
            <w:pPr>
              <w:spacing w:after="0"/>
            </w:pPr>
            <w:r/>
            <w:r>
              <w:rPr>
                <w:rFonts w:ascii="Aptos" w:hAnsi="Aptos"/>
                <w:b w:val="0"/>
                <w:sz w:val="15"/>
              </w:rPr>
              <w:t>Advanced ad bidding and analytics</w:t>
            </w:r>
          </w:p>
        </w:tc>
        <w:tc>
          <w:tcPr>
            <w:tcW w:type="dxa" w:w="5112"/>
            <w:vAlign w:val="center"/>
            <w:shd w:fill="F2F6F8"/>
          </w:tcPr>
          <w:p>
            <w:pPr>
              <w:spacing w:after="0"/>
            </w:pPr>
            <w:r/>
            <w:r>
              <w:rPr>
                <w:rFonts w:ascii="Aptos" w:hAnsi="Aptos"/>
                <w:b w:val="0"/>
                <w:sz w:val="15"/>
              </w:rPr>
              <w:t>Sponsored visibility concept is included, but advanced ad platform may be phased.</w:t>
            </w:r>
          </w:p>
        </w:tc>
      </w:tr>
      <w:tr>
        <w:tc>
          <w:tcPr>
            <w:tcW w:type="dxa" w:w="5112"/>
            <w:vAlign w:val="center"/>
          </w:tcPr>
          <w:p>
            <w:pPr>
              <w:spacing w:after="0"/>
            </w:pPr>
            <w:r/>
            <w:r>
              <w:rPr>
                <w:rFonts w:ascii="Aptos" w:hAnsi="Aptos"/>
                <w:b w:val="0"/>
                <w:sz w:val="15"/>
              </w:rPr>
              <w:t>International launch</w:t>
            </w:r>
          </w:p>
        </w:tc>
        <w:tc>
          <w:tcPr>
            <w:tcW w:type="dxa" w:w="5112"/>
            <w:vAlign w:val="center"/>
          </w:tcPr>
          <w:p>
            <w:pPr>
              <w:spacing w:after="0"/>
            </w:pPr>
            <w:r/>
            <w:r>
              <w:rPr>
                <w:rFonts w:ascii="Aptos" w:hAnsi="Aptos"/>
                <w:b w:val="0"/>
                <w:sz w:val="15"/>
              </w:rPr>
              <w:t>The architecture is global-ready (§26.11); each country's public launch requires a country-activation review (CFG-14).</w:t>
            </w:r>
          </w:p>
        </w:tc>
      </w:tr>
    </w:tbl>
    <w:p>
      <w:pPr>
        <w:spacing w:after="0"/>
      </w:pPr>
    </w:p>
    <w:p>
      <w:pPr>
        <w:pStyle w:val="Heading1"/>
      </w:pPr>
      <w:r>
        <w:t>25. Glossary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53F"/>
          </w:tcPr>
          <w:p>
            <w:pPr>
              <w:spacing w:after="0"/>
            </w:pPr>
            <w:r/>
            <w:r>
              <w:rPr>
                <w:rFonts w:ascii="Aptos" w:hAnsi="Aptos"/>
                <w:b/>
                <w:color w:val="FFFFFF"/>
                <w:sz w:val="16"/>
              </w:rPr>
              <w:t>Term</w:t>
            </w:r>
          </w:p>
        </w:tc>
        <w:tc>
          <w:tcPr>
            <w:tcW w:type="dxa" w:w="5112"/>
            <w:vAlign w:val="center"/>
            <w:shd w:fill="10253F"/>
          </w:tcPr>
          <w:p>
            <w:pPr>
              <w:spacing w:after="0"/>
            </w:pPr>
            <w:r/>
            <w:r>
              <w:rPr>
                <w:rFonts w:ascii="Aptos" w:hAnsi="Aptos"/>
                <w:b/>
                <w:color w:val="FFFFFF"/>
                <w:sz w:val="16"/>
              </w:rPr>
              <w:t>Definition</w:t>
            </w:r>
          </w:p>
        </w:tc>
      </w:tr>
      <w:tr>
        <w:tc>
          <w:tcPr>
            <w:tcW w:type="dxa" w:w="5112"/>
            <w:vAlign w:val="center"/>
          </w:tcPr>
          <w:p>
            <w:pPr>
              <w:spacing w:after="0"/>
            </w:pPr>
            <w:r/>
            <w:r>
              <w:rPr>
                <w:rFonts w:ascii="Aptos" w:hAnsi="Aptos"/>
                <w:b w:val="0"/>
                <w:sz w:val="15"/>
              </w:rPr>
              <w:t>RBAC</w:t>
            </w:r>
          </w:p>
        </w:tc>
        <w:tc>
          <w:tcPr>
            <w:tcW w:type="dxa" w:w="5112"/>
            <w:vAlign w:val="center"/>
          </w:tcPr>
          <w:p>
            <w:pPr>
              <w:spacing w:after="0"/>
            </w:pPr>
            <w:r/>
            <w:r>
              <w:rPr>
                <w:rFonts w:ascii="Aptos" w:hAnsi="Aptos"/>
                <w:b w:val="0"/>
                <w:sz w:val="15"/>
              </w:rPr>
              <w:t>Role-based access control; combined with ownership, state and scope checks.</w:t>
            </w:r>
          </w:p>
        </w:tc>
      </w:tr>
      <w:tr>
        <w:tc>
          <w:tcPr>
            <w:tcW w:type="dxa" w:w="5112"/>
            <w:vAlign w:val="center"/>
            <w:shd w:fill="F2F6F8"/>
          </w:tcPr>
          <w:p>
            <w:pPr>
              <w:spacing w:after="0"/>
            </w:pPr>
            <w:r/>
            <w:r>
              <w:rPr>
                <w:rFonts w:ascii="Aptos" w:hAnsi="Aptos"/>
                <w:b w:val="0"/>
                <w:sz w:val="15"/>
              </w:rPr>
              <w:t>RFQ</w:t>
            </w:r>
          </w:p>
        </w:tc>
        <w:tc>
          <w:tcPr>
            <w:tcW w:type="dxa" w:w="5112"/>
            <w:vAlign w:val="center"/>
            <w:shd w:fill="F2F6F8"/>
          </w:tcPr>
          <w:p>
            <w:pPr>
              <w:spacing w:after="0"/>
            </w:pPr>
            <w:r/>
            <w:r>
              <w:rPr>
                <w:rFonts w:ascii="Aptos" w:hAnsi="Aptos"/>
                <w:b w:val="0"/>
                <w:sz w:val="15"/>
              </w:rPr>
              <w:t>Request for quotation submitted by a customer to invite vendor offers.</w:t>
            </w:r>
          </w:p>
        </w:tc>
      </w:tr>
      <w:tr>
        <w:tc>
          <w:tcPr>
            <w:tcW w:type="dxa" w:w="5112"/>
            <w:vAlign w:val="center"/>
          </w:tcPr>
          <w:p>
            <w:pPr>
              <w:spacing w:after="0"/>
            </w:pPr>
            <w:r/>
            <w:r>
              <w:rPr>
                <w:rFonts w:ascii="Aptos" w:hAnsi="Aptos"/>
                <w:b w:val="0"/>
                <w:sz w:val="15"/>
              </w:rPr>
              <w:t>Quotation</w:t>
            </w:r>
          </w:p>
        </w:tc>
        <w:tc>
          <w:tcPr>
            <w:tcW w:type="dxa" w:w="5112"/>
            <w:vAlign w:val="center"/>
          </w:tcPr>
          <w:p>
            <w:pPr>
              <w:spacing w:after="0"/>
            </w:pPr>
            <w:r/>
            <w:r>
              <w:rPr>
                <w:rFonts w:ascii="Aptos" w:hAnsi="Aptos"/>
                <w:b w:val="0"/>
                <w:sz w:val="15"/>
              </w:rPr>
              <w:t>Structured vendor offer containing price, scope, inclusions/exclusions, timeline and validity.</w:t>
            </w:r>
          </w:p>
        </w:tc>
      </w:tr>
      <w:tr>
        <w:tc>
          <w:tcPr>
            <w:tcW w:type="dxa" w:w="5112"/>
            <w:vAlign w:val="center"/>
            <w:shd w:fill="F2F6F8"/>
          </w:tcPr>
          <w:p>
            <w:pPr>
              <w:spacing w:after="0"/>
            </w:pPr>
            <w:r/>
            <w:r>
              <w:rPr>
                <w:rFonts w:ascii="Aptos" w:hAnsi="Aptos"/>
                <w:b w:val="0"/>
                <w:sz w:val="15"/>
              </w:rPr>
              <w:t>Publication eligibility</w:t>
            </w:r>
          </w:p>
        </w:tc>
        <w:tc>
          <w:tcPr>
            <w:tcW w:type="dxa" w:w="5112"/>
            <w:vAlign w:val="center"/>
            <w:shd w:fill="F2F6F8"/>
          </w:tcPr>
          <w:p>
            <w:pPr>
              <w:spacing w:after="0"/>
            </w:pPr>
            <w:r/>
            <w:r>
              <w:rPr>
                <w:rFonts w:ascii="Aptos" w:hAnsi="Aptos"/>
                <w:b w:val="0"/>
                <w:sz w:val="15"/>
              </w:rPr>
              <w:t>Combined permission to publish based on account state, subscription, content review and applicable verification.</w:t>
            </w:r>
          </w:p>
        </w:tc>
      </w:tr>
      <w:tr>
        <w:tc>
          <w:tcPr>
            <w:tcW w:type="dxa" w:w="5112"/>
            <w:vAlign w:val="center"/>
          </w:tcPr>
          <w:p>
            <w:pPr>
              <w:spacing w:after="0"/>
            </w:pPr>
            <w:r/>
            <w:r>
              <w:rPr>
                <w:rFonts w:ascii="Aptos" w:hAnsi="Aptos"/>
                <w:b w:val="0"/>
                <w:sz w:val="15"/>
              </w:rPr>
              <w:t>Verification</w:t>
            </w:r>
          </w:p>
        </w:tc>
        <w:tc>
          <w:tcPr>
            <w:tcW w:type="dxa" w:w="5112"/>
            <w:vAlign w:val="center"/>
          </w:tcPr>
          <w:p>
            <w:pPr>
              <w:spacing w:after="0"/>
            </w:pPr>
            <w:r/>
            <w:r>
              <w:rPr>
                <w:rFonts w:ascii="Aptos" w:hAnsi="Aptos"/>
                <w:b w:val="0"/>
                <w:sz w:val="15"/>
              </w:rPr>
              <w:t>Checks actually completed and recorded; distinct from subscription or general membership.</w:t>
            </w:r>
          </w:p>
        </w:tc>
      </w:tr>
      <w:tr>
        <w:tc>
          <w:tcPr>
            <w:tcW w:type="dxa" w:w="5112"/>
            <w:vAlign w:val="center"/>
            <w:shd w:fill="F2F6F8"/>
          </w:tcPr>
          <w:p>
            <w:pPr>
              <w:spacing w:after="0"/>
            </w:pPr>
            <w:r/>
            <w:r>
              <w:rPr>
                <w:rFonts w:ascii="Aptos" w:hAnsi="Aptos"/>
                <w:b w:val="0"/>
                <w:sz w:val="15"/>
              </w:rPr>
              <w:t>Sponsored placement</w:t>
            </w:r>
          </w:p>
        </w:tc>
        <w:tc>
          <w:tcPr>
            <w:tcW w:type="dxa" w:w="5112"/>
            <w:vAlign w:val="center"/>
            <w:shd w:fill="F2F6F8"/>
          </w:tcPr>
          <w:p>
            <w:pPr>
              <w:spacing w:after="0"/>
            </w:pPr>
            <w:r/>
            <w:r>
              <w:rPr>
                <w:rFonts w:ascii="Aptos" w:hAnsi="Aptos"/>
                <w:b w:val="0"/>
                <w:sz w:val="15"/>
              </w:rPr>
              <w:t>Paid visibility clearly labelled as sponsored and subject to normal eligibility/safety gates.</w:t>
            </w:r>
          </w:p>
        </w:tc>
      </w:tr>
      <w:tr>
        <w:tc>
          <w:tcPr>
            <w:tcW w:type="dxa" w:w="5112"/>
            <w:vAlign w:val="center"/>
          </w:tcPr>
          <w:p>
            <w:pPr>
              <w:spacing w:after="0"/>
            </w:pPr>
            <w:r/>
            <w:r>
              <w:rPr>
                <w:rFonts w:ascii="Aptos" w:hAnsi="Aptos"/>
                <w:b w:val="0"/>
                <w:sz w:val="15"/>
              </w:rPr>
              <w:t>Tenant isolation</w:t>
            </w:r>
          </w:p>
        </w:tc>
        <w:tc>
          <w:tcPr>
            <w:tcW w:type="dxa" w:w="5112"/>
            <w:vAlign w:val="center"/>
          </w:tcPr>
          <w:p>
            <w:pPr>
              <w:spacing w:after="0"/>
            </w:pPr>
            <w:r/>
            <w:r>
              <w:rPr>
                <w:rFonts w:ascii="Aptos" w:hAnsi="Aptos"/>
                <w:b w:val="0"/>
                <w:sz w:val="15"/>
              </w:rPr>
              <w:t>Protection preventing one vendor organization from accessing another's private data.</w:t>
            </w:r>
          </w:p>
        </w:tc>
      </w:tr>
      <w:tr>
        <w:tc>
          <w:tcPr>
            <w:tcW w:type="dxa" w:w="5112"/>
            <w:vAlign w:val="center"/>
            <w:shd w:fill="F2F6F8"/>
          </w:tcPr>
          <w:p>
            <w:pPr>
              <w:spacing w:after="0"/>
            </w:pPr>
            <w:r/>
            <w:r>
              <w:rPr>
                <w:rFonts w:ascii="Aptos" w:hAnsi="Aptos"/>
                <w:b w:val="0"/>
                <w:sz w:val="15"/>
              </w:rPr>
              <w:t>Idempotency</w:t>
            </w:r>
          </w:p>
        </w:tc>
        <w:tc>
          <w:tcPr>
            <w:tcW w:type="dxa" w:w="5112"/>
            <w:vAlign w:val="center"/>
            <w:shd w:fill="F2F6F8"/>
          </w:tcPr>
          <w:p>
            <w:pPr>
              <w:spacing w:after="0"/>
            </w:pPr>
            <w:r/>
            <w:r>
              <w:rPr>
                <w:rFonts w:ascii="Aptos" w:hAnsi="Aptos"/>
                <w:b w:val="0"/>
                <w:sz w:val="15"/>
              </w:rPr>
              <w:t>Repeated delivery/request has one logical effect rather than duplicating a transaction.</w:t>
            </w:r>
          </w:p>
        </w:tc>
      </w:tr>
      <w:tr>
        <w:tc>
          <w:tcPr>
            <w:tcW w:type="dxa" w:w="5112"/>
            <w:vAlign w:val="center"/>
          </w:tcPr>
          <w:p>
            <w:pPr>
              <w:spacing w:after="0"/>
            </w:pPr>
            <w:r/>
            <w:r>
              <w:rPr>
                <w:rFonts w:ascii="Aptos" w:hAnsi="Aptos"/>
                <w:b w:val="0"/>
                <w:sz w:val="15"/>
              </w:rPr>
              <w:t>Accepted terms snapshot</w:t>
            </w:r>
          </w:p>
        </w:tc>
        <w:tc>
          <w:tcPr>
            <w:tcW w:type="dxa" w:w="5112"/>
            <w:vAlign w:val="center"/>
          </w:tcPr>
          <w:p>
            <w:pPr>
              <w:spacing w:after="0"/>
            </w:pPr>
            <w:r/>
            <w:r>
              <w:rPr>
                <w:rFonts w:ascii="Aptos" w:hAnsi="Aptos"/>
                <w:b w:val="0"/>
                <w:sz w:val="15"/>
              </w:rPr>
              <w:t>Immutable record of the exact terms agreed at booking/quotation acceptance.</w:t>
            </w:r>
          </w:p>
        </w:tc>
      </w:tr>
      <w:tr>
        <w:trPr>
          <w:cantSplit/>
        </w:trPr>
        <w:tc>
          <w:tcPr>
            <w:tcW w:type="dxa" w:w="5112"/>
            <w:vAlign w:val="center"/>
            <w:shd w:fill="F2F6F8"/>
          </w:tcPr>
          <w:p>
            <w:pPr>
              <w:spacing w:after="0"/>
            </w:pPr>
            <w:bookmarkStart w:id="9028" w:name="gm_c25_row"/>
            <w:r/>
            <w:r>
              <w:rPr>
                <w:rFonts w:ascii="Aptos" w:hAnsi="Aptos"/>
                <w:b w:val="0"/>
                <w:sz w:val="15"/>
              </w:rPr>
              <w:t xml:space="preserve">Booking mode</w:t>
            </w:r>
            <w:bookmarkEnd w:id="9028"/>
          </w:p>
        </w:tc>
        <w:tc>
          <w:tcPr>
            <w:tcW w:type="dxa" w:w="5112"/>
            <w:vAlign w:val="center"/>
            <w:shd w:fill="F2F6F8"/>
          </w:tcPr>
          <w:p>
            <w:pPr>
              <w:spacing w:after="0"/>
            </w:pPr>
            <w:r/>
            <w:r>
              <w:rPr>
                <w:rFonts w:ascii="Aptos" w:hAnsi="Aptos"/>
                <w:b w:val="0"/>
                <w:sz w:val="15"/>
              </w:rPr>
              <w:t xml:space="preserve">One of instant, scheduled, RFQ or contract; enabled per category or listing (§26.5).</w:t>
            </w:r>
          </w:p>
        </w:tc>
      </w:tr>
      <w:tr>
        <w:trPr>
          <w:cantSplit/>
        </w:trPr>
        <w:tc>
          <w:tcPr>
            <w:tcW w:type="dxa" w:w="5112"/>
            <w:vAlign w:val="center"/>
          </w:tcPr>
          <w:p>
            <w:pPr>
              <w:spacing w:after="0"/>
            </w:pPr>
            <w:r/>
            <w:r>
              <w:rPr>
                <w:rFonts w:ascii="Aptos" w:hAnsi="Aptos"/>
                <w:b w:val="0"/>
                <w:sz w:val="15"/>
              </w:rPr>
              <w:t xml:space="preserve">Contract booking</w:t>
            </w:r>
          </w:p>
        </w:tc>
        <w:tc>
          <w:tcPr>
            <w:tcW w:type="dxa" w:w="5112"/>
            <w:vAlign w:val="center"/>
          </w:tcPr>
          <w:p>
            <w:pPr>
              <w:spacing w:after="0"/>
            </w:pPr>
            <w:r/>
            <w:r>
              <w:rPr>
                <w:rFonts w:ascii="Aptos" w:hAnsi="Aptos"/>
                <w:b w:val="0"/>
                <w:sz w:val="15"/>
              </w:rPr>
              <w:t xml:space="preserve">Ongoing or multi-phase engagement with versioned terms accepted by both parties (§26.5.1).</w:t>
            </w:r>
          </w:p>
        </w:tc>
      </w:tr>
      <w:tr>
        <w:trPr>
          <w:cantSplit/>
        </w:trPr>
        <w:tc>
          <w:tcPr>
            <w:tcW w:type="dxa" w:w="5112"/>
            <w:vAlign w:val="center"/>
            <w:shd w:fill="F2F6F8"/>
          </w:tcPr>
          <w:p>
            <w:pPr>
              <w:spacing w:after="0"/>
            </w:pPr>
            <w:r/>
            <w:r>
              <w:rPr>
                <w:rFonts w:ascii="Aptos" w:hAnsi="Aptos"/>
                <w:b w:val="0"/>
                <w:sz w:val="15"/>
              </w:rPr>
              <w:t xml:space="preserve">Country activation</w:t>
            </w:r>
          </w:p>
        </w:tc>
        <w:tc>
          <w:tcPr>
            <w:tcW w:type="dxa" w:w="5112"/>
            <w:vAlign w:val="center"/>
            <w:shd w:fill="F2F6F8"/>
          </w:tcPr>
          <w:p>
            <w:pPr>
              <w:spacing w:after="0"/>
            </w:pPr>
            <w:r/>
            <w:r>
              <w:rPr>
                <w:rFonts w:ascii="Aptos" w:hAnsi="Aptos"/>
                <w:b w:val="0"/>
                <w:sz w:val="15"/>
              </w:rPr>
              <w:t xml:space="preserve">Controlled decision that makes a country or city publicly live after checklist and dual approval (§26.11).</w:t>
            </w:r>
          </w:p>
        </w:tc>
      </w:tr>
      <w:tr>
        <w:trPr>
          <w:cantSplit/>
        </w:trPr>
        <w:tc>
          <w:tcPr>
            <w:tcW w:type="dxa" w:w="5112"/>
            <w:vAlign w:val="center"/>
          </w:tcPr>
          <w:p>
            <w:pPr>
              <w:spacing w:after="0"/>
            </w:pPr>
            <w:r/>
            <w:r>
              <w:rPr>
                <w:rFonts w:ascii="Aptos" w:hAnsi="Aptos"/>
                <w:b w:val="0"/>
                <w:sz w:val="15"/>
              </w:rPr>
              <w:t xml:space="preserve">Launch Market Register</w:t>
            </w:r>
          </w:p>
        </w:tc>
        <w:tc>
          <w:tcPr>
            <w:tcW w:type="dxa" w:w="5112"/>
            <w:vAlign w:val="center"/>
          </w:tcPr>
          <w:p>
            <w:pPr>
              <w:spacing w:after="0"/>
            </w:pPr>
            <w:r/>
            <w:r>
              <w:rPr>
                <w:rFonts w:ascii="Aptos" w:hAnsi="Aptos"/>
                <w:b w:val="0"/>
                <w:sz w:val="15"/>
              </w:rPr>
              <w:t xml:space="preserve">Admin-managed record of live and planned markets, categories, languages, currencies and payment modes.</w:t>
            </w:r>
          </w:p>
        </w:tc>
      </w:tr>
      <w:tr>
        <w:trPr>
          <w:cantSplit/>
        </w:trPr>
        <w:tc>
          <w:tcPr>
            <w:tcW w:type="dxa" w:w="5112"/>
            <w:vAlign w:val="center"/>
            <w:shd w:fill="F2F6F8"/>
          </w:tcPr>
          <w:p>
            <w:pPr>
              <w:spacing w:after="0"/>
            </w:pPr>
            <w:r/>
            <w:r>
              <w:rPr>
                <w:rFonts w:ascii="Aptos" w:hAnsi="Aptos"/>
                <w:b w:val="0"/>
                <w:sz w:val="15"/>
              </w:rPr>
              <w:t xml:space="preserve">Payment mode</w:t>
            </w:r>
          </w:p>
        </w:tc>
        <w:tc>
          <w:tcPr>
            <w:tcW w:type="dxa" w:w="5112"/>
            <w:vAlign w:val="center"/>
            <w:shd w:fill="F2F6F8"/>
          </w:tcPr>
          <w:p>
            <w:pPr>
              <w:spacing w:after="0"/>
            </w:pPr>
            <w:r/>
            <w:r>
              <w:rPr>
                <w:rFonts w:ascii="Aptos" w:hAnsi="Aptos"/>
                <w:b w:val="0"/>
                <w:sz w:val="15"/>
              </w:rPr>
              <w:t xml:space="preserve">A: direct payment; B: invoice/offline terms; C: platform-facilitated payment with commission (gated).</w:t>
            </w:r>
          </w:p>
        </w:tc>
      </w:tr>
      <w:tr>
        <w:trPr>
          <w:cantSplit/>
        </w:trPr>
        <w:tc>
          <w:tcPr>
            <w:tcW w:type="dxa" w:w="5112"/>
            <w:vAlign w:val="center"/>
          </w:tcPr>
          <w:p>
            <w:pPr>
              <w:spacing w:after="0"/>
            </w:pPr>
            <w:r/>
            <w:r>
              <w:rPr>
                <w:rFonts w:ascii="Aptos" w:hAnsi="Aptos"/>
                <w:b w:val="0"/>
                <w:sz w:val="15"/>
              </w:rPr>
              <w:t xml:space="preserve">Verification level</w:t>
            </w:r>
          </w:p>
        </w:tc>
        <w:tc>
          <w:tcPr>
            <w:tcW w:type="dxa" w:w="5112"/>
            <w:vAlign w:val="center"/>
          </w:tcPr>
          <w:p>
            <w:pPr>
              <w:spacing w:after="0"/>
            </w:pPr>
            <w:r/>
            <w:r>
              <w:rPr>
                <w:rFonts w:ascii="Aptos" w:hAnsi="Aptos"/>
                <w:b w:val="0"/>
                <w:sz w:val="15"/>
              </w:rPr>
              <w:t xml:space="preserve">L0 to L4 scale describing which evidence has been checked and when (§26.6).</w:t>
            </w:r>
          </w:p>
        </w:tc>
      </w:tr>
    </w:tbl>
    <w:p>
      <w:pPr>
        <w:spacing w:after="0"/>
      </w:pPr>
    </w:p>
    <w:p>
      <w:pPr>
        <w:pStyle w:val="Heading1"/>
      </w:pPr>
      <w:bookmarkStart w:id="9029" w:name="gm_ch26"/>
      <w:r>
        <w:t xml:space="preserve">26. Global marketplace extension (v3.0)</w:t>
      </w:r>
      <w:bookmarkEnd w:id="9029"/>
    </w:p>
    <w:p>
      <w:r>
        <w:t xml:space="preserve">This chapter extends chapters 1–25 for VendorVerse's positioning as a global universal vendor marketplace covering every industry, category, service provider, supplier, manufacturer, contractor and business vendor worldwide. The architecture is global from day one; the initial public launch is limited to selected cities and categories and expands in controlled waves (§26.11).</w:t>
      </w:r>
    </w:p>
    <w:p>
      <w:pPr>
        <w:pStyle w:val="ListBullet"/>
      </w:pPr>
      <w:r>
        <w:rPr>
          <w:b/>
        </w:rPr>
        <w:t xml:space="preserve">Precedence. </w:t>
      </w:r>
      <w:r>
        <w:t xml:space="preserve">Where this chapter conflicts with an earlier chapter on geographic scope, market scope or payment scope, this chapter takes precedence. Every other rule — RBAC, state machines, publication gates, auditability and missing-data transparency — continues to apply unchanged.</w:t>
      </w:r>
    </w:p>
    <w:p>
      <w:pPr>
        <w:pStyle w:val="ListBullet"/>
      </w:pPr>
      <w:r>
        <w:rPr>
          <w:b/>
        </w:rPr>
        <w:t xml:space="preserve">Requirement language. </w:t>
      </w:r>
      <w:r>
        <w:t xml:space="preserve">Requirement IDs use the prefix GM- so that each rule can be traced to a test. “Must” applies to the release wave in which the capability is enabled (§26.11); capabilities marked “gated” are specified but remain disabled until their open decisions are closed.</w:t>
      </w:r>
    </w:p>
    <w:p>
      <w:pPr>
        <w:pStyle w:val="ListBullet"/>
      </w:pPr>
      <w:r>
        <w:rPr>
          <w:b/>
        </w:rPr>
        <w:t xml:space="preserve">Open decisions. </w:t>
      </w:r>
      <w:r>
        <w:t xml:space="preserve">Items that need a business, legal or commercial decision are not assumed here. They are recorded as CFG-13 to CFG-19 in chapter 23.</w:t>
      </w:r>
    </w:p>
    <w:p>
      <w:pPr>
        <w:pStyle w:val="ListBullet"/>
      </w:pPr>
      <w:r>
        <w:rPr>
          <w:b/>
        </w:rPr>
        <w:t xml:space="preserve">Simplified RBAC. </w:t>
      </w:r>
      <w:r>
        <w:t xml:space="preserve">The four roles (Customer, Vendor, Sales Agent, Super Admin) are unchanged. No new roles are introduced.</w:t>
      </w:r>
    </w:p>
    <w:p>
      <w:pPr>
        <w:pStyle w:val="Heading2"/>
      </w:pPr>
      <w:bookmarkStart w:id="9030" w:name="gm_s261"/>
      <w:r>
        <w:t xml:space="preserve">26.1 Global marketplace branding and homepage</w:t>
      </w:r>
      <w:bookmarkEnd w:id="9030"/>
    </w:p>
    <w:p>
      <w:r>
        <w:t xml:space="preserve">VendorVerse is presented as one brand for all markets, not as a local directory. Brand copy, imagery and navigation must not imply a single country, city or industry. Working positioning line (subject to CFG-12 clearance): “Find and work with trusted vendors, anywhere.”</w:t>
      </w:r>
    </w:p>
    <w:tbl>
      <w:tblPr>
        <w:tblStyle w:val="TableGrid"/>
        <w:tblW w:type="auto" w:w="0"/>
        <w:jc w:val="center"/>
        <w:tblLook w:firstColumn="1" w:firstRow="1" w:lastColumn="0" w:lastRow="0" w:noHBand="0" w:noVBand="1" w:val="04A0"/>
      </w:tblPr>
      <w:tblGrid>
        <w:gridCol w:w="1500"/>
        <w:gridCol w:w="8724"/>
      </w:tblGrid>
      <w:tr>
        <w:trPr>
          <w:cantSplit/>
          <w:tblHeader/>
        </w:trPr>
        <w:tc>
          <w:tcPr>
            <w:tcW w:type="dxa" w:w="1500"/>
            <w:vAlign w:val="center"/>
            <w:shd w:fill="10253F"/>
          </w:tcPr>
          <w:p>
            <w:pPr>
              <w:spacing w:after="0"/>
            </w:pPr>
            <w:r/>
            <w:r>
              <w:rPr>
                <w:rFonts w:ascii="Aptos" w:hAnsi="Aptos"/>
                <w:b/>
                <w:color w:val="FFFFFF"/>
                <w:sz w:val="16"/>
              </w:rPr>
              <w:t xml:space="preserve">ID</w:t>
            </w:r>
          </w:p>
        </w:tc>
        <w:tc>
          <w:tcPr>
            <w:tcW w:type="dxa" w:w="8724"/>
            <w:vAlign w:val="center"/>
            <w:shd w:fill="10253F"/>
          </w:tcPr>
          <w:p>
            <w:pPr>
              <w:spacing w:after="0"/>
            </w:pPr>
            <w:r/>
            <w:r>
              <w:rPr>
                <w:rFonts w:ascii="Aptos" w:hAnsi="Aptos"/>
                <w:b/>
                <w:color w:val="FFFFFF"/>
                <w:sz w:val="16"/>
              </w:rPr>
              <w:t xml:space="preserve">Requirement</w:t>
            </w:r>
          </w:p>
        </w:tc>
      </w:tr>
      <w:tr>
        <w:trPr>
          <w:cantSplit/>
        </w:trPr>
        <w:tc>
          <w:tcPr>
            <w:tcW w:type="dxa" w:w="1500"/>
            <w:vAlign w:val="center"/>
          </w:tcPr>
          <w:p>
            <w:pPr>
              <w:spacing w:after="0"/>
            </w:pPr>
            <w:r/>
            <w:r>
              <w:rPr>
                <w:rFonts w:ascii="Aptos" w:hAnsi="Aptos"/>
                <w:b w:val="0"/>
                <w:sz w:val="15"/>
              </w:rPr>
              <w:t xml:space="preserve">GM-01</w:t>
            </w:r>
          </w:p>
        </w:tc>
        <w:tc>
          <w:tcPr>
            <w:tcW w:type="dxa" w:w="8724"/>
            <w:vAlign w:val="center"/>
          </w:tcPr>
          <w:p>
            <w:pPr>
              <w:spacing w:after="0"/>
            </w:pPr>
            <w:r/>
            <w:r>
              <w:rPr>
                <w:rFonts w:ascii="Aptos" w:hAnsi="Aptos"/>
                <w:b w:val="0"/>
                <w:sz w:val="15"/>
              </w:rPr>
              <w:t xml:space="preserve">Brand: the global shell (logo, name, navigation, default copy) must be industry-neutral and country-neutral. Taglines and marketing copy are localizable. Brand clearance (CFG-12) must cover all launch and planned markets.</w:t>
            </w:r>
          </w:p>
        </w:tc>
      </w:tr>
      <w:tr>
        <w:trPr>
          <w:cantSplit/>
        </w:trPr>
        <w:tc>
          <w:tcPr>
            <w:tcW w:type="dxa" w:w="1500"/>
            <w:vAlign w:val="center"/>
            <w:shd w:fill="F2F6F8"/>
          </w:tcPr>
          <w:p>
            <w:pPr>
              <w:spacing w:after="0"/>
            </w:pPr>
            <w:r/>
            <w:r>
              <w:rPr>
                <w:rFonts w:ascii="Aptos" w:hAnsi="Aptos"/>
                <w:b w:val="0"/>
                <w:sz w:val="15"/>
              </w:rPr>
              <w:t xml:space="preserve">GM-02</w:t>
            </w:r>
          </w:p>
        </w:tc>
        <w:tc>
          <w:tcPr>
            <w:tcW w:type="dxa" w:w="8724"/>
            <w:vAlign w:val="center"/>
            <w:shd w:fill="F2F6F8"/>
          </w:tcPr>
          <w:p>
            <w:pPr>
              <w:spacing w:after="0"/>
            </w:pPr>
            <w:r/>
            <w:r>
              <w:rPr>
                <w:rFonts w:ascii="Aptos" w:hAnsi="Aptos"/>
                <w:b w:val="0"/>
                <w:sz w:val="15"/>
              </w:rPr>
              <w:t xml:space="preserve">Hero search: one search with “What do you need?” and “Where?” fields. “Where” accepts a country, state/region, city or postal code. It defaults to a detected or last-used location that the user can confirm or change. Location detection requires consent and never blocks search.</w:t>
            </w:r>
          </w:p>
        </w:tc>
      </w:tr>
      <w:tr>
        <w:trPr>
          <w:cantSplit/>
        </w:trPr>
        <w:tc>
          <w:tcPr>
            <w:tcW w:type="dxa" w:w="1500"/>
            <w:vAlign w:val="center"/>
          </w:tcPr>
          <w:p>
            <w:pPr>
              <w:spacing w:after="0"/>
            </w:pPr>
            <w:r/>
            <w:r>
              <w:rPr>
                <w:rFonts w:ascii="Aptos" w:hAnsi="Aptos"/>
                <w:b w:val="0"/>
                <w:sz w:val="15"/>
              </w:rPr>
              <w:t xml:space="preserve">GM-03</w:t>
            </w:r>
          </w:p>
        </w:tc>
        <w:tc>
          <w:tcPr>
            <w:tcW w:type="dxa" w:w="8724"/>
            <w:vAlign w:val="center"/>
          </w:tcPr>
          <w:p>
            <w:pPr>
              <w:spacing w:after="0"/>
            </w:pPr>
            <w:r/>
            <w:r>
              <w:rPr>
                <w:rFonts w:ascii="Aptos" w:hAnsi="Aptos"/>
                <w:b w:val="0"/>
                <w:sz w:val="15"/>
              </w:rPr>
              <w:t xml:space="preserve">Region controls: country/region, language and currency selectors appear in the header and footer. Choices persist to the profile for signed-in users and to the device otherwise.</w:t>
            </w:r>
          </w:p>
        </w:tc>
      </w:tr>
      <w:tr>
        <w:trPr>
          <w:cantSplit/>
        </w:trPr>
        <w:tc>
          <w:tcPr>
            <w:tcW w:type="dxa" w:w="1500"/>
            <w:vAlign w:val="center"/>
            <w:shd w:fill="F2F6F8"/>
          </w:tcPr>
          <w:p>
            <w:pPr>
              <w:spacing w:after="0"/>
            </w:pPr>
            <w:r/>
            <w:r>
              <w:rPr>
                <w:rFonts w:ascii="Aptos" w:hAnsi="Aptos"/>
                <w:b w:val="0"/>
                <w:sz w:val="15"/>
              </w:rPr>
              <w:t xml:space="preserve">GM-04</w:t>
            </w:r>
          </w:p>
        </w:tc>
        <w:tc>
          <w:tcPr>
            <w:tcW w:type="dxa" w:w="8724"/>
            <w:vAlign w:val="center"/>
            <w:shd w:fill="F2F6F8"/>
          </w:tcPr>
          <w:p>
            <w:pPr>
              <w:spacing w:after="0"/>
            </w:pPr>
            <w:r/>
            <w:r>
              <w:rPr>
                <w:rFonts w:ascii="Aptos" w:hAnsi="Aptos"/>
                <w:b w:val="0"/>
                <w:sz w:val="15"/>
              </w:rPr>
              <w:t xml:space="preserve">Dynamic category explorer: homepage categories are read from the live taxonomy (§26.2), ordered by active-market demand and admin curation. Only categories with eligible listings in the selected market are shown, unless an admin marks a category “always show”.</w:t>
            </w:r>
          </w:p>
        </w:tc>
      </w:tr>
      <w:tr>
        <w:trPr>
          <w:cantSplit/>
        </w:trPr>
        <w:tc>
          <w:tcPr>
            <w:tcW w:type="dxa" w:w="1500"/>
            <w:vAlign w:val="center"/>
          </w:tcPr>
          <w:p>
            <w:pPr>
              <w:spacing w:after="0"/>
            </w:pPr>
            <w:r/>
            <w:r>
              <w:rPr>
                <w:rFonts w:ascii="Aptos" w:hAnsi="Aptos"/>
                <w:b w:val="0"/>
                <w:sz w:val="15"/>
              </w:rPr>
              <w:t xml:space="preserve">GM-05</w:t>
            </w:r>
          </w:p>
        </w:tc>
        <w:tc>
          <w:tcPr>
            <w:tcW w:type="dxa" w:w="8724"/>
            <w:vAlign w:val="center"/>
          </w:tcPr>
          <w:p>
            <w:pPr>
              <w:spacing w:after="0"/>
            </w:pPr>
            <w:r/>
            <w:r>
              <w:rPr>
                <w:rFonts w:ascii="Aptos" w:hAnsi="Aptos"/>
                <w:b w:val="0"/>
                <w:sz w:val="15"/>
              </w:rPr>
              <w:t xml:space="preserve">Market status: a city or category that has not launched shows a clear “not yet available here” state with notify-me/waitlist and vendor pre-registration. It must never look like a broken or empty platform.</w:t>
            </w:r>
          </w:p>
        </w:tc>
      </w:tr>
      <w:tr>
        <w:trPr>
          <w:cantSplit/>
        </w:trPr>
        <w:tc>
          <w:tcPr>
            <w:tcW w:type="dxa" w:w="1500"/>
            <w:vAlign w:val="center"/>
            <w:shd w:fill="F2F6F8"/>
          </w:tcPr>
          <w:p>
            <w:pPr>
              <w:spacing w:after="0"/>
            </w:pPr>
            <w:r/>
            <w:r>
              <w:rPr>
                <w:rFonts w:ascii="Aptos" w:hAnsi="Aptos"/>
                <w:b w:val="0"/>
                <w:sz w:val="15"/>
              </w:rPr>
              <w:t xml:space="preserve">GM-06</w:t>
            </w:r>
          </w:p>
        </w:tc>
        <w:tc>
          <w:tcPr>
            <w:tcW w:type="dxa" w:w="8724"/>
            <w:vAlign w:val="center"/>
            <w:shd w:fill="F2F6F8"/>
          </w:tcPr>
          <w:p>
            <w:pPr>
              <w:spacing w:after="0"/>
            </w:pPr>
            <w:r/>
            <w:r>
              <w:rPr>
                <w:rFonts w:ascii="Aptos" w:hAnsi="Aptos"/>
                <w:b w:val="0"/>
                <w:sz w:val="15"/>
              </w:rPr>
              <w:t xml:space="preserve">Trust and how-it-works: the homepage explains verification levels, rating rules and the four booking modes, and links to the detailed policies. Only real, eligible reviews and measured statistics are shown; counts and testimonials are never fabricated.</w:t>
            </w:r>
          </w:p>
        </w:tc>
      </w:tr>
      <w:tr>
        <w:trPr>
          <w:cantSplit/>
        </w:trPr>
        <w:tc>
          <w:tcPr>
            <w:tcW w:type="dxa" w:w="1500"/>
            <w:vAlign w:val="center"/>
          </w:tcPr>
          <w:p>
            <w:pPr>
              <w:spacing w:after="0"/>
            </w:pPr>
            <w:r/>
            <w:r>
              <w:rPr>
                <w:rFonts w:ascii="Aptos" w:hAnsi="Aptos"/>
                <w:b w:val="0"/>
                <w:sz w:val="15"/>
              </w:rPr>
              <w:t xml:space="preserve">GM-07</w:t>
            </w:r>
          </w:p>
        </w:tc>
        <w:tc>
          <w:tcPr>
            <w:tcW w:type="dxa" w:w="8724"/>
            <w:vAlign w:val="center"/>
          </w:tcPr>
          <w:p>
            <w:pPr>
              <w:spacing w:after="0"/>
            </w:pPr>
            <w:r/>
            <w:r>
              <w:rPr>
                <w:rFonts w:ascii="Aptos" w:hAnsi="Aptos"/>
                <w:b w:val="0"/>
                <w:sz w:val="15"/>
              </w:rPr>
              <w:t xml:space="preserve">Featured and sponsored: paid placements are labelled “Sponsored” and pass every publication, safety and verification gate (§11.3). Organic featured blocks (for example supplier/manufacturer spotlight, newly verified vendors) are admin-curated or rule-based and audited.</w:t>
            </w:r>
          </w:p>
        </w:tc>
      </w:tr>
      <w:tr>
        <w:trPr>
          <w:cantSplit/>
        </w:trPr>
        <w:tc>
          <w:tcPr>
            <w:tcW w:type="dxa" w:w="1500"/>
            <w:vAlign w:val="center"/>
            <w:shd w:fill="F2F6F8"/>
          </w:tcPr>
          <w:p>
            <w:pPr>
              <w:spacing w:after="0"/>
            </w:pPr>
            <w:r/>
            <w:r>
              <w:rPr>
                <w:rFonts w:ascii="Aptos" w:hAnsi="Aptos"/>
                <w:b w:val="0"/>
                <w:sz w:val="15"/>
              </w:rPr>
              <w:t xml:space="preserve">GM-08</w:t>
            </w:r>
          </w:p>
        </w:tc>
        <w:tc>
          <w:tcPr>
            <w:tcW w:type="dxa" w:w="8724"/>
            <w:vAlign w:val="center"/>
            <w:shd w:fill="F2F6F8"/>
          </w:tcPr>
          <w:p>
            <w:pPr>
              <w:spacing w:after="0"/>
            </w:pPr>
            <w:r/>
            <w:r>
              <w:rPr>
                <w:rFonts w:ascii="Aptos" w:hAnsi="Aptos"/>
                <w:b w:val="0"/>
                <w:sz w:val="15"/>
              </w:rPr>
              <w:t xml:space="preserve">Vendor acquisition: a “Become a vendor” entry point asks for the business country first, so country-specific verification (§26.6) and category availability (§26.2) apply from the start of onboarding (§5).</w:t>
            </w:r>
          </w:p>
        </w:tc>
      </w:tr>
      <w:tr>
        <w:trPr>
          <w:cantSplit/>
        </w:trPr>
        <w:tc>
          <w:tcPr>
            <w:tcW w:type="dxa" w:w="1500"/>
            <w:vAlign w:val="center"/>
          </w:tcPr>
          <w:p>
            <w:pPr>
              <w:spacing w:after="0"/>
            </w:pPr>
            <w:r/>
            <w:r>
              <w:rPr>
                <w:rFonts w:ascii="Aptos" w:hAnsi="Aptos"/>
                <w:b w:val="0"/>
                <w:sz w:val="15"/>
              </w:rPr>
              <w:t xml:space="preserve">GM-09</w:t>
            </w:r>
          </w:p>
        </w:tc>
        <w:tc>
          <w:tcPr>
            <w:tcW w:type="dxa" w:w="8724"/>
            <w:vAlign w:val="center"/>
          </w:tcPr>
          <w:p>
            <w:pPr>
              <w:spacing w:after="0"/>
            </w:pPr>
            <w:r/>
            <w:r>
              <w:rPr>
                <w:rFonts w:ascii="Aptos" w:hAnsi="Aptos"/>
                <w:b w:val="0"/>
                <w:sz w:val="15"/>
              </w:rPr>
              <w:t xml:space="preserve">Web discoverability: country, state, city and category landing pages are indexable with localized metadata, canonical and language-alternate links and structured data. Pages for markets that are not yet activated stay non-indexable until activation.</w:t>
            </w:r>
          </w:p>
        </w:tc>
      </w:tr>
      <w:tr>
        <w:trPr>
          <w:cantSplit/>
        </w:trPr>
        <w:tc>
          <w:tcPr>
            <w:tcW w:type="dxa" w:w="1500"/>
            <w:vAlign w:val="center"/>
            <w:shd w:fill="F2F6F8"/>
          </w:tcPr>
          <w:p>
            <w:pPr>
              <w:spacing w:after="0"/>
            </w:pPr>
            <w:r/>
            <w:r>
              <w:rPr>
                <w:rFonts w:ascii="Aptos" w:hAnsi="Aptos"/>
                <w:b w:val="0"/>
                <w:sz w:val="15"/>
              </w:rPr>
              <w:t xml:space="preserve">GM-10</w:t>
            </w:r>
          </w:p>
        </w:tc>
        <w:tc>
          <w:tcPr>
            <w:tcW w:type="dxa" w:w="8724"/>
            <w:vAlign w:val="center"/>
            <w:shd w:fill="F2F6F8"/>
          </w:tcPr>
          <w:p>
            <w:pPr>
              <w:spacing w:after="0"/>
            </w:pPr>
            <w:r/>
            <w:r>
              <w:rPr>
                <w:rFonts w:ascii="Aptos" w:hAnsi="Aptos"/>
                <w:b w:val="0"/>
                <w:sz w:val="15"/>
              </w:rPr>
              <w:t xml:space="preserve">Performance: homepage, market selection and search must meet the targets in chapter 17. Market and category configuration is cached and refreshed safely.</w:t>
            </w:r>
          </w:p>
        </w:tc>
      </w:tr>
    </w:tbl>
    <w:p>
      <w:pPr>
        <w:spacing w:after="0"/>
      </w:pPr>
    </w:p>
    <w:p>
      <w:pPr>
        <w:pStyle w:val="Heading2"/>
      </w:pPr>
      <w:bookmarkStart w:id="9031" w:name="gm_s262"/>
      <w:r>
        <w:t xml:space="preserve">26.2 Dynamic unlimited vendor categories</w:t>
      </w:r>
      <w:bookmarkEnd w:id="9031"/>
    </w:p>
    <w:p>
      <w:r>
        <w:t xml:space="preserve">Category structure is data, not code. Administrators can create, edit, reorder, merge and retire categories without a software release, and there is no fixed limit on the number of categories. The hierarchy extends §6: Domain → Category → Subcategory → Service/Product/Rental/Supply → Attributes.</w:t>
      </w:r>
    </w:p>
    <w:tbl>
      <w:tblPr>
        <w:tblStyle w:val="TableGrid"/>
        <w:tblW w:type="auto" w:w="0"/>
        <w:jc w:val="center"/>
        <w:tblLook w:firstColumn="1" w:firstRow="1" w:lastColumn="0" w:lastRow="0" w:noHBand="0" w:noVBand="1" w:val="04A0"/>
      </w:tblPr>
      <w:tblGrid>
        <w:gridCol w:w="1500"/>
        <w:gridCol w:w="8724"/>
      </w:tblGrid>
      <w:tr>
        <w:trPr>
          <w:cantSplit/>
          <w:tblHeader/>
        </w:trPr>
        <w:tc>
          <w:tcPr>
            <w:tcW w:type="dxa" w:w="1500"/>
            <w:vAlign w:val="center"/>
            <w:shd w:fill="10253F"/>
          </w:tcPr>
          <w:p>
            <w:pPr>
              <w:spacing w:after="0"/>
            </w:pPr>
            <w:r/>
            <w:r>
              <w:rPr>
                <w:rFonts w:ascii="Aptos" w:hAnsi="Aptos"/>
                <w:b/>
                <w:color w:val="FFFFFF"/>
                <w:sz w:val="16"/>
              </w:rPr>
              <w:t xml:space="preserve">ID</w:t>
            </w:r>
          </w:p>
        </w:tc>
        <w:tc>
          <w:tcPr>
            <w:tcW w:type="dxa" w:w="8724"/>
            <w:vAlign w:val="center"/>
            <w:shd w:fill="10253F"/>
          </w:tcPr>
          <w:p>
            <w:pPr>
              <w:spacing w:after="0"/>
            </w:pPr>
            <w:r/>
            <w:r>
              <w:rPr>
                <w:rFonts w:ascii="Aptos" w:hAnsi="Aptos"/>
                <w:b/>
                <w:color w:val="FFFFFF"/>
                <w:sz w:val="16"/>
              </w:rPr>
              <w:t xml:space="preserve">Requirement</w:t>
            </w:r>
          </w:p>
        </w:tc>
      </w:tr>
      <w:tr>
        <w:trPr>
          <w:cantSplit/>
        </w:trPr>
        <w:tc>
          <w:tcPr>
            <w:tcW w:type="dxa" w:w="1500"/>
            <w:vAlign w:val="center"/>
          </w:tcPr>
          <w:p>
            <w:pPr>
              <w:spacing w:after="0"/>
            </w:pPr>
            <w:r/>
            <w:r>
              <w:rPr>
                <w:rFonts w:ascii="Aptos" w:hAnsi="Aptos"/>
                <w:b w:val="0"/>
                <w:sz w:val="15"/>
              </w:rPr>
              <w:t xml:space="preserve">GM-11</w:t>
            </w:r>
          </w:p>
        </w:tc>
        <w:tc>
          <w:tcPr>
            <w:tcW w:type="dxa" w:w="8724"/>
            <w:vAlign w:val="center"/>
          </w:tcPr>
          <w:p>
            <w:pPr>
              <w:spacing w:after="0"/>
            </w:pPr>
            <w:r/>
            <w:r>
              <w:rPr>
                <w:rFonts w:ascii="Aptos" w:hAnsi="Aptos"/>
                <w:b w:val="0"/>
                <w:sz w:val="15"/>
              </w:rPr>
              <w:t xml:space="preserve">Unlimited, admin-managed taxonomy: create, edit, reorder, merge and retire categories. Depth is configurable (default up to five levels). Lifecycle states: Draft, Active, Restricted, Retired. Retired categories keep all historical bookings, quotations and contracts.</w:t>
            </w:r>
          </w:p>
        </w:tc>
      </w:tr>
      <w:tr>
        <w:trPr>
          <w:cantSplit/>
        </w:trPr>
        <w:tc>
          <w:tcPr>
            <w:tcW w:type="dxa" w:w="1500"/>
            <w:vAlign w:val="center"/>
            <w:shd w:fill="F2F6F8"/>
          </w:tcPr>
          <w:p>
            <w:pPr>
              <w:spacing w:after="0"/>
            </w:pPr>
            <w:r/>
            <w:r>
              <w:rPr>
                <w:rFonts w:ascii="Aptos" w:hAnsi="Aptos"/>
                <w:b w:val="0"/>
                <w:sz w:val="15"/>
              </w:rPr>
              <w:t xml:space="preserve">GM-12</w:t>
            </w:r>
          </w:p>
        </w:tc>
        <w:tc>
          <w:tcPr>
            <w:tcW w:type="dxa" w:w="8724"/>
            <w:vAlign w:val="center"/>
            <w:shd w:fill="F2F6F8"/>
          </w:tcPr>
          <w:p>
            <w:pPr>
              <w:spacing w:after="0"/>
            </w:pPr>
            <w:r/>
            <w:r>
              <w:rPr>
                <w:rFonts w:ascii="Aptos" w:hAnsi="Aptos"/>
                <w:b w:val="0"/>
                <w:sz w:val="15"/>
              </w:rPr>
              <w:t xml:space="preserve">Per-category configuration includes all §6.2 metadata plus country availability, price units and currencies, vendor-type and supplier attributes (§26.7) and mandatory compliance notices.</w:t>
            </w:r>
          </w:p>
        </w:tc>
      </w:tr>
      <w:tr>
        <w:trPr>
          <w:cantSplit/>
        </w:trPr>
        <w:tc>
          <w:tcPr>
            <w:tcW w:type="dxa" w:w="1500"/>
            <w:vAlign w:val="center"/>
          </w:tcPr>
          <w:p>
            <w:pPr>
              <w:spacing w:after="0"/>
            </w:pPr>
            <w:r/>
            <w:r>
              <w:rPr>
                <w:rFonts w:ascii="Aptos" w:hAnsi="Aptos"/>
                <w:b w:val="0"/>
                <w:sz w:val="15"/>
              </w:rPr>
              <w:t xml:space="preserve">GM-13</w:t>
            </w:r>
          </w:p>
        </w:tc>
        <w:tc>
          <w:tcPr>
            <w:tcW w:type="dxa" w:w="8724"/>
            <w:vAlign w:val="center"/>
          </w:tcPr>
          <w:p>
            <w:pPr>
              <w:spacing w:after="0"/>
            </w:pPr>
            <w:r/>
            <w:r>
              <w:rPr>
                <w:rFonts w:ascii="Aptos" w:hAnsi="Aptos"/>
                <w:b w:val="0"/>
                <w:sz w:val="15"/>
              </w:rPr>
              <w:t xml:space="preserve">Country scoping: a category can be enabled globally, per country, state or city, or per launch wave. Names, aliases and synonyms are maintained per language.</w:t>
            </w:r>
          </w:p>
        </w:tc>
      </w:tr>
      <w:tr>
        <w:trPr>
          <w:cantSplit/>
        </w:trPr>
        <w:tc>
          <w:tcPr>
            <w:tcW w:type="dxa" w:w="1500"/>
            <w:vAlign w:val="center"/>
            <w:shd w:fill="F2F6F8"/>
          </w:tcPr>
          <w:p>
            <w:pPr>
              <w:spacing w:after="0"/>
            </w:pPr>
            <w:r/>
            <w:r>
              <w:rPr>
                <w:rFonts w:ascii="Aptos" w:hAnsi="Aptos"/>
                <w:b w:val="0"/>
                <w:sz w:val="15"/>
              </w:rPr>
              <w:t xml:space="preserve">GM-14</w:t>
            </w:r>
          </w:p>
        </w:tc>
        <w:tc>
          <w:tcPr>
            <w:tcW w:type="dxa" w:w="8724"/>
            <w:vAlign w:val="center"/>
            <w:shd w:fill="F2F6F8"/>
          </w:tcPr>
          <w:p>
            <w:pPr>
              <w:spacing w:after="0"/>
            </w:pPr>
            <w:r/>
            <w:r>
              <w:rPr>
                <w:rFonts w:ascii="Aptos" w:hAnsi="Aptos"/>
                <w:b w:val="0"/>
                <w:sz w:val="15"/>
              </w:rPr>
              <w:t xml:space="preserve">Vendor-suggested categories: during onboarding a vendor may propose a missing category or subcategory. The proposal enters a new admin review queue. The vendor may list under the nearest approved category meanwhile. New categories are never auto-published.</w:t>
            </w:r>
          </w:p>
        </w:tc>
      </w:tr>
      <w:tr>
        <w:trPr>
          <w:cantSplit/>
        </w:trPr>
        <w:tc>
          <w:tcPr>
            <w:tcW w:type="dxa" w:w="1500"/>
            <w:vAlign w:val="center"/>
          </w:tcPr>
          <w:p>
            <w:pPr>
              <w:spacing w:after="0"/>
            </w:pPr>
            <w:r/>
            <w:r>
              <w:rPr>
                <w:rFonts w:ascii="Aptos" w:hAnsi="Aptos"/>
                <w:b w:val="0"/>
                <w:sz w:val="15"/>
              </w:rPr>
              <w:t xml:space="preserve">GM-15</w:t>
            </w:r>
          </w:p>
        </w:tc>
        <w:tc>
          <w:tcPr>
            <w:tcW w:type="dxa" w:w="8724"/>
            <w:vAlign w:val="center"/>
          </w:tcPr>
          <w:p>
            <w:pPr>
              <w:spacing w:after="0"/>
            </w:pPr>
            <w:r/>
            <w:r>
              <w:rPr>
                <w:rFonts w:ascii="Aptos" w:hAnsi="Aptos"/>
                <w:b w:val="0"/>
                <w:sz w:val="15"/>
              </w:rPr>
              <w:t xml:space="preserve">Dynamic forms: onboarding, listing, search filters, comparison fields and RFQ forms are generated from the category attribute schema on web and mobile. Per-category screens are not hard-coded.</w:t>
            </w:r>
          </w:p>
        </w:tc>
      </w:tr>
      <w:tr>
        <w:trPr>
          <w:cantSplit/>
        </w:trPr>
        <w:tc>
          <w:tcPr>
            <w:tcW w:type="dxa" w:w="1500"/>
            <w:vAlign w:val="center"/>
            <w:shd w:fill="F2F6F8"/>
          </w:tcPr>
          <w:p>
            <w:pPr>
              <w:spacing w:after="0"/>
            </w:pPr>
            <w:r/>
            <w:r>
              <w:rPr>
                <w:rFonts w:ascii="Aptos" w:hAnsi="Aptos"/>
                <w:b w:val="0"/>
                <w:sz w:val="15"/>
              </w:rPr>
              <w:t xml:space="preserve">GM-16</w:t>
            </w:r>
          </w:p>
        </w:tc>
        <w:tc>
          <w:tcPr>
            <w:tcW w:type="dxa" w:w="8724"/>
            <w:vAlign w:val="center"/>
            <w:shd w:fill="F2F6F8"/>
          </w:tcPr>
          <w:p>
            <w:pPr>
              <w:spacing w:after="0"/>
            </w:pPr>
            <w:r/>
            <w:r>
              <w:rPr>
                <w:rFonts w:ascii="Aptos" w:hAnsi="Aptos"/>
                <w:b w:val="0"/>
                <w:sz w:val="15"/>
              </w:rPr>
              <w:t xml:space="preserve">Governance: duplicate and near-duplicate detection, merge with listing redirection, versioned changes and audit history. Categories with restricted-content rules (§12.2) need enhanced verification rules defined before activation.</w:t>
            </w:r>
          </w:p>
        </w:tc>
      </w:tr>
      <w:tr>
        <w:trPr>
          <w:cantSplit/>
        </w:trPr>
        <w:tc>
          <w:tcPr>
            <w:tcW w:type="dxa" w:w="1500"/>
            <w:vAlign w:val="center"/>
          </w:tcPr>
          <w:p>
            <w:pPr>
              <w:spacing w:after="0"/>
            </w:pPr>
            <w:r/>
            <w:r>
              <w:rPr>
                <w:rFonts w:ascii="Aptos" w:hAnsi="Aptos"/>
                <w:b w:val="0"/>
                <w:sz w:val="15"/>
              </w:rPr>
              <w:t xml:space="preserve">GM-17</w:t>
            </w:r>
          </w:p>
        </w:tc>
        <w:tc>
          <w:tcPr>
            <w:tcW w:type="dxa" w:w="8724"/>
            <w:vAlign w:val="center"/>
          </w:tcPr>
          <w:p>
            <w:pPr>
              <w:spacing w:after="0"/>
            </w:pPr>
            <w:r/>
            <w:r>
              <w:rPr>
                <w:rFonts w:ascii="Aptos" w:hAnsi="Aptos"/>
                <w:b w:val="0"/>
                <w:sz w:val="15"/>
              </w:rPr>
              <w:t xml:space="preserve">Propagation: taxonomy changes reach search indexes and the homepage within an agreed latency (target set in discovery). Existing transactions keep their terms snapshot (§6.2).</w:t>
            </w:r>
          </w:p>
        </w:tc>
      </w:tr>
      <w:tr>
        <w:trPr>
          <w:cantSplit/>
        </w:trPr>
        <w:tc>
          <w:tcPr>
            <w:tcW w:type="dxa" w:w="1500"/>
            <w:vAlign w:val="center"/>
            <w:shd w:fill="F2F6F8"/>
          </w:tcPr>
          <w:p>
            <w:pPr>
              <w:spacing w:after="0"/>
            </w:pPr>
            <w:r/>
            <w:r>
              <w:rPr>
                <w:rFonts w:ascii="Aptos" w:hAnsi="Aptos"/>
                <w:b w:val="0"/>
                <w:sz w:val="15"/>
              </w:rPr>
              <w:t xml:space="preserve">GM-18</w:t>
            </w:r>
          </w:p>
        </w:tc>
        <w:tc>
          <w:tcPr>
            <w:tcW w:type="dxa" w:w="8724"/>
            <w:vAlign w:val="center"/>
            <w:shd w:fill="F2F6F8"/>
          </w:tcPr>
          <w:p>
            <w:pPr>
              <w:spacing w:after="0"/>
            </w:pPr>
            <w:r/>
            <w:r>
              <w:rPr>
                <w:rFonts w:ascii="Aptos" w:hAnsi="Aptos"/>
                <w:b w:val="0"/>
                <w:sz w:val="15"/>
              </w:rPr>
              <w:t xml:space="preserve">Authority: category and taxonomy management is a Super Admin permission. Sales Agents and Vendors cannot create or edit categories.</w:t>
            </w:r>
          </w:p>
        </w:tc>
      </w:tr>
    </w:tbl>
    <w:p>
      <w:pPr>
        <w:spacing w:after="0"/>
      </w:pPr>
    </w:p>
    <w:p>
      <w:pPr>
        <w:pStyle w:val="Heading2"/>
      </w:pPr>
      <w:bookmarkStart w:id="9032" w:name="gm_s263"/>
      <w:r>
        <w:t xml:space="preserve">26.3 Country, state and city-based vendor search</w:t>
      </w:r>
      <w:bookmarkEnd w:id="9032"/>
    </w:p>
    <w:p>
      <w:r>
        <w:t xml:space="preserve">Location uses a maintained hierarchy: Country → State/Province/Region → City → Locality/Postal code, with an optional radius or service polygon. The geography dataset or provider is selected in technical discovery (chapter 15).</w:t>
      </w:r>
    </w:p>
    <w:tbl>
      <w:tblPr>
        <w:tblStyle w:val="TableGrid"/>
        <w:tblW w:type="auto" w:w="0"/>
        <w:jc w:val="center"/>
        <w:tblLook w:firstColumn="1" w:firstRow="1" w:lastColumn="0" w:lastRow="0" w:noHBand="0" w:noVBand="1" w:val="04A0"/>
      </w:tblPr>
      <w:tblGrid>
        <w:gridCol w:w="1500"/>
        <w:gridCol w:w="8724"/>
      </w:tblGrid>
      <w:tr>
        <w:trPr>
          <w:cantSplit/>
          <w:tblHeader/>
        </w:trPr>
        <w:tc>
          <w:tcPr>
            <w:tcW w:type="dxa" w:w="1500"/>
            <w:vAlign w:val="center"/>
            <w:shd w:fill="10253F"/>
          </w:tcPr>
          <w:p>
            <w:pPr>
              <w:spacing w:after="0"/>
            </w:pPr>
            <w:r/>
            <w:r>
              <w:rPr>
                <w:rFonts w:ascii="Aptos" w:hAnsi="Aptos"/>
                <w:b/>
                <w:color w:val="FFFFFF"/>
                <w:sz w:val="16"/>
              </w:rPr>
              <w:t xml:space="preserve">ID</w:t>
            </w:r>
          </w:p>
        </w:tc>
        <w:tc>
          <w:tcPr>
            <w:tcW w:type="dxa" w:w="8724"/>
            <w:vAlign w:val="center"/>
            <w:shd w:fill="10253F"/>
          </w:tcPr>
          <w:p>
            <w:pPr>
              <w:spacing w:after="0"/>
            </w:pPr>
            <w:r/>
            <w:r>
              <w:rPr>
                <w:rFonts w:ascii="Aptos" w:hAnsi="Aptos"/>
                <w:b/>
                <w:color w:val="FFFFFF"/>
                <w:sz w:val="16"/>
              </w:rPr>
              <w:t xml:space="preserve">Requirement</w:t>
            </w:r>
          </w:p>
        </w:tc>
      </w:tr>
      <w:tr>
        <w:trPr>
          <w:cantSplit/>
        </w:trPr>
        <w:tc>
          <w:tcPr>
            <w:tcW w:type="dxa" w:w="1500"/>
            <w:vAlign w:val="center"/>
          </w:tcPr>
          <w:p>
            <w:pPr>
              <w:spacing w:after="0"/>
            </w:pPr>
            <w:r/>
            <w:r>
              <w:rPr>
                <w:rFonts w:ascii="Aptos" w:hAnsi="Aptos"/>
                <w:b w:val="0"/>
                <w:sz w:val="15"/>
              </w:rPr>
              <w:t xml:space="preserve">GM-19</w:t>
            </w:r>
          </w:p>
        </w:tc>
        <w:tc>
          <w:tcPr>
            <w:tcW w:type="dxa" w:w="8724"/>
            <w:vAlign w:val="center"/>
          </w:tcPr>
          <w:p>
            <w:pPr>
              <w:spacing w:after="0"/>
            </w:pPr>
            <w:r/>
            <w:r>
              <w:rPr>
                <w:rFonts w:ascii="Aptos" w:hAnsi="Aptos"/>
                <w:b w:val="0"/>
                <w:sz w:val="15"/>
              </w:rPr>
              <w:t xml:space="preserve">Geography model: stable internal IDs; ISO country codes; multilingual names and aliases; support for countries without states or postal codes.</w:t>
            </w:r>
          </w:p>
        </w:tc>
      </w:tr>
      <w:tr>
        <w:trPr>
          <w:cantSplit/>
        </w:trPr>
        <w:tc>
          <w:tcPr>
            <w:tcW w:type="dxa" w:w="1500"/>
            <w:vAlign w:val="center"/>
            <w:shd w:fill="F2F6F8"/>
          </w:tcPr>
          <w:p>
            <w:pPr>
              <w:spacing w:after="0"/>
            </w:pPr>
            <w:r/>
            <w:r>
              <w:rPr>
                <w:rFonts w:ascii="Aptos" w:hAnsi="Aptos"/>
                <w:b w:val="0"/>
                <w:sz w:val="15"/>
              </w:rPr>
              <w:t xml:space="preserve">GM-20</w:t>
            </w:r>
          </w:p>
        </w:tc>
        <w:tc>
          <w:tcPr>
            <w:tcW w:type="dxa" w:w="8724"/>
            <w:vAlign w:val="center"/>
            <w:shd w:fill="F2F6F8"/>
          </w:tcPr>
          <w:p>
            <w:pPr>
              <w:spacing w:after="0"/>
            </w:pPr>
            <w:r/>
            <w:r>
              <w:rPr>
                <w:rFonts w:ascii="Aptos" w:hAnsi="Aptos"/>
                <w:b w:val="0"/>
                <w:sz w:val="15"/>
              </w:rPr>
              <w:t xml:space="preserve">Vendor coverage is explicit. A vendor declares one or more of: specific cities, states/regions, whole countries, a radius from base, or “remote/worldwide” for remotely delivered services and for suppliers with a list of ships-to or export countries. Coverage never defaults to worldwide (§7.1 rule retained).</w:t>
            </w:r>
          </w:p>
        </w:tc>
      </w:tr>
      <w:tr>
        <w:trPr>
          <w:cantSplit/>
        </w:trPr>
        <w:tc>
          <w:tcPr>
            <w:tcW w:type="dxa" w:w="1500"/>
            <w:vAlign w:val="center"/>
          </w:tcPr>
          <w:p>
            <w:pPr>
              <w:spacing w:after="0"/>
            </w:pPr>
            <w:r/>
            <w:r>
              <w:rPr>
                <w:rFonts w:ascii="Aptos" w:hAnsi="Aptos"/>
                <w:b w:val="0"/>
                <w:sz w:val="15"/>
              </w:rPr>
              <w:t xml:space="preserve">GM-21</w:t>
            </w:r>
          </w:p>
        </w:tc>
        <w:tc>
          <w:tcPr>
            <w:tcW w:type="dxa" w:w="8724"/>
            <w:vAlign w:val="center"/>
          </w:tcPr>
          <w:p>
            <w:pPr>
              <w:spacing w:after="0"/>
            </w:pPr>
            <w:r/>
            <w:r>
              <w:rPr>
                <w:rFonts w:ascii="Aptos" w:hAnsi="Aptos"/>
                <w:b w:val="0"/>
                <w:sz w:val="15"/>
              </w:rPr>
              <w:t xml:space="preserve">Search inputs: country, state, city (type-ahead), postal code, “near me” with consent, category, keyword, remote/online-only toggle and ships-to-country. Filters from §7.1 are extended with spoken language, currency, vendor type, verification level, rating and minimum order (suppliers).</w:t>
            </w:r>
          </w:p>
        </w:tc>
      </w:tr>
      <w:tr>
        <w:trPr>
          <w:cantSplit/>
        </w:trPr>
        <w:tc>
          <w:tcPr>
            <w:tcW w:type="dxa" w:w="1500"/>
            <w:vAlign w:val="center"/>
            <w:shd w:fill="F2F6F8"/>
          </w:tcPr>
          <w:p>
            <w:pPr>
              <w:spacing w:after="0"/>
            </w:pPr>
            <w:r/>
            <w:r>
              <w:rPr>
                <w:rFonts w:ascii="Aptos" w:hAnsi="Aptos"/>
                <w:b w:val="0"/>
                <w:sz w:val="15"/>
              </w:rPr>
              <w:t xml:space="preserve">GM-22</w:t>
            </w:r>
          </w:p>
        </w:tc>
        <w:tc>
          <w:tcPr>
            <w:tcW w:type="dxa" w:w="8724"/>
            <w:vAlign w:val="center"/>
            <w:shd w:fill="F2F6F8"/>
          </w:tcPr>
          <w:p>
            <w:pPr>
              <w:spacing w:after="0"/>
            </w:pPr>
            <w:r/>
            <w:r>
              <w:rPr>
                <w:rFonts w:ascii="Aptos" w:hAnsi="Aptos"/>
                <w:b w:val="0"/>
                <w:sz w:val="15"/>
              </w:rPr>
              <w:t xml:space="preserve">Relevance order: exact city match, then state/region, then country, then remote/worldwide — always combined with category relevance (§7.2). Each result shows why it matched (for example “Serves your city”, “Ships to your country”, “Remote”). Distance is shown only when the user location is known.</w:t>
            </w:r>
          </w:p>
        </w:tc>
      </w:tr>
      <w:tr>
        <w:trPr>
          <w:cantSplit/>
        </w:trPr>
        <w:tc>
          <w:tcPr>
            <w:tcW w:type="dxa" w:w="1500"/>
            <w:vAlign w:val="center"/>
          </w:tcPr>
          <w:p>
            <w:pPr>
              <w:spacing w:after="0"/>
            </w:pPr>
            <w:r/>
            <w:r>
              <w:rPr>
                <w:rFonts w:ascii="Aptos" w:hAnsi="Aptos"/>
                <w:b w:val="0"/>
                <w:sz w:val="15"/>
              </w:rPr>
              <w:t xml:space="preserve">GM-23</w:t>
            </w:r>
          </w:p>
        </w:tc>
        <w:tc>
          <w:tcPr>
            <w:tcW w:type="dxa" w:w="8724"/>
            <w:vAlign w:val="center"/>
          </w:tcPr>
          <w:p>
            <w:pPr>
              <w:spacing w:after="0"/>
            </w:pPr>
            <w:r/>
            <w:r>
              <w:rPr>
                <w:rFonts w:ascii="Aptos" w:hAnsi="Aptos"/>
                <w:b w:val="0"/>
                <w:sz w:val="15"/>
              </w:rPr>
              <w:t xml:space="preserve">Markets not yet live: if the selected city is not activated, show the nearest live markets and remote-capable vendors plus a waitlist. Results from outside the selected area are never presented as local.</w:t>
            </w:r>
          </w:p>
        </w:tc>
      </w:tr>
      <w:tr>
        <w:trPr>
          <w:cantSplit/>
        </w:trPr>
        <w:tc>
          <w:tcPr>
            <w:tcW w:type="dxa" w:w="1500"/>
            <w:vAlign w:val="center"/>
            <w:shd w:fill="F2F6F8"/>
          </w:tcPr>
          <w:p>
            <w:pPr>
              <w:spacing w:after="0"/>
            </w:pPr>
            <w:r/>
            <w:r>
              <w:rPr>
                <w:rFonts w:ascii="Aptos" w:hAnsi="Aptos"/>
                <w:b w:val="0"/>
                <w:sz w:val="15"/>
              </w:rPr>
              <w:t xml:space="preserve">GM-24</w:t>
            </w:r>
          </w:p>
        </w:tc>
        <w:tc>
          <w:tcPr>
            <w:tcW w:type="dxa" w:w="8724"/>
            <w:vAlign w:val="center"/>
            <w:shd w:fill="F2F6F8"/>
          </w:tcPr>
          <w:p>
            <w:pPr>
              <w:spacing w:after="0"/>
            </w:pPr>
            <w:r/>
            <w:r>
              <w:rPr>
                <w:rFonts w:ascii="Aptos" w:hAnsi="Aptos"/>
                <w:b w:val="0"/>
                <w:sz w:val="15"/>
              </w:rPr>
              <w:t xml:space="preserve">Language and scripts: search matches localized names, aliases and transliterations where available. Vendor-written content in another language is labelled with its source language.</w:t>
            </w:r>
          </w:p>
        </w:tc>
      </w:tr>
      <w:tr>
        <w:trPr>
          <w:cantSplit/>
        </w:trPr>
        <w:tc>
          <w:tcPr>
            <w:tcW w:type="dxa" w:w="1500"/>
            <w:vAlign w:val="center"/>
          </w:tcPr>
          <w:p>
            <w:pPr>
              <w:spacing w:after="0"/>
            </w:pPr>
            <w:r/>
            <w:r>
              <w:rPr>
                <w:rFonts w:ascii="Aptos" w:hAnsi="Aptos"/>
                <w:b w:val="0"/>
                <w:sz w:val="15"/>
              </w:rPr>
              <w:t xml:space="preserve">GM-25</w:t>
            </w:r>
          </w:p>
        </w:tc>
        <w:tc>
          <w:tcPr>
            <w:tcW w:type="dxa" w:w="8724"/>
            <w:vAlign w:val="center"/>
          </w:tcPr>
          <w:p>
            <w:pPr>
              <w:spacing w:after="0"/>
            </w:pPr>
            <w:r/>
            <w:r>
              <w:rPr>
                <w:rFonts w:ascii="Aptos" w:hAnsi="Aptos"/>
                <w:b w:val="0"/>
                <w:sz w:val="15"/>
              </w:rPr>
              <w:t xml:space="preserve">Currency and units: prices appear in the vendor's currency. A converted estimate may be shown only if clearly labelled approximate with the rate date. Sorting and filtering by price must not silently mix currencies.</w:t>
            </w:r>
          </w:p>
        </w:tc>
      </w:tr>
      <w:tr>
        <w:trPr>
          <w:cantSplit/>
        </w:trPr>
        <w:tc>
          <w:tcPr>
            <w:tcW w:type="dxa" w:w="1500"/>
            <w:vAlign w:val="center"/>
            <w:shd w:fill="F2F6F8"/>
          </w:tcPr>
          <w:p>
            <w:pPr>
              <w:spacing w:after="0"/>
            </w:pPr>
            <w:r/>
            <w:r>
              <w:rPr>
                <w:rFonts w:ascii="Aptos" w:hAnsi="Aptos"/>
                <w:b w:val="0"/>
                <w:sz w:val="15"/>
              </w:rPr>
              <w:t xml:space="preserve">GM-26</w:t>
            </w:r>
          </w:p>
        </w:tc>
        <w:tc>
          <w:tcPr>
            <w:tcW w:type="dxa" w:w="8724"/>
            <w:vAlign w:val="center"/>
            <w:shd w:fill="F2F6F8"/>
          </w:tcPr>
          <w:p>
            <w:pPr>
              <w:spacing w:after="0"/>
            </w:pPr>
            <w:r/>
            <w:r>
              <w:rPr>
                <w:rFonts w:ascii="Aptos" w:hAnsi="Aptos"/>
                <w:b w:val="0"/>
                <w:sz w:val="15"/>
              </w:rPr>
              <w:t xml:space="preserve">Privacy: a vendor base location is public at city level only unless the vendor chooses more. A customer's precise location is never exposed to vendors beyond what a booking or RFQ needs.</w:t>
            </w:r>
          </w:p>
        </w:tc>
      </w:tr>
      <w:tr>
        <w:trPr>
          <w:cantSplit/>
        </w:trPr>
        <w:tc>
          <w:tcPr>
            <w:tcW w:type="dxa" w:w="1500"/>
            <w:vAlign w:val="center"/>
          </w:tcPr>
          <w:p>
            <w:pPr>
              <w:spacing w:after="0"/>
            </w:pPr>
            <w:r/>
            <w:r>
              <w:rPr>
                <w:rFonts w:ascii="Aptos" w:hAnsi="Aptos"/>
                <w:b w:val="0"/>
                <w:sz w:val="15"/>
              </w:rPr>
              <w:t xml:space="preserve">GM-27</w:t>
            </w:r>
          </w:p>
        </w:tc>
        <w:tc>
          <w:tcPr>
            <w:tcW w:type="dxa" w:w="8724"/>
            <w:vAlign w:val="center"/>
          </w:tcPr>
          <w:p>
            <w:pPr>
              <w:spacing w:after="0"/>
            </w:pPr>
            <w:r/>
            <w:r>
              <w:rPr>
                <w:rFonts w:ascii="Aptos" w:hAnsi="Aptos"/>
                <w:b w:val="0"/>
                <w:sz w:val="15"/>
              </w:rPr>
              <w:t xml:space="preserve">Scale: location data is indexed, paginated and cached. Partitioning search by country or region is allowed without changing behavior (§26.11).</w:t>
            </w:r>
          </w:p>
        </w:tc>
      </w:tr>
    </w:tbl>
    <w:p>
      <w:pPr>
        <w:spacing w:after="0"/>
      </w:pPr>
    </w:p>
    <w:p>
      <w:pPr>
        <w:pStyle w:val="Heading2"/>
      </w:pPr>
      <w:bookmarkStart w:id="9033" w:name="gm_s264"/>
      <w:r>
        <w:t xml:space="preserve">26.4 Complete customer and vendor profiles</w:t>
      </w:r>
      <w:bookmarkEnd w:id="9033"/>
    </w:p>
    <w:p>
      <w:pPr>
        <w:pStyle w:val="Heading3"/>
      </w:pPr>
      <w:r>
        <w:t xml:space="preserve">26.4.1 Customer profile</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Profile area</w:t>
            </w:r>
          </w:p>
        </w:tc>
        <w:tc>
          <w:tcPr>
            <w:tcW w:type="dxa" w:w="4062"/>
            <w:vAlign w:val="center"/>
            <w:shd w:fill="10253F"/>
          </w:tcPr>
          <w:p>
            <w:pPr>
              <w:spacing w:after="0"/>
            </w:pPr>
            <w:r/>
            <w:r>
              <w:rPr>
                <w:rFonts w:ascii="Aptos" w:hAnsi="Aptos"/>
                <w:b/>
                <w:color w:val="FFFFFF"/>
                <w:sz w:val="16"/>
              </w:rPr>
              <w:t xml:space="preserve">Content</w:t>
            </w:r>
          </w:p>
        </w:tc>
        <w:tc>
          <w:tcPr>
            <w:tcW w:type="dxa" w:w="3862"/>
            <w:vAlign w:val="center"/>
            <w:shd w:fill="10253F"/>
          </w:tcPr>
          <w:p>
            <w:pPr>
              <w:spacing w:after="0"/>
            </w:pPr>
            <w:r/>
            <w:r>
              <w:rPr>
                <w:rFonts w:ascii="Aptos" w:hAnsi="Aptos"/>
                <w:b/>
                <w:color w:val="FFFFFF"/>
                <w:sz w:val="16"/>
              </w:rPr>
              <w:t xml:space="preserve">Rules</w:t>
            </w:r>
          </w:p>
        </w:tc>
      </w:tr>
      <w:tr>
        <w:trPr>
          <w:cantSplit/>
        </w:trPr>
        <w:tc>
          <w:tcPr>
            <w:tcW w:type="dxa" w:w="2300"/>
            <w:vAlign w:val="center"/>
          </w:tcPr>
          <w:p>
            <w:pPr>
              <w:spacing w:after="0"/>
            </w:pPr>
            <w:r/>
            <w:r>
              <w:rPr>
                <w:rFonts w:ascii="Aptos" w:hAnsi="Aptos"/>
                <w:b w:val="0"/>
                <w:sz w:val="15"/>
              </w:rPr>
              <w:t xml:space="preserve">Identity and contact</w:t>
            </w:r>
          </w:p>
        </w:tc>
        <w:tc>
          <w:tcPr>
            <w:tcW w:type="dxa" w:w="4062"/>
            <w:vAlign w:val="center"/>
          </w:tcPr>
          <w:p>
            <w:pPr>
              <w:spacing w:after="0"/>
            </w:pPr>
            <w:r/>
            <w:r>
              <w:rPr>
                <w:rFonts w:ascii="Aptos" w:hAnsi="Aptos"/>
                <w:b w:val="0"/>
                <w:sz w:val="15"/>
              </w:rPr>
              <w:t xml:space="preserve">Name, verified email and phone, optional photo.</w:t>
            </w:r>
          </w:p>
        </w:tc>
        <w:tc>
          <w:tcPr>
            <w:tcW w:type="dxa" w:w="3862"/>
            <w:vAlign w:val="center"/>
          </w:tcPr>
          <w:p>
            <w:pPr>
              <w:spacing w:after="0"/>
            </w:pPr>
            <w:r/>
            <w:r>
              <w:rPr>
                <w:rFonts w:ascii="Aptos" w:hAnsi="Aptos"/>
                <w:b w:val="0"/>
                <w:sz w:val="15"/>
              </w:rPr>
              <w:t xml:space="preserve">A verified contact is required before creating bookings or RFQs.</w:t>
            </w:r>
          </w:p>
        </w:tc>
      </w:tr>
      <w:tr>
        <w:trPr>
          <w:cantSplit/>
        </w:trPr>
        <w:tc>
          <w:tcPr>
            <w:tcW w:type="dxa" w:w="2300"/>
            <w:vAlign w:val="center"/>
            <w:shd w:fill="F2F6F8"/>
          </w:tcPr>
          <w:p>
            <w:pPr>
              <w:spacing w:after="0"/>
            </w:pPr>
            <w:r/>
            <w:r>
              <w:rPr>
                <w:rFonts w:ascii="Aptos" w:hAnsi="Aptos"/>
                <w:b w:val="0"/>
                <w:sz w:val="15"/>
              </w:rPr>
              <w:t xml:space="preserve">Account type</w:t>
            </w:r>
          </w:p>
        </w:tc>
        <w:tc>
          <w:tcPr>
            <w:tcW w:type="dxa" w:w="4062"/>
            <w:vAlign w:val="center"/>
            <w:shd w:fill="F2F6F8"/>
          </w:tcPr>
          <w:p>
            <w:pPr>
              <w:spacing w:after="0"/>
            </w:pPr>
            <w:r/>
            <w:r>
              <w:rPr>
                <w:rFonts w:ascii="Aptos" w:hAnsi="Aptos"/>
                <w:b w:val="0"/>
                <w:sz w:val="15"/>
              </w:rPr>
              <w:t xml:space="preserve">Individual or business; business adds company name, billing address and optional registration/tax ID.</w:t>
            </w:r>
          </w:p>
        </w:tc>
        <w:tc>
          <w:tcPr>
            <w:tcW w:type="dxa" w:w="3862"/>
            <w:vAlign w:val="center"/>
            <w:shd w:fill="F2F6F8"/>
          </w:tcPr>
          <w:p>
            <w:pPr>
              <w:spacing w:after="0"/>
            </w:pPr>
            <w:r/>
            <w:r>
              <w:rPr>
                <w:rFonts w:ascii="Aptos" w:hAnsi="Aptos"/>
                <w:b w:val="0"/>
                <w:sz w:val="15"/>
              </w:rPr>
              <w:t xml:space="preserve">Business details are optional until a contract booking or a payment mode needs them.</w:t>
            </w:r>
          </w:p>
        </w:tc>
      </w:tr>
      <w:tr>
        <w:trPr>
          <w:cantSplit/>
        </w:trPr>
        <w:tc>
          <w:tcPr>
            <w:tcW w:type="dxa" w:w="2300"/>
            <w:vAlign w:val="center"/>
          </w:tcPr>
          <w:p>
            <w:pPr>
              <w:spacing w:after="0"/>
            </w:pPr>
            <w:r/>
            <w:r>
              <w:rPr>
                <w:rFonts w:ascii="Aptos" w:hAnsi="Aptos"/>
                <w:b w:val="0"/>
                <w:sz w:val="15"/>
              </w:rPr>
              <w:t xml:space="preserve">Locale</w:t>
            </w:r>
          </w:p>
        </w:tc>
        <w:tc>
          <w:tcPr>
            <w:tcW w:type="dxa" w:w="4062"/>
            <w:vAlign w:val="center"/>
          </w:tcPr>
          <w:p>
            <w:pPr>
              <w:spacing w:after="0"/>
            </w:pPr>
            <w:r/>
            <w:r>
              <w:rPr>
                <w:rFonts w:ascii="Aptos" w:hAnsi="Aptos"/>
                <w:b w:val="0"/>
                <w:sz w:val="15"/>
              </w:rPr>
              <w:t xml:space="preserve">Country, language, time zone and preferred currency.</w:t>
            </w:r>
          </w:p>
        </w:tc>
        <w:tc>
          <w:tcPr>
            <w:tcW w:type="dxa" w:w="3862"/>
            <w:vAlign w:val="center"/>
          </w:tcPr>
          <w:p>
            <w:pPr>
              <w:spacing w:after="0"/>
            </w:pPr>
            <w:r/>
            <w:r>
              <w:rPr>
                <w:rFonts w:ascii="Aptos" w:hAnsi="Aptos"/>
                <w:b w:val="0"/>
                <w:sz w:val="15"/>
              </w:rPr>
              <w:t xml:space="preserve">Detected defaults; always user-editable.</w:t>
            </w:r>
          </w:p>
        </w:tc>
      </w:tr>
      <w:tr>
        <w:trPr>
          <w:cantSplit/>
        </w:trPr>
        <w:tc>
          <w:tcPr>
            <w:tcW w:type="dxa" w:w="2300"/>
            <w:vAlign w:val="center"/>
            <w:shd w:fill="F2F6F8"/>
          </w:tcPr>
          <w:p>
            <w:pPr>
              <w:spacing w:after="0"/>
            </w:pPr>
            <w:r/>
            <w:r>
              <w:rPr>
                <w:rFonts w:ascii="Aptos" w:hAnsi="Aptos"/>
                <w:b w:val="0"/>
                <w:sz w:val="15"/>
              </w:rPr>
              <w:t xml:space="preserve">Saved locations</w:t>
            </w:r>
          </w:p>
        </w:tc>
        <w:tc>
          <w:tcPr>
            <w:tcW w:type="dxa" w:w="4062"/>
            <w:vAlign w:val="center"/>
            <w:shd w:fill="F2F6F8"/>
          </w:tcPr>
          <w:p>
            <w:pPr>
              <w:spacing w:after="0"/>
            </w:pPr>
            <w:r/>
            <w:r>
              <w:rPr>
                <w:rFonts w:ascii="Aptos" w:hAnsi="Aptos"/>
                <w:b w:val="0"/>
                <w:sz w:val="15"/>
              </w:rPr>
              <w:t xml:space="preserve">Multiple labelled service or delivery locations.</w:t>
            </w:r>
          </w:p>
        </w:tc>
        <w:tc>
          <w:tcPr>
            <w:tcW w:type="dxa" w:w="3862"/>
            <w:vAlign w:val="center"/>
            <w:shd w:fill="F2F6F8"/>
          </w:tcPr>
          <w:p>
            <w:pPr>
              <w:spacing w:after="0"/>
            </w:pPr>
            <w:r/>
            <w:r>
              <w:rPr>
                <w:rFonts w:ascii="Aptos" w:hAnsi="Aptos"/>
                <w:b w:val="0"/>
                <w:sz w:val="15"/>
              </w:rPr>
              <w:t xml:space="preserve">Reusable in bookings and RFQs; deletable by the user.</w:t>
            </w:r>
          </w:p>
        </w:tc>
      </w:tr>
      <w:tr>
        <w:trPr>
          <w:cantSplit/>
        </w:trPr>
        <w:tc>
          <w:tcPr>
            <w:tcW w:type="dxa" w:w="2300"/>
            <w:vAlign w:val="center"/>
          </w:tcPr>
          <w:p>
            <w:pPr>
              <w:spacing w:after="0"/>
            </w:pPr>
            <w:r/>
            <w:r>
              <w:rPr>
                <w:rFonts w:ascii="Aptos" w:hAnsi="Aptos"/>
                <w:b w:val="0"/>
                <w:sz w:val="15"/>
              </w:rPr>
              <w:t xml:space="preserve">Preferences</w:t>
            </w:r>
          </w:p>
        </w:tc>
        <w:tc>
          <w:tcPr>
            <w:tcW w:type="dxa" w:w="4062"/>
            <w:vAlign w:val="center"/>
          </w:tcPr>
          <w:p>
            <w:pPr>
              <w:spacing w:after="0"/>
            </w:pPr>
            <w:r/>
            <w:r>
              <w:rPr>
                <w:rFonts w:ascii="Aptos" w:hAnsi="Aptos"/>
                <w:b w:val="0"/>
                <w:sz w:val="15"/>
              </w:rPr>
              <w:t xml:space="preserve">Notification channels, contact-disclosure and privacy settings (§10.1), saved searches, favorites.</w:t>
            </w:r>
          </w:p>
        </w:tc>
        <w:tc>
          <w:tcPr>
            <w:tcW w:type="dxa" w:w="3862"/>
            <w:vAlign w:val="center"/>
          </w:tcPr>
          <w:p>
            <w:pPr>
              <w:spacing w:after="0"/>
            </w:pPr>
            <w:r/>
            <w:r>
              <w:rPr>
                <w:rFonts w:ascii="Aptos" w:hAnsi="Aptos"/>
                <w:b w:val="0"/>
                <w:sz w:val="15"/>
              </w:rPr>
              <w:t xml:space="preserve">Preferences never override mandatory transactional notices.</w:t>
            </w:r>
          </w:p>
        </w:tc>
      </w:tr>
      <w:tr>
        <w:trPr>
          <w:cantSplit/>
        </w:trPr>
        <w:tc>
          <w:tcPr>
            <w:tcW w:type="dxa" w:w="2300"/>
            <w:vAlign w:val="center"/>
            <w:shd w:fill="F2F6F8"/>
          </w:tcPr>
          <w:p>
            <w:pPr>
              <w:spacing w:after="0"/>
            </w:pPr>
            <w:r/>
            <w:r>
              <w:rPr>
                <w:rFonts w:ascii="Aptos" w:hAnsi="Aptos"/>
                <w:b w:val="0"/>
                <w:sz w:val="15"/>
              </w:rPr>
              <w:t xml:space="preserve">Activity</w:t>
            </w:r>
          </w:p>
        </w:tc>
        <w:tc>
          <w:tcPr>
            <w:tcW w:type="dxa" w:w="4062"/>
            <w:vAlign w:val="center"/>
            <w:shd w:fill="F2F6F8"/>
          </w:tcPr>
          <w:p>
            <w:pPr>
              <w:spacing w:after="0"/>
            </w:pPr>
            <w:r/>
            <w:r>
              <w:rPr>
                <w:rFonts w:ascii="Aptos" w:hAnsi="Aptos"/>
                <w:b w:val="0"/>
                <w:sz w:val="15"/>
              </w:rPr>
              <w:t xml:space="preserve">Bookings, RFQs, quotations, contracts, reviews given, support cases.</w:t>
            </w:r>
          </w:p>
        </w:tc>
        <w:tc>
          <w:tcPr>
            <w:tcW w:type="dxa" w:w="3862"/>
            <w:vAlign w:val="center"/>
            <w:shd w:fill="F2F6F8"/>
          </w:tcPr>
          <w:p>
            <w:pPr>
              <w:spacing w:after="0"/>
            </w:pPr>
            <w:r/>
            <w:r>
              <w:rPr>
                <w:rFonts w:ascii="Aptos" w:hAnsi="Aptos"/>
                <w:b w:val="0"/>
                <w:sz w:val="15"/>
              </w:rPr>
              <w:t xml:space="preserve">Visible only to the customer, to the counterparty of a given transaction and to authorized support.</w:t>
            </w:r>
          </w:p>
        </w:tc>
      </w:tr>
      <w:tr>
        <w:trPr>
          <w:cantSplit/>
        </w:trPr>
        <w:tc>
          <w:tcPr>
            <w:tcW w:type="dxa" w:w="2300"/>
            <w:vAlign w:val="center"/>
          </w:tcPr>
          <w:p>
            <w:pPr>
              <w:spacing w:after="0"/>
            </w:pPr>
            <w:r/>
            <w:r>
              <w:rPr>
                <w:rFonts w:ascii="Aptos" w:hAnsi="Aptos"/>
                <w:b w:val="0"/>
                <w:sz w:val="15"/>
              </w:rPr>
              <w:t xml:space="preserve">Data rights</w:t>
            </w:r>
          </w:p>
        </w:tc>
        <w:tc>
          <w:tcPr>
            <w:tcW w:type="dxa" w:w="4062"/>
            <w:vAlign w:val="center"/>
          </w:tcPr>
          <w:p>
            <w:pPr>
              <w:spacing w:after="0"/>
            </w:pPr>
            <w:r/>
            <w:r>
              <w:rPr>
                <w:rFonts w:ascii="Aptos" w:hAnsi="Aptos"/>
                <w:b w:val="0"/>
                <w:sz w:val="15"/>
              </w:rPr>
              <w:t xml:space="preserve">Consent records, data export and deletion requests (SC-040).</w:t>
            </w:r>
          </w:p>
        </w:tc>
        <w:tc>
          <w:tcPr>
            <w:tcW w:type="dxa" w:w="3862"/>
            <w:vAlign w:val="center"/>
          </w:tcPr>
          <w:p>
            <w:pPr>
              <w:spacing w:after="0"/>
            </w:pPr>
            <w:r/>
            <w:r>
              <w:rPr>
                <w:rFonts w:ascii="Aptos" w:hAnsi="Aptos"/>
                <w:b w:val="0"/>
                <w:sz w:val="15"/>
              </w:rPr>
              <w:t xml:space="preserve">Handled through the audited deletion workflow.</w:t>
            </w:r>
          </w:p>
        </w:tc>
      </w:tr>
    </w:tbl>
    <w:p>
      <w:pPr>
        <w:spacing w:after="0"/>
      </w:pPr>
    </w:p>
    <w:p>
      <w:pPr>
        <w:pStyle w:val="Heading3"/>
      </w:pPr>
      <w:r>
        <w:t xml:space="preserve">26.4.2 Vendor profile</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Profile area</w:t>
            </w:r>
          </w:p>
        </w:tc>
        <w:tc>
          <w:tcPr>
            <w:tcW w:type="dxa" w:w="4062"/>
            <w:vAlign w:val="center"/>
            <w:shd w:fill="10253F"/>
          </w:tcPr>
          <w:p>
            <w:pPr>
              <w:spacing w:after="0"/>
            </w:pPr>
            <w:r/>
            <w:r>
              <w:rPr>
                <w:rFonts w:ascii="Aptos" w:hAnsi="Aptos"/>
                <w:b/>
                <w:color w:val="FFFFFF"/>
                <w:sz w:val="16"/>
              </w:rPr>
              <w:t xml:space="preserve">Content</w:t>
            </w:r>
          </w:p>
        </w:tc>
        <w:tc>
          <w:tcPr>
            <w:tcW w:type="dxa" w:w="3862"/>
            <w:vAlign w:val="center"/>
            <w:shd w:fill="10253F"/>
          </w:tcPr>
          <w:p>
            <w:pPr>
              <w:spacing w:after="0"/>
            </w:pPr>
            <w:r/>
            <w:r>
              <w:rPr>
                <w:rFonts w:ascii="Aptos" w:hAnsi="Aptos"/>
                <w:b/>
                <w:color w:val="FFFFFF"/>
                <w:sz w:val="16"/>
              </w:rPr>
              <w:t xml:space="preserve">Rules</w:t>
            </w:r>
          </w:p>
        </w:tc>
      </w:tr>
      <w:tr>
        <w:trPr>
          <w:cantSplit/>
        </w:trPr>
        <w:tc>
          <w:tcPr>
            <w:tcW w:type="dxa" w:w="2300"/>
            <w:vAlign w:val="center"/>
          </w:tcPr>
          <w:p>
            <w:pPr>
              <w:spacing w:after="0"/>
            </w:pPr>
            <w:r/>
            <w:r>
              <w:rPr>
                <w:rFonts w:ascii="Aptos" w:hAnsi="Aptos"/>
                <w:b w:val="0"/>
                <w:sz w:val="15"/>
              </w:rPr>
              <w:t xml:space="preserve">Business identity</w:t>
            </w:r>
          </w:p>
        </w:tc>
        <w:tc>
          <w:tcPr>
            <w:tcW w:type="dxa" w:w="4062"/>
            <w:vAlign w:val="center"/>
          </w:tcPr>
          <w:p>
            <w:pPr>
              <w:spacing w:after="0"/>
            </w:pPr>
            <w:r/>
            <w:r>
              <w:rPr>
                <w:rFonts w:ascii="Aptos" w:hAnsi="Aptos"/>
                <w:b w:val="0"/>
                <w:sz w:val="15"/>
              </w:rPr>
              <w:t xml:space="preserve">Legal name, trading name, business type (service provider, contractor, supplier, wholesaler, manufacturer, distributor, other), registration country.</w:t>
            </w:r>
          </w:p>
        </w:tc>
        <w:tc>
          <w:tcPr>
            <w:tcW w:type="dxa" w:w="3862"/>
            <w:vAlign w:val="center"/>
          </w:tcPr>
          <w:p>
            <w:pPr>
              <w:spacing w:after="0"/>
            </w:pPr>
            <w:r/>
            <w:r>
              <w:rPr>
                <w:rFonts w:ascii="Aptos" w:hAnsi="Aptos"/>
                <w:b w:val="0"/>
                <w:sz w:val="15"/>
              </w:rPr>
              <w:t xml:space="preserve">Registration and tax identifiers are restricted data; the public sees verification status only.</w:t>
            </w:r>
          </w:p>
        </w:tc>
      </w:tr>
      <w:tr>
        <w:trPr>
          <w:cantSplit/>
        </w:trPr>
        <w:tc>
          <w:tcPr>
            <w:tcW w:type="dxa" w:w="2300"/>
            <w:vAlign w:val="center"/>
            <w:shd w:fill="F2F6F8"/>
          </w:tcPr>
          <w:p>
            <w:pPr>
              <w:spacing w:after="0"/>
            </w:pPr>
            <w:r/>
            <w:r>
              <w:rPr>
                <w:rFonts w:ascii="Aptos" w:hAnsi="Aptos"/>
                <w:b w:val="0"/>
                <w:sz w:val="15"/>
              </w:rPr>
              <w:t xml:space="preserve">Public presence</w:t>
            </w:r>
          </w:p>
        </w:tc>
        <w:tc>
          <w:tcPr>
            <w:tcW w:type="dxa" w:w="4062"/>
            <w:vAlign w:val="center"/>
            <w:shd w:fill="F2F6F8"/>
          </w:tcPr>
          <w:p>
            <w:pPr>
              <w:spacing w:after="0"/>
            </w:pPr>
            <w:r/>
            <w:r>
              <w:rPr>
                <w:rFonts w:ascii="Aptos" w:hAnsi="Aptos"/>
                <w:b w:val="0"/>
                <w:sz w:val="15"/>
              </w:rPr>
              <w:t xml:space="preserve">Description, logo/banner, languages, website and social links, year established, team-size range.</w:t>
            </w:r>
          </w:p>
        </w:tc>
        <w:tc>
          <w:tcPr>
            <w:tcW w:type="dxa" w:w="3862"/>
            <w:vAlign w:val="center"/>
            <w:shd w:fill="F2F6F8"/>
          </w:tcPr>
          <w:p>
            <w:pPr>
              <w:spacing w:after="0"/>
            </w:pPr>
            <w:r/>
            <w:r>
              <w:rPr>
                <w:rFonts w:ascii="Aptos" w:hAnsi="Aptos"/>
                <w:b w:val="0"/>
                <w:sz w:val="15"/>
              </w:rPr>
              <w:t xml:space="preserve">Year established and team size are self-declared and labelled as such. Links are moderated.</w:t>
            </w:r>
          </w:p>
        </w:tc>
      </w:tr>
      <w:tr>
        <w:trPr>
          <w:cantSplit/>
        </w:trPr>
        <w:tc>
          <w:tcPr>
            <w:tcW w:type="dxa" w:w="2300"/>
            <w:vAlign w:val="center"/>
          </w:tcPr>
          <w:p>
            <w:pPr>
              <w:spacing w:after="0"/>
            </w:pPr>
            <w:r/>
            <w:r>
              <w:rPr>
                <w:rFonts w:ascii="Aptos" w:hAnsi="Aptos"/>
                <w:b w:val="0"/>
                <w:sz w:val="15"/>
              </w:rPr>
              <w:t xml:space="preserve">Offerings and coverage</w:t>
            </w:r>
          </w:p>
        </w:tc>
        <w:tc>
          <w:tcPr>
            <w:tcW w:type="dxa" w:w="4062"/>
            <w:vAlign w:val="center"/>
          </w:tcPr>
          <w:p>
            <w:pPr>
              <w:spacing w:after="0"/>
            </w:pPr>
            <w:r/>
            <w:r>
              <w:rPr>
                <w:rFonts w:ascii="Aptos" w:hAnsi="Aptos"/>
                <w:b w:val="0"/>
                <w:sz w:val="15"/>
              </w:rPr>
              <w:t xml:space="preserve">Categories, listings, coverage (§26.3), working hours with time zone, availability (§8.4).</w:t>
            </w:r>
          </w:p>
        </w:tc>
        <w:tc>
          <w:tcPr>
            <w:tcW w:type="dxa" w:w="3862"/>
            <w:vAlign w:val="center"/>
          </w:tcPr>
          <w:p>
            <w:pPr>
              <w:spacing w:after="0"/>
            </w:pPr>
            <w:r/>
            <w:r>
              <w:rPr>
                <w:rFonts w:ascii="Aptos" w:hAnsi="Aptos"/>
                <w:b w:val="0"/>
                <w:sz w:val="15"/>
              </w:rPr>
              <w:t xml:space="preserve">Coverage must be explicit; availability is shown only if provided.</w:t>
            </w:r>
          </w:p>
        </w:tc>
      </w:tr>
      <w:tr>
        <w:trPr>
          <w:cantSplit/>
        </w:trPr>
        <w:tc>
          <w:tcPr>
            <w:tcW w:type="dxa" w:w="2300"/>
            <w:vAlign w:val="center"/>
            <w:shd w:fill="F2F6F8"/>
          </w:tcPr>
          <w:p>
            <w:pPr>
              <w:spacing w:after="0"/>
            </w:pPr>
            <w:r/>
            <w:r>
              <w:rPr>
                <w:rFonts w:ascii="Aptos" w:hAnsi="Aptos"/>
                <w:b w:val="0"/>
                <w:sz w:val="15"/>
              </w:rPr>
              <w:t xml:space="preserve">Credentials and portfolio</w:t>
            </w:r>
          </w:p>
        </w:tc>
        <w:tc>
          <w:tcPr>
            <w:tcW w:type="dxa" w:w="4062"/>
            <w:vAlign w:val="center"/>
            <w:shd w:fill="F2F6F8"/>
          </w:tcPr>
          <w:p>
            <w:pPr>
              <w:spacing w:after="0"/>
            </w:pPr>
            <w:r/>
            <w:r>
              <w:rPr>
                <w:rFonts w:ascii="Aptos" w:hAnsi="Aptos"/>
                <w:b w:val="0"/>
                <w:sz w:val="15"/>
              </w:rPr>
              <w:t xml:space="preserve">Licences, certifications, insurance, portfolio, case studies, factory or workplace images.</w:t>
            </w:r>
          </w:p>
        </w:tc>
        <w:tc>
          <w:tcPr>
            <w:tcW w:type="dxa" w:w="3862"/>
            <w:vAlign w:val="center"/>
            <w:shd w:fill="F2F6F8"/>
          </w:tcPr>
          <w:p>
            <w:pPr>
              <w:spacing w:after="0"/>
            </w:pPr>
            <w:r/>
            <w:r>
              <w:rPr>
                <w:rFonts w:ascii="Aptos" w:hAnsi="Aptos"/>
                <w:b w:val="0"/>
                <w:sz w:val="15"/>
              </w:rPr>
              <w:t xml:space="preserve">Each credential carries a verification status and expiry date.</w:t>
            </w:r>
          </w:p>
        </w:tc>
      </w:tr>
      <w:tr>
        <w:trPr>
          <w:cantSplit/>
        </w:trPr>
        <w:tc>
          <w:tcPr>
            <w:tcW w:type="dxa" w:w="2300"/>
            <w:vAlign w:val="center"/>
          </w:tcPr>
          <w:p>
            <w:pPr>
              <w:spacing w:after="0"/>
            </w:pPr>
            <w:r/>
            <w:r>
              <w:rPr>
                <w:rFonts w:ascii="Aptos" w:hAnsi="Aptos"/>
                <w:b w:val="0"/>
                <w:sz w:val="15"/>
              </w:rPr>
              <w:t xml:space="preserve">Commercial terms</w:t>
            </w:r>
          </w:p>
        </w:tc>
        <w:tc>
          <w:tcPr>
            <w:tcW w:type="dxa" w:w="4062"/>
            <w:vAlign w:val="center"/>
          </w:tcPr>
          <w:p>
            <w:pPr>
              <w:spacing w:after="0"/>
            </w:pPr>
            <w:r/>
            <w:r>
              <w:rPr>
                <w:rFonts w:ascii="Aptos" w:hAnsi="Aptos"/>
                <w:b w:val="0"/>
                <w:sz w:val="15"/>
              </w:rPr>
              <w:t xml:space="preserve">Accepted currencies, pricing basis, payment terms, cancellation policy, minimum booking or order.</w:t>
            </w:r>
          </w:p>
        </w:tc>
        <w:tc>
          <w:tcPr>
            <w:tcW w:type="dxa" w:w="3862"/>
            <w:vAlign w:val="center"/>
          </w:tcPr>
          <w:p>
            <w:pPr>
              <w:spacing w:after="0"/>
            </w:pPr>
            <w:r/>
            <w:r>
              <w:rPr>
                <w:rFonts w:ascii="Aptos" w:hAnsi="Aptos"/>
                <w:b w:val="0"/>
                <w:sz w:val="15"/>
              </w:rPr>
              <w:t xml:space="preserve">Shown before a customer commits (§19).</w:t>
            </w:r>
          </w:p>
        </w:tc>
      </w:tr>
      <w:tr>
        <w:trPr>
          <w:cantSplit/>
        </w:trPr>
        <w:tc>
          <w:tcPr>
            <w:tcW w:type="dxa" w:w="2300"/>
            <w:vAlign w:val="center"/>
            <w:shd w:fill="F2F6F8"/>
          </w:tcPr>
          <w:p>
            <w:pPr>
              <w:spacing w:after="0"/>
            </w:pPr>
            <w:r/>
            <w:r>
              <w:rPr>
                <w:rFonts w:ascii="Aptos" w:hAnsi="Aptos"/>
                <w:b w:val="0"/>
                <w:sz w:val="15"/>
              </w:rPr>
              <w:t xml:space="preserve">Trust indicators</w:t>
            </w:r>
          </w:p>
        </w:tc>
        <w:tc>
          <w:tcPr>
            <w:tcW w:type="dxa" w:w="4062"/>
            <w:vAlign w:val="center"/>
            <w:shd w:fill="F2F6F8"/>
          </w:tcPr>
          <w:p>
            <w:pPr>
              <w:spacing w:after="0"/>
            </w:pPr>
            <w:r/>
            <w:r>
              <w:rPr>
                <w:rFonts w:ascii="Aptos" w:hAnsi="Aptos"/>
                <w:b w:val="0"/>
                <w:sz w:val="15"/>
              </w:rPr>
              <w:t xml:space="preserve">Verification level, ratings, response rate, completion history.</w:t>
            </w:r>
          </w:p>
        </w:tc>
        <w:tc>
          <w:tcPr>
            <w:tcW w:type="dxa" w:w="3862"/>
            <w:vAlign w:val="center"/>
            <w:shd w:fill="F2F6F8"/>
          </w:tcPr>
          <w:p>
            <w:pPr>
              <w:spacing w:after="0"/>
            </w:pPr>
            <w:r/>
            <w:r>
              <w:rPr>
                <w:rFonts w:ascii="Aptos" w:hAnsi="Aptos"/>
                <w:b w:val="0"/>
                <w:sz w:val="15"/>
              </w:rPr>
              <w:t xml:space="preserve">Computed by the platform; vendors cannot edit them.</w:t>
            </w:r>
          </w:p>
        </w:tc>
      </w:tr>
      <w:tr>
        <w:trPr>
          <w:cantSplit/>
        </w:trPr>
        <w:tc>
          <w:tcPr>
            <w:tcW w:type="dxa" w:w="2300"/>
            <w:vAlign w:val="center"/>
          </w:tcPr>
          <w:p>
            <w:pPr>
              <w:spacing w:after="0"/>
            </w:pPr>
            <w:r/>
            <w:r>
              <w:rPr>
                <w:rFonts w:ascii="Aptos" w:hAnsi="Aptos"/>
                <w:b w:val="0"/>
                <w:sz w:val="15"/>
              </w:rPr>
              <w:t xml:space="preserve">Profile completeness</w:t>
            </w:r>
          </w:p>
        </w:tc>
        <w:tc>
          <w:tcPr>
            <w:tcW w:type="dxa" w:w="4062"/>
            <w:vAlign w:val="center"/>
          </w:tcPr>
          <w:p>
            <w:pPr>
              <w:spacing w:after="0"/>
            </w:pPr>
            <w:r/>
            <w:r>
              <w:rPr>
                <w:rFonts w:ascii="Aptos" w:hAnsi="Aptos"/>
                <w:b w:val="0"/>
                <w:sz w:val="15"/>
              </w:rPr>
              <w:t xml:space="preserve">Score and checklist that guide the vendor.</w:t>
            </w:r>
          </w:p>
        </w:tc>
        <w:tc>
          <w:tcPr>
            <w:tcW w:type="dxa" w:w="3862"/>
            <w:vAlign w:val="center"/>
          </w:tcPr>
          <w:p>
            <w:pPr>
              <w:spacing w:after="0"/>
            </w:pPr>
            <w:r/>
            <w:r>
              <w:rPr>
                <w:rFonts w:ascii="Aptos" w:hAnsi="Aptos"/>
                <w:b w:val="0"/>
                <w:sz w:val="15"/>
              </w:rPr>
              <w:t xml:space="preserve">Minimum required fields gate publication. The score itself is not an organic ranking signal beyond §7.2.</w:t>
            </w:r>
          </w:p>
        </w:tc>
      </w:tr>
    </w:tbl>
    <w:p>
      <w:pPr>
        <w:spacing w:after="0"/>
      </w:pPr>
    </w:p>
    <w:p>
      <w:pPr>
        <w:pStyle w:val="ListBullet"/>
      </w:pPr>
      <w:r>
        <w:rPr>
          <w:b/>
        </w:rPr>
        <w:t xml:space="preserve">Ownership. </w:t>
      </w:r>
      <w:r>
        <w:t xml:space="preserve">Only the vendor owner edits the vendor profile (Simplified RBAC). Sensitive fields — identifiers, bank or payout details, documents — are access-controlled and audited.</w:t>
      </w:r>
    </w:p>
    <w:p>
      <w:pPr>
        <w:pStyle w:val="ListBullet"/>
      </w:pPr>
      <w:r>
        <w:rPr>
          <w:b/>
        </w:rPr>
        <w:t xml:space="preserve">Field visibility. </w:t>
      </w:r>
      <w:r>
        <w:t xml:space="preserve">Every profile field is classified as public, counterparty-only or private, and the classification is enforced server-side.</w:t>
      </w:r>
    </w:p>
    <w:p>
      <w:pPr>
        <w:pStyle w:val="Heading2"/>
      </w:pPr>
      <w:bookmarkStart w:id="9034" w:name="gm_s265"/>
      <w:r>
        <w:t xml:space="preserve">26.5 Instant, scheduled, RFQ and contract bookings</w:t>
      </w:r>
      <w:bookmarkEnd w:id="9034"/>
    </w:p>
    <w:p>
      <w:r>
        <w:t xml:space="preserve">Four booking modes are available. A category or listing may enable one or several (extends the “booking mode” setting in §6.2). Every mode keeps the stable ID, terms snapshot, policy snapshot, audit trail and idempotency rules of chapter 8.</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Mode</w:t>
            </w:r>
          </w:p>
        </w:tc>
        <w:tc>
          <w:tcPr>
            <w:tcW w:type="dxa" w:w="4062"/>
            <w:vAlign w:val="center"/>
            <w:shd w:fill="10253F"/>
          </w:tcPr>
          <w:p>
            <w:pPr>
              <w:spacing w:after="0"/>
            </w:pPr>
            <w:r/>
            <w:r>
              <w:rPr>
                <w:rFonts w:ascii="Aptos" w:hAnsi="Aptos"/>
                <w:b/>
                <w:color w:val="FFFFFF"/>
                <w:sz w:val="16"/>
              </w:rPr>
              <w:t xml:space="preserve">Use when</w:t>
            </w:r>
          </w:p>
        </w:tc>
        <w:tc>
          <w:tcPr>
            <w:tcW w:type="dxa" w:w="3862"/>
            <w:vAlign w:val="center"/>
            <w:shd w:fill="10253F"/>
          </w:tcPr>
          <w:p>
            <w:pPr>
              <w:spacing w:after="0"/>
            </w:pPr>
            <w:r/>
            <w:r>
              <w:rPr>
                <w:rFonts w:ascii="Aptos" w:hAnsi="Aptos"/>
                <w:b/>
                <w:color w:val="FFFFFF"/>
                <w:sz w:val="16"/>
              </w:rPr>
              <w:t xml:space="preserve">Flow and key rules</w:t>
            </w:r>
          </w:p>
        </w:tc>
      </w:tr>
      <w:tr>
        <w:trPr>
          <w:cantSplit/>
        </w:trPr>
        <w:tc>
          <w:tcPr>
            <w:tcW w:type="dxa" w:w="2300"/>
            <w:vAlign w:val="center"/>
          </w:tcPr>
          <w:p>
            <w:pPr>
              <w:spacing w:after="0"/>
            </w:pPr>
            <w:r/>
            <w:r>
              <w:rPr>
                <w:rFonts w:ascii="Aptos" w:hAnsi="Aptos"/>
                <w:b w:val="0"/>
                <w:sz w:val="15"/>
              </w:rPr>
              <w:t xml:space="preserve">Instant</w:t>
            </w:r>
          </w:p>
        </w:tc>
        <w:tc>
          <w:tcPr>
            <w:tcW w:type="dxa" w:w="4062"/>
            <w:vAlign w:val="center"/>
          </w:tcPr>
          <w:p>
            <w:pPr>
              <w:spacing w:after="0"/>
            </w:pPr>
            <w:r/>
            <w:r>
              <w:rPr>
                <w:rFonts w:ascii="Aptos" w:hAnsi="Aptos"/>
                <w:b w:val="0"/>
                <w:sz w:val="15"/>
              </w:rPr>
              <w:t xml:space="preserve">Fixed or clearly priced service with reliable availability.</w:t>
            </w:r>
          </w:p>
        </w:tc>
        <w:tc>
          <w:tcPr>
            <w:tcW w:type="dxa" w:w="3862"/>
            <w:vAlign w:val="center"/>
          </w:tcPr>
          <w:p>
            <w:pPr>
              <w:spacing w:after="0"/>
            </w:pPr>
            <w:r/>
            <w:r>
              <w:rPr>
                <w:rFonts w:ascii="Aptos" w:hAnsi="Aptos"/>
                <w:b w:val="0"/>
                <w:sz w:val="15"/>
              </w:rPr>
              <w:t xml:space="preserve">Customer selects slot or quantity; system validates and atomically reserves capacity; booking moves straight to Confirmed.</w:t>
            </w:r>
          </w:p>
          <w:p>
            <w:pPr>
              <w:spacing w:after="0"/>
            </w:pPr>
            <w:r/>
            <w:r>
              <w:rPr>
                <w:rFonts w:ascii="Aptos" w:hAnsi="Aptos"/>
                <w:b w:val="0"/>
                <w:sz w:val="15"/>
              </w:rPr>
              <w:t xml:space="preserve">Vendor opts in per listing and sets capacity and cut-off. Cancellation policy is shown first. Concurrent requests for the last slot are resolved safely (SC-013).</w:t>
            </w:r>
          </w:p>
        </w:tc>
      </w:tr>
      <w:tr>
        <w:trPr>
          <w:cantSplit/>
        </w:trPr>
        <w:tc>
          <w:tcPr>
            <w:tcW w:type="dxa" w:w="2300"/>
            <w:vAlign w:val="center"/>
            <w:shd w:fill="F2F6F8"/>
          </w:tcPr>
          <w:p>
            <w:pPr>
              <w:spacing w:after="0"/>
            </w:pPr>
            <w:r/>
            <w:r>
              <w:rPr>
                <w:rFonts w:ascii="Aptos" w:hAnsi="Aptos"/>
                <w:b w:val="0"/>
                <w:sz w:val="15"/>
              </w:rPr>
              <w:t xml:space="preserve">Scheduled</w:t>
            </w:r>
          </w:p>
        </w:tc>
        <w:tc>
          <w:tcPr>
            <w:tcW w:type="dxa" w:w="4062"/>
            <w:vAlign w:val="center"/>
            <w:shd w:fill="F2F6F8"/>
          </w:tcPr>
          <w:p>
            <w:pPr>
              <w:spacing w:after="0"/>
            </w:pPr>
            <w:r/>
            <w:r>
              <w:rPr>
                <w:rFonts w:ascii="Aptos" w:hAnsi="Aptos"/>
                <w:b w:val="0"/>
                <w:sz w:val="15"/>
              </w:rPr>
              <w:t xml:space="preserve">Customer needs a specific date and time, or a recurring series.</w:t>
            </w:r>
          </w:p>
        </w:tc>
        <w:tc>
          <w:tcPr>
            <w:tcW w:type="dxa" w:w="3862"/>
            <w:vAlign w:val="center"/>
            <w:shd w:fill="F2F6F8"/>
          </w:tcPr>
          <w:p>
            <w:pPr>
              <w:spacing w:after="0"/>
            </w:pPr>
            <w:r/>
            <w:r>
              <w:rPr>
                <w:rFonts w:ascii="Aptos" w:hAnsi="Aptos"/>
                <w:b w:val="0"/>
                <w:sz w:val="15"/>
              </w:rPr>
              <w:t xml:space="preserve">Request-and-accept per §8.1 and §8.3. Time is stored in UTC with the listing time zone and shown in both the customer's and the vendor's time zone.</w:t>
            </w:r>
          </w:p>
          <w:p>
            <w:pPr>
              <w:spacing w:after="0"/>
            </w:pPr>
            <w:r/>
            <w:r>
              <w:rPr>
                <w:rFonts w:ascii="Aptos" w:hAnsi="Aptos"/>
                <w:b w:val="0"/>
                <w:sz w:val="15"/>
              </w:rPr>
              <w:t xml:space="preserve">A recurring series is a set of linked bookings; cancelling one occurrence does not cancel the series unless the customer chooses so.</w:t>
            </w:r>
          </w:p>
        </w:tc>
      </w:tr>
      <w:tr>
        <w:trPr>
          <w:cantSplit/>
        </w:trPr>
        <w:tc>
          <w:tcPr>
            <w:tcW w:type="dxa" w:w="2300"/>
            <w:vAlign w:val="center"/>
          </w:tcPr>
          <w:p>
            <w:pPr>
              <w:spacing w:after="0"/>
            </w:pPr>
            <w:r/>
            <w:r>
              <w:rPr>
                <w:rFonts w:ascii="Aptos" w:hAnsi="Aptos"/>
                <w:b w:val="0"/>
                <w:sz w:val="15"/>
              </w:rPr>
              <w:t xml:space="preserve">RFQ</w:t>
            </w:r>
          </w:p>
        </w:tc>
        <w:tc>
          <w:tcPr>
            <w:tcW w:type="dxa" w:w="4062"/>
            <w:vAlign w:val="center"/>
          </w:tcPr>
          <w:p>
            <w:pPr>
              <w:spacing w:after="0"/>
            </w:pPr>
            <w:r/>
            <w:r>
              <w:rPr>
                <w:rFonts w:ascii="Aptos" w:hAnsi="Aptos"/>
                <w:b w:val="0"/>
                <w:sz w:val="15"/>
              </w:rPr>
              <w:t xml:space="preserve">Custom, large or variable work or supply.</w:t>
            </w:r>
          </w:p>
        </w:tc>
        <w:tc>
          <w:tcPr>
            <w:tcW w:type="dxa" w:w="3862"/>
            <w:vAlign w:val="center"/>
          </w:tcPr>
          <w:p>
            <w:pPr>
              <w:spacing w:after="0"/>
            </w:pPr>
            <w:r/>
            <w:r>
              <w:rPr>
                <w:rFonts w:ascii="Aptos" w:hAnsi="Aptos"/>
                <w:b w:val="0"/>
                <w:sz w:val="15"/>
              </w:rPr>
              <w:t xml:space="preserve">Flow per chapter 9. Global additions: multi-currency quotations; optional trade terms (for example Incoterms) for cross-border supply; lead time, minimum order quantity and sample terms; quotation validity.</w:t>
            </w:r>
          </w:p>
          <w:p>
            <w:pPr>
              <w:spacing w:after="0"/>
            </w:pPr>
            <w:r/>
            <w:r>
              <w:rPr>
                <w:rFonts w:ascii="Aptos" w:hAnsi="Aptos"/>
                <w:b w:val="0"/>
                <w:sz w:val="15"/>
              </w:rPr>
              <w:t xml:space="preserve">One accepted quotation per RFQ. Acceptance may create a booking, a work order or a contract.</w:t>
            </w:r>
          </w:p>
        </w:tc>
      </w:tr>
      <w:tr>
        <w:trPr>
          <w:cantSplit/>
        </w:trPr>
        <w:tc>
          <w:tcPr>
            <w:tcW w:type="dxa" w:w="2300"/>
            <w:vAlign w:val="center"/>
            <w:shd w:fill="F2F6F8"/>
          </w:tcPr>
          <w:p>
            <w:pPr>
              <w:spacing w:after="0"/>
            </w:pPr>
            <w:r/>
            <w:r>
              <w:rPr>
                <w:rFonts w:ascii="Aptos" w:hAnsi="Aptos"/>
                <w:b w:val="0"/>
                <w:sz w:val="15"/>
              </w:rPr>
              <w:t xml:space="preserve">Contract</w:t>
            </w:r>
          </w:p>
        </w:tc>
        <w:tc>
          <w:tcPr>
            <w:tcW w:type="dxa" w:w="4062"/>
            <w:vAlign w:val="center"/>
            <w:shd w:fill="F2F6F8"/>
          </w:tcPr>
          <w:p>
            <w:pPr>
              <w:spacing w:after="0"/>
            </w:pPr>
            <w:r/>
            <w:r>
              <w:rPr>
                <w:rFonts w:ascii="Aptos" w:hAnsi="Aptos"/>
                <w:b w:val="0"/>
                <w:sz w:val="15"/>
              </w:rPr>
              <w:t xml:space="preserve">Ongoing, high-value or multi-phase engagement (for example annual maintenance, recurring supply, construction package).</w:t>
            </w:r>
          </w:p>
        </w:tc>
        <w:tc>
          <w:tcPr>
            <w:tcW w:type="dxa" w:w="3862"/>
            <w:vAlign w:val="center"/>
            <w:shd w:fill="F2F6F8"/>
          </w:tcPr>
          <w:p>
            <w:pPr>
              <w:spacing w:after="0"/>
            </w:pPr>
            <w:r/>
            <w:r>
              <w:rPr>
                <w:rFonts w:ascii="Aptos" w:hAnsi="Aptos"/>
                <w:b w:val="0"/>
                <w:sz w:val="15"/>
              </w:rPr>
              <w:t xml:space="preserve">Created from an accepted quotation or from a mutual proposal. Holds parties, scope, price schedule or milestones, term, renewal, termination and amendment rules.</w:t>
            </w:r>
          </w:p>
          <w:p>
            <w:pPr>
              <w:spacing w:after="0"/>
            </w:pPr>
            <w:r/>
            <w:r>
              <w:rPr>
                <w:rFonts w:ascii="Aptos" w:hAnsi="Aptos"/>
                <w:b w:val="0"/>
                <w:sz w:val="15"/>
              </w:rPr>
              <w:t xml:space="preserve">Both parties must explicitly accept. The accepted version is immutable; amendments create a new version that both parties accept.</w:t>
            </w:r>
          </w:p>
        </w:tc>
      </w:tr>
    </w:tbl>
    <w:p>
      <w:pPr>
        <w:spacing w:after="0"/>
      </w:pPr>
    </w:p>
    <w:p>
      <w:pPr>
        <w:pStyle w:val="Heading3"/>
      </w:pPr>
      <w:r>
        <w:t xml:space="preserve">26.5.1 Contract booking lifecycle</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State</w:t>
            </w:r>
          </w:p>
        </w:tc>
        <w:tc>
          <w:tcPr>
            <w:tcW w:type="dxa" w:w="4062"/>
            <w:vAlign w:val="center"/>
            <w:shd w:fill="10253F"/>
          </w:tcPr>
          <w:p>
            <w:pPr>
              <w:spacing w:after="0"/>
            </w:pPr>
            <w:r/>
            <w:r>
              <w:rPr>
                <w:rFonts w:ascii="Aptos" w:hAnsi="Aptos"/>
                <w:b/>
                <w:color w:val="FFFFFF"/>
                <w:sz w:val="16"/>
              </w:rPr>
              <w:t xml:space="preserve">Entry condition</w:t>
            </w:r>
          </w:p>
        </w:tc>
        <w:tc>
          <w:tcPr>
            <w:tcW w:type="dxa" w:w="3862"/>
            <w:vAlign w:val="center"/>
            <w:shd w:fill="10253F"/>
          </w:tcPr>
          <w:p>
            <w:pPr>
              <w:spacing w:after="0"/>
            </w:pPr>
            <w:r/>
            <w:r>
              <w:rPr>
                <w:rFonts w:ascii="Aptos" w:hAnsi="Aptos"/>
                <w:b/>
                <w:color w:val="FFFFFF"/>
                <w:sz w:val="16"/>
              </w:rPr>
              <w:t xml:space="preserve">Allowed next actions / controls</w:t>
            </w:r>
          </w:p>
        </w:tc>
      </w:tr>
      <w:tr>
        <w:trPr>
          <w:cantSplit/>
        </w:trPr>
        <w:tc>
          <w:tcPr>
            <w:tcW w:type="dxa" w:w="2300"/>
            <w:vAlign w:val="center"/>
          </w:tcPr>
          <w:p>
            <w:pPr>
              <w:spacing w:after="0"/>
            </w:pPr>
            <w:r/>
            <w:r>
              <w:rPr>
                <w:rFonts w:ascii="Aptos" w:hAnsi="Aptos"/>
                <w:b w:val="0"/>
                <w:sz w:val="15"/>
              </w:rPr>
              <w:t xml:space="preserve">Draft</w:t>
            </w:r>
          </w:p>
        </w:tc>
        <w:tc>
          <w:tcPr>
            <w:tcW w:type="dxa" w:w="4062"/>
            <w:vAlign w:val="center"/>
          </w:tcPr>
          <w:p>
            <w:pPr>
              <w:spacing w:after="0"/>
            </w:pPr>
            <w:r/>
            <w:r>
              <w:rPr>
                <w:rFonts w:ascii="Aptos" w:hAnsi="Aptos"/>
                <w:b w:val="0"/>
                <w:sz w:val="15"/>
              </w:rPr>
              <w:t xml:space="preserve">Proposer is preparing terms.</w:t>
            </w:r>
          </w:p>
        </w:tc>
        <w:tc>
          <w:tcPr>
            <w:tcW w:type="dxa" w:w="3862"/>
            <w:vAlign w:val="center"/>
          </w:tcPr>
          <w:p>
            <w:pPr>
              <w:spacing w:after="0"/>
            </w:pPr>
            <w:r/>
            <w:r>
              <w:rPr>
                <w:rFonts w:ascii="Aptos" w:hAnsi="Aptos"/>
                <w:b w:val="0"/>
                <w:sz w:val="15"/>
              </w:rPr>
              <w:t xml:space="preserve">Edit, discard or send.</w:t>
            </w:r>
          </w:p>
        </w:tc>
      </w:tr>
      <w:tr>
        <w:trPr>
          <w:cantSplit/>
        </w:trPr>
        <w:tc>
          <w:tcPr>
            <w:tcW w:type="dxa" w:w="2300"/>
            <w:vAlign w:val="center"/>
            <w:shd w:fill="F2F6F8"/>
          </w:tcPr>
          <w:p>
            <w:pPr>
              <w:spacing w:after="0"/>
            </w:pPr>
            <w:r/>
            <w:r>
              <w:rPr>
                <w:rFonts w:ascii="Aptos" w:hAnsi="Aptos"/>
                <w:b w:val="0"/>
                <w:sz w:val="15"/>
              </w:rPr>
              <w:t xml:space="preserve">Proposed</w:t>
            </w:r>
          </w:p>
        </w:tc>
        <w:tc>
          <w:tcPr>
            <w:tcW w:type="dxa" w:w="4062"/>
            <w:vAlign w:val="center"/>
            <w:shd w:fill="F2F6F8"/>
          </w:tcPr>
          <w:p>
            <w:pPr>
              <w:spacing w:after="0"/>
            </w:pPr>
            <w:r/>
            <w:r>
              <w:rPr>
                <w:rFonts w:ascii="Aptos" w:hAnsi="Aptos"/>
                <w:b w:val="0"/>
                <w:sz w:val="15"/>
              </w:rPr>
              <w:t xml:space="preserve">Sent and awaiting the other party.</w:t>
            </w:r>
          </w:p>
        </w:tc>
        <w:tc>
          <w:tcPr>
            <w:tcW w:type="dxa" w:w="3862"/>
            <w:vAlign w:val="center"/>
            <w:shd w:fill="F2F6F8"/>
          </w:tcPr>
          <w:p>
            <w:pPr>
              <w:spacing w:after="0"/>
            </w:pPr>
            <w:r/>
            <w:r>
              <w:rPr>
                <w:rFonts w:ascii="Aptos" w:hAnsi="Aptos"/>
                <w:b w:val="0"/>
                <w:sz w:val="15"/>
              </w:rPr>
              <w:t xml:space="preserve">Accept, decline, counter or let expire.</w:t>
            </w:r>
          </w:p>
        </w:tc>
      </w:tr>
      <w:tr>
        <w:trPr>
          <w:cantSplit/>
        </w:trPr>
        <w:tc>
          <w:tcPr>
            <w:tcW w:type="dxa" w:w="2300"/>
            <w:vAlign w:val="center"/>
          </w:tcPr>
          <w:p>
            <w:pPr>
              <w:spacing w:after="0"/>
            </w:pPr>
            <w:r/>
            <w:r>
              <w:rPr>
                <w:rFonts w:ascii="Aptos" w:hAnsi="Aptos"/>
                <w:b w:val="0"/>
                <w:sz w:val="15"/>
              </w:rPr>
              <w:t xml:space="preserve">Negotiating</w:t>
            </w:r>
          </w:p>
        </w:tc>
        <w:tc>
          <w:tcPr>
            <w:tcW w:type="dxa" w:w="4062"/>
            <w:vAlign w:val="center"/>
          </w:tcPr>
          <w:p>
            <w:pPr>
              <w:spacing w:after="0"/>
            </w:pPr>
            <w:r/>
            <w:r>
              <w:rPr>
                <w:rFonts w:ascii="Aptos" w:hAnsi="Aptos"/>
                <w:b w:val="0"/>
                <w:sz w:val="15"/>
              </w:rPr>
              <w:t xml:space="preserve">A counter-proposal creates a new version.</w:t>
            </w:r>
          </w:p>
        </w:tc>
        <w:tc>
          <w:tcPr>
            <w:tcW w:type="dxa" w:w="3862"/>
            <w:vAlign w:val="center"/>
          </w:tcPr>
          <w:p>
            <w:pPr>
              <w:spacing w:after="0"/>
            </w:pPr>
            <w:r/>
            <w:r>
              <w:rPr>
                <w:rFonts w:ascii="Aptos" w:hAnsi="Aptos"/>
                <w:b w:val="0"/>
                <w:sz w:val="15"/>
              </w:rPr>
              <w:t xml:space="preserve">Each version is kept; only the latest can be accepted.</w:t>
            </w:r>
          </w:p>
        </w:tc>
      </w:tr>
      <w:tr>
        <w:trPr>
          <w:cantSplit/>
        </w:trPr>
        <w:tc>
          <w:tcPr>
            <w:tcW w:type="dxa" w:w="2300"/>
            <w:vAlign w:val="center"/>
            <w:shd w:fill="F2F6F8"/>
          </w:tcPr>
          <w:p>
            <w:pPr>
              <w:spacing w:after="0"/>
            </w:pPr>
            <w:r/>
            <w:r>
              <w:rPr>
                <w:rFonts w:ascii="Aptos" w:hAnsi="Aptos"/>
                <w:b w:val="0"/>
                <w:sz w:val="15"/>
              </w:rPr>
              <w:t xml:space="preserve">Active</w:t>
            </w:r>
          </w:p>
        </w:tc>
        <w:tc>
          <w:tcPr>
            <w:tcW w:type="dxa" w:w="4062"/>
            <w:vAlign w:val="center"/>
            <w:shd w:fill="F2F6F8"/>
          </w:tcPr>
          <w:p>
            <w:pPr>
              <w:spacing w:after="0"/>
            </w:pPr>
            <w:r/>
            <w:r>
              <w:rPr>
                <w:rFonts w:ascii="Aptos" w:hAnsi="Aptos"/>
                <w:b w:val="0"/>
                <w:sz w:val="15"/>
              </w:rPr>
              <w:t xml:space="preserve">Both parties accepted the same version.</w:t>
            </w:r>
          </w:p>
        </w:tc>
        <w:tc>
          <w:tcPr>
            <w:tcW w:type="dxa" w:w="3862"/>
            <w:vAlign w:val="center"/>
            <w:shd w:fill="F2F6F8"/>
          </w:tcPr>
          <w:p>
            <w:pPr>
              <w:spacing w:after="0"/>
            </w:pPr>
            <w:r/>
            <w:r>
              <w:rPr>
                <w:rFonts w:ascii="Aptos" w:hAnsi="Aptos"/>
                <w:b w:val="0"/>
                <w:sz w:val="15"/>
              </w:rPr>
              <w:t xml:space="preserve">Deliver milestones, request amendment, suspend or terminate under the terms.</w:t>
            </w:r>
          </w:p>
        </w:tc>
      </w:tr>
      <w:tr>
        <w:trPr>
          <w:cantSplit/>
        </w:trPr>
        <w:tc>
          <w:tcPr>
            <w:tcW w:type="dxa" w:w="2300"/>
            <w:vAlign w:val="center"/>
          </w:tcPr>
          <w:p>
            <w:pPr>
              <w:spacing w:after="0"/>
            </w:pPr>
            <w:r/>
            <w:r>
              <w:rPr>
                <w:rFonts w:ascii="Aptos" w:hAnsi="Aptos"/>
                <w:b w:val="0"/>
                <w:sz w:val="15"/>
              </w:rPr>
              <w:t xml:space="preserve">Suspended</w:t>
            </w:r>
          </w:p>
        </w:tc>
        <w:tc>
          <w:tcPr>
            <w:tcW w:type="dxa" w:w="4062"/>
            <w:vAlign w:val="center"/>
          </w:tcPr>
          <w:p>
            <w:pPr>
              <w:spacing w:after="0"/>
            </w:pPr>
            <w:r/>
            <w:r>
              <w:rPr>
                <w:rFonts w:ascii="Aptos" w:hAnsi="Aptos"/>
                <w:b w:val="0"/>
                <w:sz w:val="15"/>
              </w:rPr>
              <w:t xml:space="preserve">Agreed pause or policy hold.</w:t>
            </w:r>
          </w:p>
        </w:tc>
        <w:tc>
          <w:tcPr>
            <w:tcW w:type="dxa" w:w="3862"/>
            <w:vAlign w:val="center"/>
          </w:tcPr>
          <w:p>
            <w:pPr>
              <w:spacing w:after="0"/>
            </w:pPr>
            <w:r/>
            <w:r>
              <w:rPr>
                <w:rFonts w:ascii="Aptos" w:hAnsi="Aptos"/>
                <w:b w:val="0"/>
                <w:sz w:val="15"/>
              </w:rPr>
              <w:t xml:space="preserve">Resume or terminate; reason and actor recorded.</w:t>
            </w:r>
          </w:p>
        </w:tc>
      </w:tr>
      <w:tr>
        <w:trPr>
          <w:cantSplit/>
        </w:trPr>
        <w:tc>
          <w:tcPr>
            <w:tcW w:type="dxa" w:w="2300"/>
            <w:vAlign w:val="center"/>
            <w:shd w:fill="F2F6F8"/>
          </w:tcPr>
          <w:p>
            <w:pPr>
              <w:spacing w:after="0"/>
            </w:pPr>
            <w:r/>
            <w:r>
              <w:rPr>
                <w:rFonts w:ascii="Aptos" w:hAnsi="Aptos"/>
                <w:b w:val="0"/>
                <w:sz w:val="15"/>
              </w:rPr>
              <w:t xml:space="preserve">Completed</w:t>
            </w:r>
          </w:p>
        </w:tc>
        <w:tc>
          <w:tcPr>
            <w:tcW w:type="dxa" w:w="4062"/>
            <w:vAlign w:val="center"/>
            <w:shd w:fill="F2F6F8"/>
          </w:tcPr>
          <w:p>
            <w:pPr>
              <w:spacing w:after="0"/>
            </w:pPr>
            <w:r/>
            <w:r>
              <w:rPr>
                <w:rFonts w:ascii="Aptos" w:hAnsi="Aptos"/>
                <w:b w:val="0"/>
                <w:sz w:val="15"/>
              </w:rPr>
              <w:t xml:space="preserve">All milestones or the term completed.</w:t>
            </w:r>
          </w:p>
        </w:tc>
        <w:tc>
          <w:tcPr>
            <w:tcW w:type="dxa" w:w="3862"/>
            <w:vAlign w:val="center"/>
            <w:shd w:fill="F2F6F8"/>
          </w:tcPr>
          <w:p>
            <w:pPr>
              <w:spacing w:after="0"/>
            </w:pPr>
            <w:r/>
            <w:r>
              <w:rPr>
                <w:rFonts w:ascii="Aptos" w:hAnsi="Aptos"/>
                <w:b w:val="0"/>
                <w:sz w:val="15"/>
              </w:rPr>
              <w:t xml:space="preserve">Customer confirmation or issue report within 7 days per §8.7, then closed.</w:t>
            </w:r>
          </w:p>
        </w:tc>
      </w:tr>
      <w:tr>
        <w:trPr>
          <w:cantSplit/>
        </w:trPr>
        <w:tc>
          <w:tcPr>
            <w:tcW w:type="dxa" w:w="2300"/>
            <w:vAlign w:val="center"/>
          </w:tcPr>
          <w:p>
            <w:pPr>
              <w:spacing w:after="0"/>
            </w:pPr>
            <w:r/>
            <w:r>
              <w:rPr>
                <w:rFonts w:ascii="Aptos" w:hAnsi="Aptos"/>
                <w:b w:val="0"/>
                <w:sz w:val="15"/>
              </w:rPr>
              <w:t xml:space="preserve">Terminated</w:t>
            </w:r>
          </w:p>
        </w:tc>
        <w:tc>
          <w:tcPr>
            <w:tcW w:type="dxa" w:w="4062"/>
            <w:vAlign w:val="center"/>
          </w:tcPr>
          <w:p>
            <w:pPr>
              <w:spacing w:after="0"/>
            </w:pPr>
            <w:r/>
            <w:r>
              <w:rPr>
                <w:rFonts w:ascii="Aptos" w:hAnsi="Aptos"/>
                <w:b w:val="0"/>
                <w:sz w:val="15"/>
              </w:rPr>
              <w:t xml:space="preserve">Ended early under the terms.</w:t>
            </w:r>
          </w:p>
        </w:tc>
        <w:tc>
          <w:tcPr>
            <w:tcW w:type="dxa" w:w="3862"/>
            <w:vAlign w:val="center"/>
          </w:tcPr>
          <w:p>
            <w:pPr>
              <w:spacing w:after="0"/>
            </w:pPr>
            <w:r/>
            <w:r>
              <w:rPr>
                <w:rFonts w:ascii="Aptos" w:hAnsi="Aptos"/>
                <w:b w:val="0"/>
                <w:sz w:val="15"/>
              </w:rPr>
              <w:t xml:space="preserve">Record actor, reason, time and policy result.</w:t>
            </w:r>
          </w:p>
        </w:tc>
      </w:tr>
      <w:tr>
        <w:trPr>
          <w:cantSplit/>
        </w:trPr>
        <w:tc>
          <w:tcPr>
            <w:tcW w:type="dxa" w:w="2300"/>
            <w:vAlign w:val="center"/>
            <w:shd w:fill="F2F6F8"/>
          </w:tcPr>
          <w:p>
            <w:pPr>
              <w:spacing w:after="0"/>
            </w:pPr>
            <w:r/>
            <w:r>
              <w:rPr>
                <w:rFonts w:ascii="Aptos" w:hAnsi="Aptos"/>
                <w:b w:val="0"/>
                <w:sz w:val="15"/>
              </w:rPr>
              <w:t xml:space="preserve">Expired</w:t>
            </w:r>
          </w:p>
        </w:tc>
        <w:tc>
          <w:tcPr>
            <w:tcW w:type="dxa" w:w="4062"/>
            <w:vAlign w:val="center"/>
            <w:shd w:fill="F2F6F8"/>
          </w:tcPr>
          <w:p>
            <w:pPr>
              <w:spacing w:after="0"/>
            </w:pPr>
            <w:r/>
            <w:r>
              <w:rPr>
                <w:rFonts w:ascii="Aptos" w:hAnsi="Aptos"/>
                <w:b w:val="0"/>
                <w:sz w:val="15"/>
              </w:rPr>
              <w:t xml:space="preserve">Proposal or term lapsed without acceptance or renewal.</w:t>
            </w:r>
          </w:p>
        </w:tc>
        <w:tc>
          <w:tcPr>
            <w:tcW w:type="dxa" w:w="3862"/>
            <w:vAlign w:val="center"/>
            <w:shd w:fill="F2F6F8"/>
          </w:tcPr>
          <w:p>
            <w:pPr>
              <w:spacing w:after="0"/>
            </w:pPr>
            <w:r/>
            <w:r>
              <w:rPr>
                <w:rFonts w:ascii="Aptos" w:hAnsi="Aptos"/>
                <w:b w:val="0"/>
                <w:sz w:val="15"/>
              </w:rPr>
              <w:t xml:space="preserve">Notify both parties; a new proposal may be started.</w:t>
            </w:r>
          </w:p>
        </w:tc>
      </w:tr>
      <w:tr>
        <w:trPr>
          <w:cantSplit/>
        </w:trPr>
        <w:tc>
          <w:tcPr>
            <w:tcW w:type="dxa" w:w="2300"/>
            <w:vAlign w:val="center"/>
          </w:tcPr>
          <w:p>
            <w:pPr>
              <w:spacing w:after="0"/>
            </w:pPr>
            <w:r/>
            <w:r>
              <w:rPr>
                <w:rFonts w:ascii="Aptos" w:hAnsi="Aptos"/>
                <w:b w:val="0"/>
                <w:sz w:val="15"/>
              </w:rPr>
              <w:t xml:space="preserve">Disputed</w:t>
            </w:r>
          </w:p>
        </w:tc>
        <w:tc>
          <w:tcPr>
            <w:tcW w:type="dxa" w:w="4062"/>
            <w:vAlign w:val="center"/>
          </w:tcPr>
          <w:p>
            <w:pPr>
              <w:spacing w:after="0"/>
            </w:pPr>
            <w:r/>
            <w:r>
              <w:rPr>
                <w:rFonts w:ascii="Aptos" w:hAnsi="Aptos"/>
                <w:b w:val="0"/>
                <w:sz w:val="15"/>
              </w:rPr>
              <w:t xml:space="preserve">Issue reported on an active or completed contract.</w:t>
            </w:r>
          </w:p>
        </w:tc>
        <w:tc>
          <w:tcPr>
            <w:tcW w:type="dxa" w:w="3862"/>
            <w:vAlign w:val="center"/>
          </w:tcPr>
          <w:p>
            <w:pPr>
              <w:spacing w:after="0"/>
            </w:pPr>
            <w:r/>
            <w:r>
              <w:rPr>
                <w:rFonts w:ascii="Aptos" w:hAnsi="Aptos"/>
                <w:b w:val="0"/>
                <w:sz w:val="15"/>
              </w:rPr>
              <w:t xml:space="preserve">Linked support case; transaction history is never silently rewritten.</w:t>
            </w:r>
          </w:p>
        </w:tc>
      </w:tr>
    </w:tbl>
    <w:p>
      <w:pPr>
        <w:spacing w:after="0"/>
      </w:pPr>
    </w:p>
    <w:p>
      <w:pPr>
        <w:pStyle w:val="ListBullet"/>
      </w:pPr>
      <w:r>
        <w:rPr>
          <w:b/>
        </w:rPr>
        <w:t xml:space="preserve">Legal position. </w:t>
      </w:r>
      <w:r>
        <w:t xml:space="preserve">Contract terms are a commercial agreement between customer and vendor. VendorVerse provides templates and a record, does not give legal advice and is not a party unless a published platform policy says otherwise. Template wording needs legal review per country (CFG-17).</w:t>
      </w:r>
    </w:p>
    <w:p>
      <w:pPr>
        <w:pStyle w:val="ListBullet"/>
      </w:pPr>
      <w:r>
        <w:rPr>
          <w:b/>
        </w:rPr>
        <w:t xml:space="preserve">Acceptance integrity. </w:t>
      </w:r>
      <w:r>
        <w:t xml:space="preserve">Acceptance records the user, timestamp and version reference. Concurrent acceptance of different versions must resolve to a single accepted version (SC-043).</w:t>
      </w:r>
    </w:p>
    <w:p>
      <w:pPr>
        <w:pStyle w:val="ListBullet"/>
      </w:pPr>
      <w:r>
        <w:rPr>
          <w:b/>
        </w:rPr>
        <w:t xml:space="preserve">Delivery and cancellation. </w:t>
      </w:r>
      <w:r>
        <w:t xml:space="preserve">Milestone completion reuses the 7-day customer response rule of §8.7. Cancellation and termination follow the contract terms, with the platform baseline policy shown first.</w:t>
      </w:r>
    </w:p>
    <w:p>
      <w:pPr>
        <w:pStyle w:val="ListBullet"/>
      </w:pPr>
      <w:r>
        <w:rPr>
          <w:b/>
        </w:rPr>
        <w:t xml:space="preserve">Subscription lapse. </w:t>
      </w:r>
      <w:r>
        <w:t xml:space="preserve">A lapsed vendor subscription never removes access to active contracts (§11.2, existing commitments).</w:t>
      </w:r>
    </w:p>
    <w:p>
      <w:pPr>
        <w:pStyle w:val="ListBullet"/>
      </w:pPr>
      <w:r>
        <w:rPr>
          <w:b/>
        </w:rPr>
        <w:t xml:space="preserve">Enablement. </w:t>
      </w:r>
      <w:r>
        <w:t xml:space="preserve">Contract bookings are enabled per category by a feature flag, only once an approved template exists for that category and country.</w:t>
      </w:r>
    </w:p>
    <w:p>
      <w:pPr>
        <w:pStyle w:val="Heading2"/>
      </w:pPr>
      <w:bookmarkStart w:id="9035" w:name="gm_s266"/>
      <w:r>
        <w:t xml:space="preserve">26.6 Vendor verification and rating system</w:t>
      </w:r>
      <w:bookmarkEnd w:id="9035"/>
    </w:p>
    <w:p>
      <w:r>
        <w:t xml:space="preserve">This section extends §5.2 and chapter 12. Verification is evidence-based and country-aware; ratings come only from eligible transactions. Neither can be bought, and subscription tier is never a trust signal.</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Verification level</w:t>
            </w:r>
          </w:p>
        </w:tc>
        <w:tc>
          <w:tcPr>
            <w:tcW w:type="dxa" w:w="4062"/>
            <w:vAlign w:val="center"/>
            <w:shd w:fill="10253F"/>
          </w:tcPr>
          <w:p>
            <w:pPr>
              <w:spacing w:after="0"/>
            </w:pPr>
            <w:r/>
            <w:r>
              <w:rPr>
                <w:rFonts w:ascii="Aptos" w:hAnsi="Aptos"/>
                <w:b/>
                <w:color w:val="FFFFFF"/>
                <w:sz w:val="16"/>
              </w:rPr>
              <w:t xml:space="preserve">Meaning</w:t>
            </w:r>
          </w:p>
        </w:tc>
        <w:tc>
          <w:tcPr>
            <w:tcW w:type="dxa" w:w="3862"/>
            <w:vAlign w:val="center"/>
            <w:shd w:fill="10253F"/>
          </w:tcPr>
          <w:p>
            <w:pPr>
              <w:spacing w:after="0"/>
            </w:pPr>
            <w:r/>
            <w:r>
              <w:rPr>
                <w:rFonts w:ascii="Aptos" w:hAnsi="Aptos"/>
                <w:b/>
                <w:color w:val="FFFFFF"/>
                <w:sz w:val="16"/>
              </w:rPr>
              <w:t xml:space="preserve">Typical evidence (configurable by country and category)</w:t>
            </w:r>
          </w:p>
        </w:tc>
      </w:tr>
      <w:tr>
        <w:trPr>
          <w:cantSplit/>
        </w:trPr>
        <w:tc>
          <w:tcPr>
            <w:tcW w:type="dxa" w:w="2300"/>
            <w:vAlign w:val="center"/>
          </w:tcPr>
          <w:p>
            <w:pPr>
              <w:spacing w:after="0"/>
            </w:pPr>
            <w:r/>
            <w:r>
              <w:rPr>
                <w:rFonts w:ascii="Aptos" w:hAnsi="Aptos"/>
                <w:b w:val="0"/>
                <w:sz w:val="15"/>
              </w:rPr>
              <w:t xml:space="preserve">L0 Registered</w:t>
            </w:r>
          </w:p>
        </w:tc>
        <w:tc>
          <w:tcPr>
            <w:tcW w:type="dxa" w:w="4062"/>
            <w:vAlign w:val="center"/>
          </w:tcPr>
          <w:p>
            <w:pPr>
              <w:spacing w:after="0"/>
            </w:pPr>
            <w:r/>
            <w:r>
              <w:rPr>
                <w:rFonts w:ascii="Aptos" w:hAnsi="Aptos"/>
                <w:b w:val="0"/>
                <w:sz w:val="15"/>
              </w:rPr>
              <w:t xml:space="preserve">Account exists; no completed verification.</w:t>
            </w:r>
          </w:p>
        </w:tc>
        <w:tc>
          <w:tcPr>
            <w:tcW w:type="dxa" w:w="3862"/>
            <w:vAlign w:val="center"/>
          </w:tcPr>
          <w:p>
            <w:pPr>
              <w:spacing w:after="0"/>
            </w:pPr>
            <w:r/>
            <w:r>
              <w:rPr>
                <w:rFonts w:ascii="Aptos" w:hAnsi="Aptos"/>
                <w:b w:val="0"/>
                <w:sz w:val="15"/>
              </w:rPr>
              <w:t xml:space="preserve">None. Cannot publish where verification is mandatory (§5.3).</w:t>
            </w:r>
          </w:p>
        </w:tc>
      </w:tr>
      <w:tr>
        <w:trPr>
          <w:cantSplit/>
        </w:trPr>
        <w:tc>
          <w:tcPr>
            <w:tcW w:type="dxa" w:w="2300"/>
            <w:vAlign w:val="center"/>
            <w:shd w:fill="F2F6F8"/>
          </w:tcPr>
          <w:p>
            <w:pPr>
              <w:spacing w:after="0"/>
            </w:pPr>
            <w:r/>
            <w:r>
              <w:rPr>
                <w:rFonts w:ascii="Aptos" w:hAnsi="Aptos"/>
                <w:b w:val="0"/>
                <w:sz w:val="15"/>
              </w:rPr>
              <w:t xml:space="preserve">L1 Contact verified</w:t>
            </w:r>
          </w:p>
        </w:tc>
        <w:tc>
          <w:tcPr>
            <w:tcW w:type="dxa" w:w="4062"/>
            <w:vAlign w:val="center"/>
            <w:shd w:fill="F2F6F8"/>
          </w:tcPr>
          <w:p>
            <w:pPr>
              <w:spacing w:after="0"/>
            </w:pPr>
            <w:r/>
            <w:r>
              <w:rPr>
                <w:rFonts w:ascii="Aptos" w:hAnsi="Aptos"/>
                <w:b w:val="0"/>
                <w:sz w:val="15"/>
              </w:rPr>
              <w:t xml:space="preserve">Email and phone ownership confirmed.</w:t>
            </w:r>
          </w:p>
        </w:tc>
        <w:tc>
          <w:tcPr>
            <w:tcW w:type="dxa" w:w="3862"/>
            <w:vAlign w:val="center"/>
            <w:shd w:fill="F2F6F8"/>
          </w:tcPr>
          <w:p>
            <w:pPr>
              <w:spacing w:after="0"/>
            </w:pPr>
            <w:r/>
            <w:r>
              <w:rPr>
                <w:rFonts w:ascii="Aptos" w:hAnsi="Aptos"/>
                <w:b w:val="0"/>
                <w:sz w:val="15"/>
              </w:rPr>
              <w:t xml:space="preserve">One-time codes to the registered email and phone.</w:t>
            </w:r>
          </w:p>
        </w:tc>
      </w:tr>
      <w:tr>
        <w:trPr>
          <w:cantSplit/>
        </w:trPr>
        <w:tc>
          <w:tcPr>
            <w:tcW w:type="dxa" w:w="2300"/>
            <w:vAlign w:val="center"/>
          </w:tcPr>
          <w:p>
            <w:pPr>
              <w:spacing w:after="0"/>
            </w:pPr>
            <w:r/>
            <w:r>
              <w:rPr>
                <w:rFonts w:ascii="Aptos" w:hAnsi="Aptos"/>
                <w:b w:val="0"/>
                <w:sz w:val="15"/>
              </w:rPr>
              <w:t xml:space="preserve">L2 Business verified</w:t>
            </w:r>
          </w:p>
        </w:tc>
        <w:tc>
          <w:tcPr>
            <w:tcW w:type="dxa" w:w="4062"/>
            <w:vAlign w:val="center"/>
          </w:tcPr>
          <w:p>
            <w:pPr>
              <w:spacing w:after="0"/>
            </w:pPr>
            <w:r/>
            <w:r>
              <w:rPr>
                <w:rFonts w:ascii="Aptos" w:hAnsi="Aptos"/>
                <w:b w:val="0"/>
                <w:sz w:val="15"/>
              </w:rPr>
              <w:t xml:space="preserve">Business existence and owner identity checked.</w:t>
            </w:r>
          </w:p>
        </w:tc>
        <w:tc>
          <w:tcPr>
            <w:tcW w:type="dxa" w:w="3862"/>
            <w:vAlign w:val="center"/>
          </w:tcPr>
          <w:p>
            <w:pPr>
              <w:spacing w:after="0"/>
            </w:pPr>
            <w:r/>
            <w:r>
              <w:rPr>
                <w:rFonts w:ascii="Aptos" w:hAnsi="Aptos"/>
                <w:b w:val="0"/>
                <w:sz w:val="15"/>
              </w:rPr>
              <w:t xml:space="preserve">Country-appropriate business registration and owner identity evidence.</w:t>
            </w:r>
          </w:p>
        </w:tc>
      </w:tr>
      <w:tr>
        <w:trPr>
          <w:cantSplit/>
        </w:trPr>
        <w:tc>
          <w:tcPr>
            <w:tcW w:type="dxa" w:w="2300"/>
            <w:vAlign w:val="center"/>
            <w:shd w:fill="F2F6F8"/>
          </w:tcPr>
          <w:p>
            <w:pPr>
              <w:spacing w:after="0"/>
            </w:pPr>
            <w:r/>
            <w:r>
              <w:rPr>
                <w:rFonts w:ascii="Aptos" w:hAnsi="Aptos"/>
                <w:b w:val="0"/>
                <w:sz w:val="15"/>
              </w:rPr>
              <w:t xml:space="preserve">L3 Credential verified</w:t>
            </w:r>
          </w:p>
        </w:tc>
        <w:tc>
          <w:tcPr>
            <w:tcW w:type="dxa" w:w="4062"/>
            <w:vAlign w:val="center"/>
            <w:shd w:fill="F2F6F8"/>
          </w:tcPr>
          <w:p>
            <w:pPr>
              <w:spacing w:after="0"/>
            </w:pPr>
            <w:r/>
            <w:r>
              <w:rPr>
                <w:rFonts w:ascii="Aptos" w:hAnsi="Aptos"/>
                <w:b w:val="0"/>
                <w:sz w:val="15"/>
              </w:rPr>
              <w:t xml:space="preserve">Category licences, certifications or insurance checked.</w:t>
            </w:r>
          </w:p>
        </w:tc>
        <w:tc>
          <w:tcPr>
            <w:tcW w:type="dxa" w:w="3862"/>
            <w:vAlign w:val="center"/>
            <w:shd w:fill="F2F6F8"/>
          </w:tcPr>
          <w:p>
            <w:pPr>
              <w:spacing w:after="0"/>
            </w:pPr>
            <w:r/>
            <w:r>
              <w:rPr>
                <w:rFonts w:ascii="Aptos" w:hAnsi="Aptos"/>
                <w:b w:val="0"/>
                <w:sz w:val="15"/>
              </w:rPr>
              <w:t xml:space="preserve">Licence, certificate or insurance documents with expiry tracking.</w:t>
            </w:r>
          </w:p>
        </w:tc>
      </w:tr>
      <w:tr>
        <w:trPr>
          <w:cantSplit/>
        </w:trPr>
        <w:tc>
          <w:tcPr>
            <w:tcW w:type="dxa" w:w="2300"/>
            <w:vAlign w:val="center"/>
          </w:tcPr>
          <w:p>
            <w:pPr>
              <w:spacing w:after="0"/>
            </w:pPr>
            <w:r/>
            <w:r>
              <w:rPr>
                <w:rFonts w:ascii="Aptos" w:hAnsi="Aptos"/>
                <w:b w:val="0"/>
                <w:sz w:val="15"/>
              </w:rPr>
              <w:t xml:space="preserve">L4 Enhanced review</w:t>
            </w:r>
          </w:p>
        </w:tc>
        <w:tc>
          <w:tcPr>
            <w:tcW w:type="dxa" w:w="4062"/>
            <w:vAlign w:val="center"/>
          </w:tcPr>
          <w:p>
            <w:pPr>
              <w:spacing w:after="0"/>
            </w:pPr>
            <w:r/>
            <w:r>
              <w:rPr>
                <w:rFonts w:ascii="Aptos" w:hAnsi="Aptos"/>
                <w:b w:val="0"/>
                <w:sz w:val="15"/>
              </w:rPr>
              <w:t xml:space="preserve">Extra due diligence for high-risk categories or high-value contracts. Optional and phased.</w:t>
            </w:r>
          </w:p>
        </w:tc>
        <w:tc>
          <w:tcPr>
            <w:tcW w:type="dxa" w:w="3862"/>
            <w:vAlign w:val="center"/>
          </w:tcPr>
          <w:p>
            <w:pPr>
              <w:spacing w:after="0"/>
            </w:pPr>
            <w:r/>
            <w:r>
              <w:rPr>
                <w:rFonts w:ascii="Aptos" w:hAnsi="Aptos"/>
                <w:b w:val="0"/>
                <w:sz w:val="15"/>
              </w:rPr>
              <w:t xml:space="preserve">Additional evidence, or review by an approved reviewer or partner.</w:t>
            </w:r>
          </w:p>
        </w:tc>
      </w:tr>
    </w:tbl>
    <w:p>
      <w:pPr>
        <w:spacing w:after="0"/>
      </w:pPr>
    </w:p>
    <w:p>
      <w:pPr>
        <w:pStyle w:val="ListBullet"/>
      </w:pPr>
      <w:r>
        <w:rPr>
          <w:b/>
        </w:rPr>
        <w:t xml:space="preserve">Requirement matrix. </w:t>
      </w:r>
      <w:r>
        <w:t xml:space="preserve">The required level is set by a category × country matrix (CFG-18, extending CFG-05).</w:t>
      </w:r>
    </w:p>
    <w:p>
      <w:pPr>
        <w:pStyle w:val="ListBullet"/>
      </w:pPr>
      <w:r>
        <w:rPr>
          <w:b/>
        </w:rPr>
        <w:t xml:space="preserve">Transparent badges. </w:t>
      </w:r>
      <w:r>
        <w:t xml:space="preserve">Badges say what was verified and when; a bare “verified” label is not allowed. Expiry triggers the re-verification workflow (SC-009).</w:t>
      </w:r>
    </w:p>
    <w:p>
      <w:pPr>
        <w:pStyle w:val="ListBullet"/>
      </w:pPr>
      <w:r>
        <w:rPr>
          <w:b/>
        </w:rPr>
        <w:t xml:space="preserve">Limits. </w:t>
      </w:r>
      <w:r>
        <w:t xml:space="preserve">Verification does not claim quality, safety or a guarantee of work. Reviewers cannot approve their own accounts (§13.2). Where legally required for an activated country, restricted-party screening is part of onboarding.</w:t>
      </w:r>
    </w:p>
    <w:tbl>
      <w:tblPr>
        <w:tblStyle w:val="TableGrid"/>
        <w:tblW w:type="auto" w:w="0"/>
        <w:jc w:val="center"/>
        <w:tblLook w:firstColumn="1" w:firstRow="1" w:lastColumn="0" w:lastRow="0" w:noHBand="0" w:noVBand="1" w:val="04A0"/>
      </w:tblPr>
      <w:tblGrid>
        <w:gridCol w:w="2300"/>
        <w:gridCol w:w="7924"/>
      </w:tblGrid>
      <w:tr>
        <w:trPr>
          <w:cantSplit/>
          <w:tblHeader/>
        </w:trPr>
        <w:tc>
          <w:tcPr>
            <w:tcW w:type="dxa" w:w="2300"/>
            <w:vAlign w:val="center"/>
            <w:shd w:fill="10253F"/>
          </w:tcPr>
          <w:p>
            <w:pPr>
              <w:spacing w:after="0"/>
            </w:pPr>
            <w:r/>
            <w:r>
              <w:rPr>
                <w:rFonts w:ascii="Aptos" w:hAnsi="Aptos"/>
                <w:b/>
                <w:color w:val="FFFFFF"/>
                <w:sz w:val="16"/>
              </w:rPr>
              <w:t xml:space="preserve">Rating area</w:t>
            </w:r>
          </w:p>
        </w:tc>
        <w:tc>
          <w:tcPr>
            <w:tcW w:type="dxa" w:w="7924"/>
            <w:vAlign w:val="center"/>
            <w:shd w:fill="10253F"/>
          </w:tcPr>
          <w:p>
            <w:pPr>
              <w:spacing w:after="0"/>
            </w:pPr>
            <w:r/>
            <w:r>
              <w:rPr>
                <w:rFonts w:ascii="Aptos" w:hAnsi="Aptos"/>
                <w:b/>
                <w:color w:val="FFFFFF"/>
                <w:sz w:val="16"/>
              </w:rPr>
              <w:t xml:space="preserve">Requirement</w:t>
            </w:r>
          </w:p>
        </w:tc>
      </w:tr>
      <w:tr>
        <w:trPr>
          <w:cantSplit/>
        </w:trPr>
        <w:tc>
          <w:tcPr>
            <w:tcW w:type="dxa" w:w="2300"/>
            <w:vAlign w:val="center"/>
          </w:tcPr>
          <w:p>
            <w:pPr>
              <w:spacing w:after="0"/>
            </w:pPr>
            <w:r/>
            <w:r>
              <w:rPr>
                <w:rFonts w:ascii="Aptos" w:hAnsi="Aptos"/>
                <w:b w:val="0"/>
                <w:sz w:val="15"/>
              </w:rPr>
              <w:t xml:space="preserve">Eligibility</w:t>
            </w:r>
          </w:p>
        </w:tc>
        <w:tc>
          <w:tcPr>
            <w:tcW w:type="dxa" w:w="7924"/>
            <w:vAlign w:val="center"/>
          </w:tcPr>
          <w:p>
            <w:pPr>
              <w:spacing w:after="0"/>
            </w:pPr>
            <w:r/>
            <w:r>
              <w:rPr>
                <w:rFonts w:ascii="Aptos" w:hAnsi="Aptos"/>
                <w:b w:val="0"/>
                <w:sz w:val="15"/>
              </w:rPr>
              <w:t xml:space="preserve">Only customers with a recorded booking, accepted quotation/work order or contract milestone/completion may review (extends §12.1). The server verifies eligibility.</w:t>
            </w:r>
          </w:p>
        </w:tc>
      </w:tr>
      <w:tr>
        <w:trPr>
          <w:cantSplit/>
        </w:trPr>
        <w:tc>
          <w:tcPr>
            <w:tcW w:type="dxa" w:w="2300"/>
            <w:vAlign w:val="center"/>
            <w:shd w:fill="F2F6F8"/>
          </w:tcPr>
          <w:p>
            <w:pPr>
              <w:spacing w:after="0"/>
            </w:pPr>
            <w:r/>
            <w:r>
              <w:rPr>
                <w:rFonts w:ascii="Aptos" w:hAnsi="Aptos"/>
                <w:b w:val="0"/>
                <w:sz w:val="15"/>
              </w:rPr>
              <w:t xml:space="preserve">Dimensions</w:t>
            </w:r>
          </w:p>
        </w:tc>
        <w:tc>
          <w:tcPr>
            <w:tcW w:type="dxa" w:w="7924"/>
            <w:vAlign w:val="center"/>
            <w:shd w:fill="F2F6F8"/>
          </w:tcPr>
          <w:p>
            <w:pPr>
              <w:spacing w:after="0"/>
            </w:pPr>
            <w:r/>
            <w:r>
              <w:rPr>
                <w:rFonts w:ascii="Aptos" w:hAnsi="Aptos"/>
                <w:b w:val="0"/>
                <w:sz w:val="15"/>
              </w:rPr>
              <w:t xml:space="preserve">Overall rating from 1 to 5 plus optional category-configurable dimensions such as quality, communication, timeliness and value.</w:t>
            </w:r>
          </w:p>
        </w:tc>
      </w:tr>
      <w:tr>
        <w:trPr>
          <w:cantSplit/>
        </w:trPr>
        <w:tc>
          <w:tcPr>
            <w:tcW w:type="dxa" w:w="2300"/>
            <w:vAlign w:val="center"/>
          </w:tcPr>
          <w:p>
            <w:pPr>
              <w:spacing w:after="0"/>
            </w:pPr>
            <w:r/>
            <w:r>
              <w:rPr>
                <w:rFonts w:ascii="Aptos" w:hAnsi="Aptos"/>
                <w:b w:val="0"/>
                <w:sz w:val="15"/>
              </w:rPr>
              <w:t xml:space="preserve">Display</w:t>
            </w:r>
          </w:p>
        </w:tc>
        <w:tc>
          <w:tcPr>
            <w:tcW w:type="dxa" w:w="7924"/>
            <w:vAlign w:val="center"/>
          </w:tcPr>
          <w:p>
            <w:pPr>
              <w:spacing w:after="0"/>
            </w:pPr>
            <w:r/>
            <w:r>
              <w:rPr>
                <w:rFonts w:ascii="Aptos" w:hAnsi="Aptos"/>
                <w:b w:val="0"/>
                <w:sz w:val="15"/>
              </w:rPr>
              <w:t xml:space="preserve">Average, review count and breakdown. “No reviews yet” is shown neutrally and is not treated as negative. Reviews show their language; machine translation is labelled as such.</w:t>
            </w:r>
          </w:p>
        </w:tc>
      </w:tr>
      <w:tr>
        <w:trPr>
          <w:cantSplit/>
        </w:trPr>
        <w:tc>
          <w:tcPr>
            <w:tcW w:type="dxa" w:w="2300"/>
            <w:vAlign w:val="center"/>
            <w:shd w:fill="F2F6F8"/>
          </w:tcPr>
          <w:p>
            <w:pPr>
              <w:spacing w:after="0"/>
            </w:pPr>
            <w:r/>
            <w:r>
              <w:rPr>
                <w:rFonts w:ascii="Aptos" w:hAnsi="Aptos"/>
                <w:b w:val="0"/>
                <w:sz w:val="15"/>
              </w:rPr>
              <w:t xml:space="preserve">Ranking use</w:t>
            </w:r>
          </w:p>
        </w:tc>
        <w:tc>
          <w:tcPr>
            <w:tcW w:type="dxa" w:w="7924"/>
            <w:vAlign w:val="center"/>
            <w:shd w:fill="F2F6F8"/>
          </w:tcPr>
          <w:p>
            <w:pPr>
              <w:spacing w:after="0"/>
            </w:pPr>
            <w:r/>
            <w:r>
              <w:rPr>
                <w:rFonts w:ascii="Aptos" w:hAnsi="Aptos"/>
                <w:b w:val="0"/>
                <w:sz w:val="15"/>
              </w:rPr>
              <w:t xml:space="preserve">Sparse-history smoothing and recency weighting apply to ranking only; displayed averages are never altered (§7.2). Suspicious patterns are held for moderation.</w:t>
            </w:r>
          </w:p>
        </w:tc>
      </w:tr>
      <w:tr>
        <w:trPr>
          <w:cantSplit/>
        </w:trPr>
        <w:tc>
          <w:tcPr>
            <w:tcW w:type="dxa" w:w="2300"/>
            <w:vAlign w:val="center"/>
          </w:tcPr>
          <w:p>
            <w:pPr>
              <w:spacing w:after="0"/>
            </w:pPr>
            <w:r/>
            <w:r>
              <w:rPr>
                <w:rFonts w:ascii="Aptos" w:hAnsi="Aptos"/>
                <w:b w:val="0"/>
                <w:sz w:val="15"/>
              </w:rPr>
              <w:t xml:space="preserve">Operational metrics</w:t>
            </w:r>
          </w:p>
        </w:tc>
        <w:tc>
          <w:tcPr>
            <w:tcW w:type="dxa" w:w="7924"/>
            <w:vAlign w:val="center"/>
          </w:tcPr>
          <w:p>
            <w:pPr>
              <w:spacing w:after="0"/>
            </w:pPr>
            <w:r/>
            <w:r>
              <w:rPr>
                <w:rFonts w:ascii="Aptos" w:hAnsi="Aptos"/>
                <w:b w:val="0"/>
                <w:sz w:val="15"/>
              </w:rPr>
              <w:t xml:space="preserve">Response rate and time, on-time completion, repeat customers and cancellation rate are computed by the platform, shown only when enough data exists and defined in published rules.</w:t>
            </w:r>
          </w:p>
        </w:tc>
      </w:tr>
      <w:tr>
        <w:trPr>
          <w:cantSplit/>
        </w:trPr>
        <w:tc>
          <w:tcPr>
            <w:tcW w:type="dxa" w:w="2300"/>
            <w:vAlign w:val="center"/>
            <w:shd w:fill="F2F6F8"/>
          </w:tcPr>
          <w:p>
            <w:pPr>
              <w:spacing w:after="0"/>
            </w:pPr>
            <w:r/>
            <w:r>
              <w:rPr>
                <w:rFonts w:ascii="Aptos" w:hAnsi="Aptos"/>
                <w:b w:val="0"/>
                <w:sz w:val="15"/>
              </w:rPr>
              <w:t xml:space="preserve">Integrity</w:t>
            </w:r>
          </w:p>
        </w:tc>
        <w:tc>
          <w:tcPr>
            <w:tcW w:type="dxa" w:w="7924"/>
            <w:vAlign w:val="center"/>
            <w:shd w:fill="F2F6F8"/>
          </w:tcPr>
          <w:p>
            <w:pPr>
              <w:spacing w:after="0"/>
            </w:pPr>
            <w:r/>
            <w:r>
              <w:rPr>
                <w:rFonts w:ascii="Aptos" w:hAnsi="Aptos"/>
                <w:b w:val="0"/>
                <w:sz w:val="15"/>
              </w:rPr>
              <w:t xml:space="preserve">Moderation, appeals and enforcement follow §12.2–12.4. Vendors may respond to reviews but cannot pay for removal or alteration. Cross-border content follows local-law review rules.</w:t>
            </w:r>
          </w:p>
        </w:tc>
      </w:tr>
    </w:tbl>
    <w:p>
      <w:pPr>
        <w:spacing w:after="0"/>
      </w:pPr>
    </w:p>
    <w:p>
      <w:pPr>
        <w:pStyle w:val="Heading2"/>
      </w:pPr>
      <w:bookmarkStart w:id="9036" w:name="gm_s267"/>
      <w:r>
        <w:t xml:space="preserve">26.7 Global supplier and manufacturer listings</w:t>
      </w:r>
      <w:bookmarkEnd w:id="9036"/>
    </w:p>
    <w:p>
      <w:r>
        <w:t xml:space="preserve">Besides service listings, vendors can publish supplier, wholesaler, distributor, manufacturer, importer/exporter and contractor listings. Catalogue content is for display and enquiry: buyers move to an RFQ, a quotation and, where suitable, a contract. Cart checkout, shipping engine, returns and logistics tracking remain deferred (chapter 24).</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Attribute group</w:t>
            </w:r>
          </w:p>
        </w:tc>
        <w:tc>
          <w:tcPr>
            <w:tcW w:type="dxa" w:w="4062"/>
            <w:vAlign w:val="center"/>
            <w:shd w:fill="10253F"/>
          </w:tcPr>
          <w:p>
            <w:pPr>
              <w:spacing w:after="0"/>
            </w:pPr>
            <w:r/>
            <w:r>
              <w:rPr>
                <w:rFonts w:ascii="Aptos" w:hAnsi="Aptos"/>
                <w:b/>
                <w:color w:val="FFFFFF"/>
                <w:sz w:val="16"/>
              </w:rPr>
              <w:t xml:space="preserve">Content</w:t>
            </w:r>
          </w:p>
        </w:tc>
        <w:tc>
          <w:tcPr>
            <w:tcW w:type="dxa" w:w="3862"/>
            <w:vAlign w:val="center"/>
            <w:shd w:fill="10253F"/>
          </w:tcPr>
          <w:p>
            <w:pPr>
              <w:spacing w:after="0"/>
            </w:pPr>
            <w:r/>
            <w:r>
              <w:rPr>
                <w:rFonts w:ascii="Aptos" w:hAnsi="Aptos"/>
                <w:b/>
                <w:color w:val="FFFFFF"/>
                <w:sz w:val="16"/>
              </w:rPr>
              <w:t xml:space="preserve">Rules</w:t>
            </w:r>
          </w:p>
        </w:tc>
      </w:tr>
      <w:tr>
        <w:trPr>
          <w:cantSplit/>
        </w:trPr>
        <w:tc>
          <w:tcPr>
            <w:tcW w:type="dxa" w:w="2300"/>
            <w:vAlign w:val="center"/>
          </w:tcPr>
          <w:p>
            <w:pPr>
              <w:spacing w:after="0"/>
            </w:pPr>
            <w:r/>
            <w:r>
              <w:rPr>
                <w:rFonts w:ascii="Aptos" w:hAnsi="Aptos"/>
                <w:b w:val="0"/>
                <w:sz w:val="15"/>
              </w:rPr>
              <w:t xml:space="preserve">Vendor type and capability</w:t>
            </w:r>
          </w:p>
        </w:tc>
        <w:tc>
          <w:tcPr>
            <w:tcW w:type="dxa" w:w="4062"/>
            <w:vAlign w:val="center"/>
          </w:tcPr>
          <w:p>
            <w:pPr>
              <w:spacing w:after="0"/>
            </w:pPr>
            <w:r/>
            <w:r>
              <w:rPr>
                <w:rFonts w:ascii="Aptos" w:hAnsi="Aptos"/>
                <w:b w:val="0"/>
                <w:sz w:val="15"/>
              </w:rPr>
              <w:t xml:space="preserve">Manufacturer, OEM/ODM, wholesaler, distributor, importer/exporter, trader, contractor.</w:t>
            </w:r>
          </w:p>
        </w:tc>
        <w:tc>
          <w:tcPr>
            <w:tcW w:type="dxa" w:w="3862"/>
            <w:vAlign w:val="center"/>
          </w:tcPr>
          <w:p>
            <w:pPr>
              <w:spacing w:after="0"/>
            </w:pPr>
            <w:r/>
            <w:r>
              <w:rPr>
                <w:rFonts w:ascii="Aptos" w:hAnsi="Aptos"/>
                <w:b w:val="0"/>
                <w:sz w:val="15"/>
              </w:rPr>
              <w:t xml:space="preserve">Self-declared unless verified. “Manufacturer” appears as verified only after evidence such as a factory address, registration or audit is approved.</w:t>
            </w:r>
          </w:p>
        </w:tc>
      </w:tr>
      <w:tr>
        <w:trPr>
          <w:cantSplit/>
        </w:trPr>
        <w:tc>
          <w:tcPr>
            <w:tcW w:type="dxa" w:w="2300"/>
            <w:vAlign w:val="center"/>
            <w:shd w:fill="F2F6F8"/>
          </w:tcPr>
          <w:p>
            <w:pPr>
              <w:spacing w:after="0"/>
            </w:pPr>
            <w:r/>
            <w:r>
              <w:rPr>
                <w:rFonts w:ascii="Aptos" w:hAnsi="Aptos"/>
                <w:b w:val="0"/>
                <w:sz w:val="15"/>
              </w:rPr>
              <w:t xml:space="preserve">Catalogue</w:t>
            </w:r>
          </w:p>
        </w:tc>
        <w:tc>
          <w:tcPr>
            <w:tcW w:type="dxa" w:w="4062"/>
            <w:vAlign w:val="center"/>
            <w:shd w:fill="F2F6F8"/>
          </w:tcPr>
          <w:p>
            <w:pPr>
              <w:spacing w:after="0"/>
            </w:pPr>
            <w:r/>
            <w:r>
              <w:rPr>
                <w:rFonts w:ascii="Aptos" w:hAnsi="Aptos"/>
                <w:b w:val="0"/>
                <w:sz w:val="15"/>
              </w:rPr>
              <w:t xml:space="preserve">Products with specifications, images, datasheets, units and price tiers or “price on request” in a stated currency.</w:t>
            </w:r>
          </w:p>
        </w:tc>
        <w:tc>
          <w:tcPr>
            <w:tcW w:type="dxa" w:w="3862"/>
            <w:vAlign w:val="center"/>
            <w:shd w:fill="F2F6F8"/>
          </w:tcPr>
          <w:p>
            <w:pPr>
              <w:spacing w:after="0"/>
            </w:pPr>
            <w:r/>
            <w:r>
              <w:rPr>
                <w:rFonts w:ascii="Aptos" w:hAnsi="Aptos"/>
                <w:b w:val="0"/>
                <w:sz w:val="15"/>
              </w:rPr>
              <w:t xml:space="preserve">Catalogue size follows plan entitlements (CFG-02). Restricted-content checks apply (§12.2).</w:t>
            </w:r>
          </w:p>
        </w:tc>
      </w:tr>
      <w:tr>
        <w:trPr>
          <w:cantSplit/>
        </w:trPr>
        <w:tc>
          <w:tcPr>
            <w:tcW w:type="dxa" w:w="2300"/>
            <w:vAlign w:val="center"/>
          </w:tcPr>
          <w:p>
            <w:pPr>
              <w:spacing w:after="0"/>
            </w:pPr>
            <w:r/>
            <w:r>
              <w:rPr>
                <w:rFonts w:ascii="Aptos" w:hAnsi="Aptos"/>
                <w:b w:val="0"/>
                <w:sz w:val="15"/>
              </w:rPr>
              <w:t xml:space="preserve">Trade terms</w:t>
            </w:r>
          </w:p>
        </w:tc>
        <w:tc>
          <w:tcPr>
            <w:tcW w:type="dxa" w:w="4062"/>
            <w:vAlign w:val="center"/>
          </w:tcPr>
          <w:p>
            <w:pPr>
              <w:spacing w:after="0"/>
            </w:pPr>
            <w:r/>
            <w:r>
              <w:rPr>
                <w:rFonts w:ascii="Aptos" w:hAnsi="Aptos"/>
                <w:b w:val="0"/>
                <w:sz w:val="15"/>
              </w:rPr>
              <w:t xml:space="preserve">Minimum order quantity, lead time, production capacity, sample policy, customization, packaging, payment terms, trade terms, optional commodity codes.</w:t>
            </w:r>
          </w:p>
        </w:tc>
        <w:tc>
          <w:tcPr>
            <w:tcW w:type="dxa" w:w="3862"/>
            <w:vAlign w:val="center"/>
          </w:tcPr>
          <w:p>
            <w:pPr>
              <w:spacing w:after="0"/>
            </w:pPr>
            <w:r/>
            <w:r>
              <w:rPr>
                <w:rFonts w:ascii="Aptos" w:hAnsi="Aptos"/>
                <w:b w:val="0"/>
                <w:sz w:val="15"/>
              </w:rPr>
              <w:t xml:space="preserve">Missing values display as “Not provided”; nothing is inferred.</w:t>
            </w:r>
          </w:p>
        </w:tc>
      </w:tr>
      <w:tr>
        <w:trPr>
          <w:cantSplit/>
        </w:trPr>
        <w:tc>
          <w:tcPr>
            <w:tcW w:type="dxa" w:w="2300"/>
            <w:vAlign w:val="center"/>
            <w:shd w:fill="F2F6F8"/>
          </w:tcPr>
          <w:p>
            <w:pPr>
              <w:spacing w:after="0"/>
            </w:pPr>
            <w:r/>
            <w:r>
              <w:rPr>
                <w:rFonts w:ascii="Aptos" w:hAnsi="Aptos"/>
                <w:b w:val="0"/>
                <w:sz w:val="15"/>
              </w:rPr>
              <w:t xml:space="preserve">Geography</w:t>
            </w:r>
          </w:p>
        </w:tc>
        <w:tc>
          <w:tcPr>
            <w:tcW w:type="dxa" w:w="4062"/>
            <w:vAlign w:val="center"/>
            <w:shd w:fill="F2F6F8"/>
          </w:tcPr>
          <w:p>
            <w:pPr>
              <w:spacing w:after="0"/>
            </w:pPr>
            <w:r/>
            <w:r>
              <w:rPr>
                <w:rFonts w:ascii="Aptos" w:hAnsi="Aptos"/>
                <w:b w:val="0"/>
                <w:sz w:val="15"/>
              </w:rPr>
              <w:t xml:space="preserve">Factory and warehouse country/city, ships-to and export countries, known restrictions.</w:t>
            </w:r>
          </w:p>
        </w:tc>
        <w:tc>
          <w:tcPr>
            <w:tcW w:type="dxa" w:w="3862"/>
            <w:vAlign w:val="center"/>
            <w:shd w:fill="F2F6F8"/>
          </w:tcPr>
          <w:p>
            <w:pPr>
              <w:spacing w:after="0"/>
            </w:pPr>
            <w:r/>
            <w:r>
              <w:rPr>
                <w:rFonts w:ascii="Aptos" w:hAnsi="Aptos"/>
                <w:b w:val="0"/>
                <w:sz w:val="15"/>
              </w:rPr>
              <w:t xml:space="preserve">Public at country/city level only. Ships-to is explicit, never assumed worldwide.</w:t>
            </w:r>
          </w:p>
        </w:tc>
      </w:tr>
      <w:tr>
        <w:trPr>
          <w:cantSplit/>
        </w:trPr>
        <w:tc>
          <w:tcPr>
            <w:tcW w:type="dxa" w:w="2300"/>
            <w:vAlign w:val="center"/>
          </w:tcPr>
          <w:p>
            <w:pPr>
              <w:spacing w:after="0"/>
            </w:pPr>
            <w:r/>
            <w:r>
              <w:rPr>
                <w:rFonts w:ascii="Aptos" w:hAnsi="Aptos"/>
                <w:b w:val="0"/>
                <w:sz w:val="15"/>
              </w:rPr>
              <w:t xml:space="preserve">Compliance</w:t>
            </w:r>
          </w:p>
        </w:tc>
        <w:tc>
          <w:tcPr>
            <w:tcW w:type="dxa" w:w="4062"/>
            <w:vAlign w:val="center"/>
          </w:tcPr>
          <w:p>
            <w:pPr>
              <w:spacing w:after="0"/>
            </w:pPr>
            <w:r/>
            <w:r>
              <w:rPr>
                <w:rFonts w:ascii="Aptos" w:hAnsi="Aptos"/>
                <w:b w:val="0"/>
                <w:sz w:val="15"/>
              </w:rPr>
              <w:t xml:space="preserve">Certifications, product compliance documents, notices about controlled goods, sanctions and export controls.</w:t>
            </w:r>
          </w:p>
        </w:tc>
        <w:tc>
          <w:tcPr>
            <w:tcW w:type="dxa" w:w="3862"/>
            <w:vAlign w:val="center"/>
          </w:tcPr>
          <w:p>
            <w:pPr>
              <w:spacing w:after="0"/>
            </w:pPr>
            <w:r/>
            <w:r>
              <w:rPr>
                <w:rFonts w:ascii="Aptos" w:hAnsi="Aptos"/>
                <w:b w:val="0"/>
                <w:sz w:val="15"/>
              </w:rPr>
              <w:t xml:space="preserve">Expiry tracked like other credentials (§26.6). Prohibited items are blocked.</w:t>
            </w:r>
          </w:p>
        </w:tc>
      </w:tr>
      <w:tr>
        <w:trPr>
          <w:cantSplit/>
        </w:trPr>
        <w:tc>
          <w:tcPr>
            <w:tcW w:type="dxa" w:w="2300"/>
            <w:vAlign w:val="center"/>
            <w:shd w:fill="F2F6F8"/>
          </w:tcPr>
          <w:p>
            <w:pPr>
              <w:spacing w:after="0"/>
            </w:pPr>
            <w:r/>
            <w:r>
              <w:rPr>
                <w:rFonts w:ascii="Aptos" w:hAnsi="Aptos"/>
                <w:b w:val="0"/>
                <w:sz w:val="15"/>
              </w:rPr>
              <w:t xml:space="preserve">Engagement</w:t>
            </w:r>
          </w:p>
        </w:tc>
        <w:tc>
          <w:tcPr>
            <w:tcW w:type="dxa" w:w="4062"/>
            <w:vAlign w:val="center"/>
            <w:shd w:fill="F2F6F8"/>
          </w:tcPr>
          <w:p>
            <w:pPr>
              <w:spacing w:after="0"/>
            </w:pPr>
            <w:r/>
            <w:r>
              <w:rPr>
                <w:rFonts w:ascii="Aptos" w:hAnsi="Aptos"/>
                <w:b w:val="0"/>
                <w:sz w:val="15"/>
              </w:rPr>
              <w:t xml:space="preserve">“Request quote” creates an RFQ prefilled with product and quantity; sample request; contract for recurring supply.</w:t>
            </w:r>
          </w:p>
        </w:tc>
        <w:tc>
          <w:tcPr>
            <w:tcW w:type="dxa" w:w="3862"/>
            <w:vAlign w:val="center"/>
            <w:shd w:fill="F2F6F8"/>
          </w:tcPr>
          <w:p>
            <w:pPr>
              <w:spacing w:after="0"/>
            </w:pPr>
            <w:r/>
            <w:r>
              <w:rPr>
                <w:rFonts w:ascii="Aptos" w:hAnsi="Aptos"/>
                <w:b w:val="0"/>
                <w:sz w:val="15"/>
              </w:rPr>
              <w:t xml:space="preserve">Uses chapter 9 and §26.5; no cart or checkout.</w:t>
            </w:r>
          </w:p>
        </w:tc>
      </w:tr>
      <w:tr>
        <w:trPr>
          <w:cantSplit/>
        </w:trPr>
        <w:tc>
          <w:tcPr>
            <w:tcW w:type="dxa" w:w="2300"/>
            <w:vAlign w:val="center"/>
          </w:tcPr>
          <w:p>
            <w:pPr>
              <w:spacing w:after="0"/>
            </w:pPr>
            <w:r/>
            <w:r>
              <w:rPr>
                <w:rFonts w:ascii="Aptos" w:hAnsi="Aptos"/>
                <w:b w:val="0"/>
                <w:sz w:val="15"/>
              </w:rPr>
              <w:t xml:space="preserve">Comparison</w:t>
            </w:r>
          </w:p>
        </w:tc>
        <w:tc>
          <w:tcPr>
            <w:tcW w:type="dxa" w:w="4062"/>
            <w:vAlign w:val="center"/>
          </w:tcPr>
          <w:p>
            <w:pPr>
              <w:spacing w:after="0"/>
            </w:pPr>
            <w:r/>
            <w:r>
              <w:rPr>
                <w:rFonts w:ascii="Aptos" w:hAnsi="Aptos"/>
                <w:b w:val="0"/>
                <w:sz w:val="15"/>
              </w:rPr>
              <w:t xml:space="preserve">Compare up to three suppliers on minimum order, lead time, price tiers, certifications and ships-to.</w:t>
            </w:r>
          </w:p>
        </w:tc>
        <w:tc>
          <w:tcPr>
            <w:tcW w:type="dxa" w:w="3862"/>
            <w:vAlign w:val="center"/>
          </w:tcPr>
          <w:p>
            <w:pPr>
              <w:spacing w:after="0"/>
            </w:pPr>
            <w:r/>
            <w:r>
              <w:rPr>
                <w:rFonts w:ascii="Aptos" w:hAnsi="Aptos"/>
                <w:b w:val="0"/>
                <w:sz w:val="15"/>
              </w:rPr>
              <w:t xml:space="preserve">Absent fields are labelled; currencies are never mixed silently.</w:t>
            </w:r>
          </w:p>
        </w:tc>
      </w:tr>
    </w:tbl>
    <w:p>
      <w:pPr>
        <w:spacing w:after="0"/>
      </w:pPr>
    </w:p>
    <w:p>
      <w:pPr>
        <w:pStyle w:val="ListBullet"/>
      </w:pPr>
      <w:r>
        <w:rPr>
          <w:b/>
        </w:rPr>
        <w:t xml:space="preserve">Cross-border responsibility. </w:t>
      </w:r>
      <w:r>
        <w:t xml:space="preserve">Customs duties, taxes and freight shown on a listing are vendor-provided information unless the platform has verified them. VendorVerse does not act as importer, exporter or freight forwarder, and responsibility for cross-border legal compliance stays with the parties, with platform notices.</w:t>
      </w:r>
    </w:p>
    <w:p>
      <w:pPr>
        <w:pStyle w:val="Heading2"/>
      </w:pPr>
      <w:bookmarkStart w:id="9037" w:name="gm_s268"/>
      <w:r>
        <w:t xml:space="preserve">26.8 Customer, vendor and admin dashboards</w:t>
      </w:r>
      <w:bookmarkEnd w:id="9037"/>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Dashboard</w:t>
            </w:r>
          </w:p>
        </w:tc>
        <w:tc>
          <w:tcPr>
            <w:tcW w:type="dxa" w:w="4062"/>
            <w:vAlign w:val="center"/>
            <w:shd w:fill="10253F"/>
          </w:tcPr>
          <w:p>
            <w:pPr>
              <w:spacing w:after="0"/>
            </w:pPr>
            <w:r/>
            <w:r>
              <w:rPr>
                <w:rFonts w:ascii="Aptos" w:hAnsi="Aptos"/>
                <w:b/>
                <w:color w:val="FFFFFF"/>
                <w:sz w:val="16"/>
              </w:rPr>
              <w:t xml:space="preserve">Core modules</w:t>
            </w:r>
          </w:p>
        </w:tc>
        <w:tc>
          <w:tcPr>
            <w:tcW w:type="dxa" w:w="3862"/>
            <w:vAlign w:val="center"/>
            <w:shd w:fill="10253F"/>
          </w:tcPr>
          <w:p>
            <w:pPr>
              <w:spacing w:after="0"/>
            </w:pPr>
            <w:r/>
            <w:r>
              <w:rPr>
                <w:rFonts w:ascii="Aptos" w:hAnsi="Aptos"/>
                <w:b/>
                <w:color w:val="FFFFFF"/>
                <w:sz w:val="16"/>
              </w:rPr>
              <w:t xml:space="preserve">Key rules</w:t>
            </w:r>
          </w:p>
        </w:tc>
      </w:tr>
      <w:tr>
        <w:trPr>
          <w:cantSplit/>
        </w:trPr>
        <w:tc>
          <w:tcPr>
            <w:tcW w:type="dxa" w:w="2300"/>
            <w:vAlign w:val="center"/>
          </w:tcPr>
          <w:p>
            <w:pPr>
              <w:spacing w:after="0"/>
            </w:pPr>
            <w:r/>
            <w:r>
              <w:rPr>
                <w:rFonts w:ascii="Aptos" w:hAnsi="Aptos"/>
                <w:b w:val="0"/>
                <w:sz w:val="15"/>
              </w:rPr>
              <w:t xml:space="preserve">Customer</w:t>
            </w:r>
          </w:p>
        </w:tc>
        <w:tc>
          <w:tcPr>
            <w:tcW w:type="dxa" w:w="4062"/>
            <w:vAlign w:val="center"/>
          </w:tcPr>
          <w:p>
            <w:pPr>
              <w:spacing w:after="0"/>
            </w:pPr>
            <w:r/>
            <w:r>
              <w:rPr>
                <w:rFonts w:ascii="Aptos" w:hAnsi="Aptos"/>
                <w:b w:val="0"/>
                <w:sz w:val="15"/>
              </w:rPr>
              <w:t xml:space="preserve">Active and past bookings, RFQs and quotations, contracts and milestones, favorites and saved searches, messages, reviews to give, payment records (where applicable), support cases, notifications, profile completeness.</w:t>
            </w:r>
          </w:p>
        </w:tc>
        <w:tc>
          <w:tcPr>
            <w:tcW w:type="dxa" w:w="3862"/>
            <w:vAlign w:val="center"/>
          </w:tcPr>
          <w:p>
            <w:pPr>
              <w:spacing w:after="0"/>
            </w:pPr>
            <w:r/>
            <w:r>
              <w:rPr>
                <w:rFonts w:ascii="Aptos" w:hAnsi="Aptos"/>
                <w:b w:val="0"/>
                <w:sz w:val="15"/>
              </w:rPr>
              <w:t xml:space="preserve">Own data only. A customer can also switch to vendor mode with the same identity (§3.1).</w:t>
            </w:r>
          </w:p>
        </w:tc>
      </w:tr>
      <w:tr>
        <w:trPr>
          <w:cantSplit/>
        </w:trPr>
        <w:tc>
          <w:tcPr>
            <w:tcW w:type="dxa" w:w="2300"/>
            <w:vAlign w:val="center"/>
            <w:shd w:fill="F2F6F8"/>
          </w:tcPr>
          <w:p>
            <w:pPr>
              <w:spacing w:after="0"/>
            </w:pPr>
            <w:r/>
            <w:r>
              <w:rPr>
                <w:rFonts w:ascii="Aptos" w:hAnsi="Aptos"/>
                <w:b w:val="0"/>
                <w:sz w:val="15"/>
              </w:rPr>
              <w:t xml:space="preserve">Vendor</w:t>
            </w:r>
          </w:p>
        </w:tc>
        <w:tc>
          <w:tcPr>
            <w:tcW w:type="dxa" w:w="4062"/>
            <w:vAlign w:val="center"/>
            <w:shd w:fill="F2F6F8"/>
          </w:tcPr>
          <w:p>
            <w:pPr>
              <w:spacing w:after="0"/>
            </w:pPr>
            <w:r/>
            <w:r>
              <w:rPr>
                <w:rFonts w:ascii="Aptos" w:hAnsi="Aptos"/>
                <w:b w:val="0"/>
                <w:sz w:val="15"/>
              </w:rPr>
              <w:t xml:space="preserve">Listings and publication states, verification and credential expiry, subscription and lead usage, request inbox, RFQ opportunities, quotations, booking calendar, contracts, reviews, performance analytics (views, enquiries, conversion), earnings summary where payment modes allow.</w:t>
            </w:r>
          </w:p>
        </w:tc>
        <w:tc>
          <w:tcPr>
            <w:tcW w:type="dxa" w:w="3862"/>
            <w:vAlign w:val="center"/>
            <w:shd w:fill="F2F6F8"/>
          </w:tcPr>
          <w:p>
            <w:pPr>
              <w:spacing w:after="0"/>
            </w:pPr>
            <w:r/>
            <w:r>
              <w:rPr>
                <w:rFonts w:ascii="Aptos" w:hAnsi="Aptos"/>
                <w:b w:val="0"/>
                <w:sz w:val="15"/>
              </w:rPr>
              <w:t xml:space="preserve">Own organization only. Lead and plan limits are shown clearly (§11.1).</w:t>
            </w:r>
          </w:p>
        </w:tc>
      </w:tr>
      <w:tr>
        <w:trPr>
          <w:cantSplit/>
        </w:trPr>
        <w:tc>
          <w:tcPr>
            <w:tcW w:type="dxa" w:w="2300"/>
            <w:vAlign w:val="center"/>
          </w:tcPr>
          <w:p>
            <w:pPr>
              <w:spacing w:after="0"/>
            </w:pPr>
            <w:r/>
            <w:r>
              <w:rPr>
                <w:rFonts w:ascii="Aptos" w:hAnsi="Aptos"/>
                <w:b w:val="0"/>
                <w:sz w:val="15"/>
              </w:rPr>
              <w:t xml:space="preserve">Sales Agent</w:t>
            </w:r>
          </w:p>
        </w:tc>
        <w:tc>
          <w:tcPr>
            <w:tcW w:type="dxa" w:w="4062"/>
            <w:vAlign w:val="center"/>
          </w:tcPr>
          <w:p>
            <w:pPr>
              <w:spacing w:after="0"/>
            </w:pPr>
            <w:r/>
            <w:r>
              <w:rPr>
                <w:rFonts w:ascii="Aptos" w:hAnsi="Aptos"/>
                <w:b w:val="0"/>
                <w:sz w:val="15"/>
              </w:rPr>
              <w:t xml:space="preserve">Assigned leads, onboarding status, subscription conversion, follow-up notes, assigned performance (§3).</w:t>
            </w:r>
          </w:p>
        </w:tc>
        <w:tc>
          <w:tcPr>
            <w:tcW w:type="dxa" w:w="3862"/>
            <w:vAlign w:val="center"/>
          </w:tcPr>
          <w:p>
            <w:pPr>
              <w:spacing w:after="0"/>
            </w:pPr>
            <w:r/>
            <w:r>
              <w:rPr>
                <w:rFonts w:ascii="Aptos" w:hAnsi="Aptos"/>
                <w:b w:val="0"/>
                <w:sz w:val="15"/>
              </w:rPr>
              <w:t xml:space="preserve">Scope unchanged: no access to customer transactions, private conversations or verification decisions.</w:t>
            </w:r>
          </w:p>
        </w:tc>
      </w:tr>
      <w:tr>
        <w:trPr>
          <w:cantSplit/>
        </w:trPr>
        <w:tc>
          <w:tcPr>
            <w:tcW w:type="dxa" w:w="2300"/>
            <w:vAlign w:val="center"/>
            <w:shd w:fill="F2F6F8"/>
          </w:tcPr>
          <w:p>
            <w:pPr>
              <w:spacing w:after="0"/>
            </w:pPr>
            <w:r/>
            <w:r>
              <w:rPr>
                <w:rFonts w:ascii="Aptos" w:hAnsi="Aptos"/>
                <w:b w:val="0"/>
                <w:sz w:val="15"/>
              </w:rPr>
              <w:t xml:space="preserve">Super Admin</w:t>
            </w:r>
          </w:p>
        </w:tc>
        <w:tc>
          <w:tcPr>
            <w:tcW w:type="dxa" w:w="4062"/>
            <w:vAlign w:val="center"/>
            <w:shd w:fill="F2F6F8"/>
          </w:tcPr>
          <w:p>
            <w:pPr>
              <w:spacing w:after="0"/>
            </w:pPr>
            <w:r/>
            <w:r>
              <w:rPr>
                <w:rFonts w:ascii="Aptos" w:hAnsi="Aptos"/>
                <w:b w:val="0"/>
                <w:sz w:val="15"/>
              </w:rPr>
              <w:t xml:space="preserve">Operational queues (§13.1) including category suggestions and market activation; market, category and verification management; commission and payment configuration; subscriptions; reports and disputes; sales oversight; analytics by country, city and category; audit search.</w:t>
            </w:r>
          </w:p>
        </w:tc>
        <w:tc>
          <w:tcPr>
            <w:tcW w:type="dxa" w:w="3862"/>
            <w:vAlign w:val="center"/>
            <w:shd w:fill="F2F6F8"/>
          </w:tcPr>
          <w:p>
            <w:pPr>
              <w:spacing w:after="0"/>
            </w:pPr>
            <w:r/>
            <w:r>
              <w:rPr>
                <w:rFonts w:ascii="Aptos" w:hAnsi="Aptos"/>
                <w:b w:val="0"/>
                <w:sz w:val="15"/>
              </w:rPr>
              <w:t xml:space="preserve">Market filter on every view. High-impact actions need reason capture, audit and, where stated, dual approval (§13.2).</w:t>
            </w:r>
          </w:p>
        </w:tc>
      </w:tr>
    </w:tbl>
    <w:p>
      <w:pPr>
        <w:spacing w:after="0"/>
      </w:pPr>
    </w:p>
    <w:p>
      <w:pPr>
        <w:pStyle w:val="ListBullet"/>
      </w:pPr>
      <w:r>
        <w:rPr>
          <w:b/>
        </w:rPr>
        <w:t xml:space="preserve">Authorization. </w:t>
      </w:r>
      <w:r>
        <w:t xml:space="preserve">Every widget enforces the same server-side permission checks as the underlying API. Widgets load independently with loading, empty, error and retry states.</w:t>
      </w:r>
    </w:p>
    <w:p>
      <w:pPr>
        <w:pStyle w:val="ListBullet"/>
      </w:pPr>
      <w:r>
        <w:rPr>
          <w:b/>
        </w:rPr>
        <w:t xml:space="preserve">Parity. </w:t>
      </w:r>
      <w:r>
        <w:t xml:space="preserve">Business states and metric definitions (chapter 18) are identical on web, Android and iOS.</w:t>
      </w:r>
    </w:p>
    <w:p>
      <w:pPr>
        <w:pStyle w:val="ListBullet"/>
      </w:pPr>
      <w:r>
        <w:rPr>
          <w:b/>
        </w:rPr>
        <w:t xml:space="preserve">Regional administration. </w:t>
      </w:r>
      <w:r>
        <w:t xml:space="preserve">Super Admin remains the single administrative role. Regional or scope-limited admin roles are deferred and would need a change request with permission-impact analysis.</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New permission group</w:t>
            </w:r>
          </w:p>
        </w:tc>
        <w:tc>
          <w:tcPr>
            <w:tcW w:type="dxa" w:w="4062"/>
            <w:vAlign w:val="center"/>
            <w:shd w:fill="10253F"/>
          </w:tcPr>
          <w:p>
            <w:pPr>
              <w:spacing w:after="0"/>
            </w:pPr>
            <w:r/>
            <w:r>
              <w:rPr>
                <w:rFonts w:ascii="Aptos" w:hAnsi="Aptos"/>
                <w:b/>
                <w:color w:val="FFFFFF"/>
                <w:sz w:val="16"/>
              </w:rPr>
              <w:t xml:space="preserve">Representative permissions</w:t>
            </w:r>
          </w:p>
        </w:tc>
        <w:tc>
          <w:tcPr>
            <w:tcW w:type="dxa" w:w="3862"/>
            <w:vAlign w:val="center"/>
            <w:shd w:fill="10253F"/>
          </w:tcPr>
          <w:p>
            <w:pPr>
              <w:spacing w:after="0"/>
            </w:pPr>
            <w:r/>
            <w:r>
              <w:rPr>
                <w:rFonts w:ascii="Aptos" w:hAnsi="Aptos"/>
                <w:b/>
                <w:color w:val="FFFFFF"/>
                <w:sz w:val="16"/>
              </w:rPr>
              <w:t xml:space="preserve">Allowed roles</w:t>
            </w:r>
          </w:p>
        </w:tc>
      </w:tr>
      <w:tr>
        <w:trPr>
          <w:cantSplit/>
        </w:trPr>
        <w:tc>
          <w:tcPr>
            <w:tcW w:type="dxa" w:w="2300"/>
            <w:vAlign w:val="center"/>
          </w:tcPr>
          <w:p>
            <w:pPr>
              <w:spacing w:after="0"/>
            </w:pPr>
            <w:r/>
            <w:r>
              <w:rPr>
                <w:rFonts w:ascii="Aptos" w:hAnsi="Aptos"/>
                <w:b w:val="0"/>
                <w:sz w:val="15"/>
              </w:rPr>
              <w:t xml:space="preserve">Geography and market activation</w:t>
            </w:r>
          </w:p>
        </w:tc>
        <w:tc>
          <w:tcPr>
            <w:tcW w:type="dxa" w:w="4062"/>
            <w:vAlign w:val="center"/>
          </w:tcPr>
          <w:p>
            <w:pPr>
              <w:spacing w:after="0"/>
            </w:pPr>
            <w:r/>
            <w:r>
              <w:rPr>
                <w:rFonts w:ascii="Aptos" w:hAnsi="Aptos"/>
                <w:b w:val="0"/>
                <w:sz w:val="15"/>
              </w:rPr>
              <w:t xml:space="preserve">Create/edit geography data, manage Launch Market Register, activate or suspend a market.</w:t>
            </w:r>
          </w:p>
        </w:tc>
        <w:tc>
          <w:tcPr>
            <w:tcW w:type="dxa" w:w="3862"/>
            <w:vAlign w:val="center"/>
          </w:tcPr>
          <w:p>
            <w:pPr>
              <w:spacing w:after="0"/>
            </w:pPr>
            <w:r/>
            <w:r>
              <w:rPr>
                <w:rFonts w:ascii="Aptos" w:hAnsi="Aptos"/>
                <w:b w:val="0"/>
                <w:sz w:val="15"/>
              </w:rPr>
              <w:t xml:space="preserve">Super Admin only, with dual approval for activation.</w:t>
            </w:r>
          </w:p>
        </w:tc>
      </w:tr>
      <w:tr>
        <w:trPr>
          <w:cantSplit/>
        </w:trPr>
        <w:tc>
          <w:tcPr>
            <w:tcW w:type="dxa" w:w="2300"/>
            <w:vAlign w:val="center"/>
            <w:shd w:fill="F2F6F8"/>
          </w:tcPr>
          <w:p>
            <w:pPr>
              <w:spacing w:after="0"/>
            </w:pPr>
            <w:r/>
            <w:r>
              <w:rPr>
                <w:rFonts w:ascii="Aptos" w:hAnsi="Aptos"/>
                <w:b w:val="0"/>
                <w:sz w:val="15"/>
              </w:rPr>
              <w:t xml:space="preserve">Contracts</w:t>
            </w:r>
          </w:p>
        </w:tc>
        <w:tc>
          <w:tcPr>
            <w:tcW w:type="dxa" w:w="4062"/>
            <w:vAlign w:val="center"/>
            <w:shd w:fill="F2F6F8"/>
          </w:tcPr>
          <w:p>
            <w:pPr>
              <w:spacing w:after="0"/>
            </w:pPr>
            <w:r/>
            <w:r>
              <w:rPr>
                <w:rFonts w:ascii="Aptos" w:hAnsi="Aptos"/>
                <w:b w:val="0"/>
                <w:sz w:val="15"/>
              </w:rPr>
              <w:t xml:space="preserve">Propose, negotiate, accept, amend, suspend and terminate contracts; view own contract records.</w:t>
            </w:r>
          </w:p>
        </w:tc>
        <w:tc>
          <w:tcPr>
            <w:tcW w:type="dxa" w:w="3862"/>
            <w:vAlign w:val="center"/>
            <w:shd w:fill="F2F6F8"/>
          </w:tcPr>
          <w:p>
            <w:pPr>
              <w:spacing w:after="0"/>
            </w:pPr>
            <w:r/>
            <w:r>
              <w:rPr>
                <w:rFonts w:ascii="Aptos" w:hAnsi="Aptos"/>
                <w:b w:val="0"/>
                <w:sz w:val="15"/>
              </w:rPr>
              <w:t xml:space="preserve">Customer and Vendor as parties; Super Admin for audited support.</w:t>
            </w:r>
          </w:p>
        </w:tc>
      </w:tr>
      <w:tr>
        <w:trPr>
          <w:cantSplit/>
        </w:trPr>
        <w:tc>
          <w:tcPr>
            <w:tcW w:type="dxa" w:w="2300"/>
            <w:vAlign w:val="center"/>
          </w:tcPr>
          <w:p>
            <w:pPr>
              <w:spacing w:after="0"/>
            </w:pPr>
            <w:r/>
            <w:r>
              <w:rPr>
                <w:rFonts w:ascii="Aptos" w:hAnsi="Aptos"/>
                <w:b w:val="0"/>
                <w:sz w:val="15"/>
              </w:rPr>
              <w:t xml:space="preserve">Commission and payment configuration</w:t>
            </w:r>
          </w:p>
        </w:tc>
        <w:tc>
          <w:tcPr>
            <w:tcW w:type="dxa" w:w="4062"/>
            <w:vAlign w:val="center"/>
          </w:tcPr>
          <w:p>
            <w:pPr>
              <w:spacing w:after="0"/>
            </w:pPr>
            <w:r/>
            <w:r>
              <w:rPr>
                <w:rFonts w:ascii="Aptos" w:hAnsi="Aptos"/>
                <w:b w:val="0"/>
                <w:sz w:val="15"/>
              </w:rPr>
              <w:t xml:space="preserve">Define commission rules, enable payment modes, approve changes.</w:t>
            </w:r>
          </w:p>
        </w:tc>
        <w:tc>
          <w:tcPr>
            <w:tcW w:type="dxa" w:w="3862"/>
            <w:vAlign w:val="center"/>
          </w:tcPr>
          <w:p>
            <w:pPr>
              <w:spacing w:after="0"/>
            </w:pPr>
            <w:r/>
            <w:r>
              <w:rPr>
                <w:rFonts w:ascii="Aptos" w:hAnsi="Aptos"/>
                <w:b w:val="0"/>
                <w:sz w:val="15"/>
              </w:rPr>
              <w:t xml:space="preserve">Super Admin only, dual approval and audit. Sales Agents have no billing override.</w:t>
            </w:r>
          </w:p>
        </w:tc>
      </w:tr>
      <w:tr>
        <w:trPr>
          <w:cantSplit/>
        </w:trPr>
        <w:tc>
          <w:tcPr>
            <w:tcW w:type="dxa" w:w="2300"/>
            <w:vAlign w:val="center"/>
            <w:shd w:fill="F2F6F8"/>
          </w:tcPr>
          <w:p>
            <w:pPr>
              <w:spacing w:after="0"/>
            </w:pPr>
            <w:r/>
            <w:r>
              <w:rPr>
                <w:rFonts w:ascii="Aptos" w:hAnsi="Aptos"/>
                <w:b w:val="0"/>
                <w:sz w:val="15"/>
              </w:rPr>
              <w:t xml:space="preserve">Supplier catalogue</w:t>
            </w:r>
          </w:p>
        </w:tc>
        <w:tc>
          <w:tcPr>
            <w:tcW w:type="dxa" w:w="4062"/>
            <w:vAlign w:val="center"/>
            <w:shd w:fill="F2F6F8"/>
          </w:tcPr>
          <w:p>
            <w:pPr>
              <w:spacing w:after="0"/>
            </w:pPr>
            <w:r/>
            <w:r>
              <w:rPr>
                <w:rFonts w:ascii="Aptos" w:hAnsi="Aptos"/>
                <w:b w:val="0"/>
                <w:sz w:val="15"/>
              </w:rPr>
              <w:t xml:space="preserve">Create and edit catalogue items and trade terms.</w:t>
            </w:r>
          </w:p>
        </w:tc>
        <w:tc>
          <w:tcPr>
            <w:tcW w:type="dxa" w:w="3862"/>
            <w:vAlign w:val="center"/>
            <w:shd w:fill="F2F6F8"/>
          </w:tcPr>
          <w:p>
            <w:pPr>
              <w:spacing w:after="0"/>
            </w:pPr>
            <w:r/>
            <w:r>
              <w:rPr>
                <w:rFonts w:ascii="Aptos" w:hAnsi="Aptos"/>
                <w:b w:val="0"/>
                <w:sz w:val="15"/>
              </w:rPr>
              <w:t xml:space="preserve">Vendor owner; Super Admin for audited exceptional intervention.</w:t>
            </w:r>
          </w:p>
        </w:tc>
      </w:tr>
    </w:tbl>
    <w:p>
      <w:pPr>
        <w:spacing w:after="0"/>
      </w:pPr>
    </w:p>
    <w:p>
      <w:pPr>
        <w:pStyle w:val="Heading2"/>
      </w:pPr>
      <w:bookmarkStart w:id="9038" w:name="gm_s269"/>
      <w:r>
        <w:t xml:space="preserve">26.9 Payment, commission and subscription flows</w:t>
      </w:r>
      <w:bookmarkEnd w:id="9038"/>
    </w:p>
    <w:p>
      <w:r>
        <w:t xml:space="preserve">The Release 1 baseline is unchanged: the platform earns from vendor subscriptions and clearly labelled sponsored visibility, and the customer pays the vendor directly. This section defines a payment architecture so that commission and platform-facilitated payment can be switched on later, per country and category, without redesign. Those gated modes stay disabled until CFG-15 and CFG-16 are decided and legal and licensing review is complete.</w:t>
      </w: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Payment mode</w:t>
            </w:r>
          </w:p>
        </w:tc>
        <w:tc>
          <w:tcPr>
            <w:tcW w:type="dxa" w:w="4062"/>
            <w:vAlign w:val="center"/>
            <w:shd w:fill="10253F"/>
          </w:tcPr>
          <w:p>
            <w:pPr>
              <w:spacing w:after="0"/>
            </w:pPr>
            <w:r/>
            <w:r>
              <w:rPr>
                <w:rFonts w:ascii="Aptos" w:hAnsi="Aptos"/>
                <w:b/>
                <w:color w:val="FFFFFF"/>
                <w:sz w:val="16"/>
              </w:rPr>
              <w:t xml:space="preserve">Description</w:t>
            </w:r>
          </w:p>
        </w:tc>
        <w:tc>
          <w:tcPr>
            <w:tcW w:type="dxa" w:w="3862"/>
            <w:vAlign w:val="center"/>
            <w:shd w:fill="10253F"/>
          </w:tcPr>
          <w:p>
            <w:pPr>
              <w:spacing w:after="0"/>
            </w:pPr>
            <w:r/>
            <w:r>
              <w:rPr>
                <w:rFonts w:ascii="Aptos" w:hAnsi="Aptos"/>
                <w:b/>
                <w:color w:val="FFFFFF"/>
                <w:sz w:val="16"/>
              </w:rPr>
              <w:t xml:space="preserve">Status</w:t>
            </w:r>
          </w:p>
        </w:tc>
      </w:tr>
      <w:tr>
        <w:trPr>
          <w:cantSplit/>
        </w:trPr>
        <w:tc>
          <w:tcPr>
            <w:tcW w:type="dxa" w:w="2300"/>
            <w:vAlign w:val="center"/>
          </w:tcPr>
          <w:p>
            <w:pPr>
              <w:spacing w:after="0"/>
            </w:pPr>
            <w:r/>
            <w:r>
              <w:rPr>
                <w:rFonts w:ascii="Aptos" w:hAnsi="Aptos"/>
                <w:b w:val="0"/>
                <w:sz w:val="15"/>
              </w:rPr>
              <w:t xml:space="preserve">A. Direct payment</w:t>
            </w:r>
          </w:p>
        </w:tc>
        <w:tc>
          <w:tcPr>
            <w:tcW w:type="dxa" w:w="4062"/>
            <w:vAlign w:val="center"/>
          </w:tcPr>
          <w:p>
            <w:pPr>
              <w:spacing w:after="0"/>
            </w:pPr>
            <w:r/>
            <w:r>
              <w:rPr>
                <w:rFonts w:ascii="Aptos" w:hAnsi="Aptos"/>
                <w:b w:val="0"/>
                <w:sz w:val="15"/>
              </w:rPr>
              <w:t xml:space="preserve">Customer pays the vendor outside the platform. The platform records the agreed price and terms. A vendor-entered “payment received” note is informational and is not proof of payment.</w:t>
            </w:r>
          </w:p>
        </w:tc>
        <w:tc>
          <w:tcPr>
            <w:tcW w:type="dxa" w:w="3862"/>
            <w:vAlign w:val="center"/>
          </w:tcPr>
          <w:p>
            <w:pPr>
              <w:spacing w:after="0"/>
            </w:pPr>
            <w:r/>
            <w:r>
              <w:rPr>
                <w:rFonts w:ascii="Aptos" w:hAnsi="Aptos"/>
                <w:b w:val="0"/>
                <w:sz w:val="15"/>
              </w:rPr>
              <w:t xml:space="preserve">Default; Release 1 baseline.</w:t>
            </w:r>
          </w:p>
        </w:tc>
      </w:tr>
      <w:tr>
        <w:trPr>
          <w:cantSplit/>
        </w:trPr>
        <w:tc>
          <w:tcPr>
            <w:tcW w:type="dxa" w:w="2300"/>
            <w:vAlign w:val="center"/>
            <w:shd w:fill="F2F6F8"/>
          </w:tcPr>
          <w:p>
            <w:pPr>
              <w:spacing w:after="0"/>
            </w:pPr>
            <w:r/>
            <w:r>
              <w:rPr>
                <w:rFonts w:ascii="Aptos" w:hAnsi="Aptos"/>
                <w:b w:val="0"/>
                <w:sz w:val="15"/>
              </w:rPr>
              <w:t xml:space="preserve">B. Invoice / offline terms</w:t>
            </w:r>
          </w:p>
        </w:tc>
        <w:tc>
          <w:tcPr>
            <w:tcW w:type="dxa" w:w="4062"/>
            <w:vAlign w:val="center"/>
            <w:shd w:fill="F2F6F8"/>
          </w:tcPr>
          <w:p>
            <w:pPr>
              <w:spacing w:after="0"/>
            </w:pPr>
            <w:r/>
            <w:r>
              <w:rPr>
                <w:rFonts w:ascii="Aptos" w:hAnsi="Aptos"/>
                <w:b w:val="0"/>
                <w:sz w:val="15"/>
              </w:rPr>
              <w:t xml:space="preserve">For business transactions and contracts, the vendor invoices under agreed terms. The platform stores invoices and statuses as records and never handles the funds.</w:t>
            </w:r>
          </w:p>
        </w:tc>
        <w:tc>
          <w:tcPr>
            <w:tcW w:type="dxa" w:w="3862"/>
            <w:vAlign w:val="center"/>
            <w:shd w:fill="F2F6F8"/>
          </w:tcPr>
          <w:p>
            <w:pPr>
              <w:spacing w:after="0"/>
            </w:pPr>
            <w:r/>
            <w:r>
              <w:rPr>
                <w:rFonts w:ascii="Aptos" w:hAnsi="Aptos"/>
                <w:b w:val="0"/>
                <w:sz w:val="15"/>
              </w:rPr>
              <w:t xml:space="preserve">Available with contract bookings; no funds handled.</w:t>
            </w:r>
          </w:p>
        </w:tc>
      </w:tr>
      <w:tr>
        <w:trPr>
          <w:cantSplit/>
        </w:trPr>
        <w:tc>
          <w:tcPr>
            <w:tcW w:type="dxa" w:w="2300"/>
            <w:vAlign w:val="center"/>
          </w:tcPr>
          <w:p>
            <w:pPr>
              <w:spacing w:after="0"/>
            </w:pPr>
            <w:r/>
            <w:r>
              <w:rPr>
                <w:rFonts w:ascii="Aptos" w:hAnsi="Aptos"/>
                <w:b w:val="0"/>
                <w:sz w:val="15"/>
              </w:rPr>
              <w:t xml:space="preserve">C. Platform-facilitated payment with commission</w:t>
            </w:r>
          </w:p>
        </w:tc>
        <w:tc>
          <w:tcPr>
            <w:tcW w:type="dxa" w:w="4062"/>
            <w:vAlign w:val="center"/>
          </w:tcPr>
          <w:p>
            <w:pPr>
              <w:spacing w:after="0"/>
            </w:pPr>
            <w:r/>
            <w:r>
              <w:rPr>
                <w:rFonts w:ascii="Aptos" w:hAnsi="Aptos"/>
                <w:b w:val="0"/>
                <w:sz w:val="15"/>
              </w:rPr>
              <w:t xml:space="preserve">Customer pays through a licensed payment provider; the platform deducts commission and pays out the vendor.</w:t>
            </w:r>
          </w:p>
        </w:tc>
        <w:tc>
          <w:tcPr>
            <w:tcW w:type="dxa" w:w="3862"/>
            <w:vAlign w:val="center"/>
          </w:tcPr>
          <w:p>
            <w:pPr>
              <w:spacing w:after="0"/>
            </w:pPr>
            <w:r/>
            <w:r>
              <w:rPr>
                <w:rFonts w:ascii="Aptos" w:hAnsi="Aptos"/>
                <w:b w:val="0"/>
                <w:sz w:val="15"/>
              </w:rPr>
              <w:t xml:space="preserve">Gated: disabled by default per country and category.</w:t>
            </w:r>
          </w:p>
        </w:tc>
      </w:tr>
    </w:tbl>
    <w:p>
      <w:pPr>
        <w:spacing w:after="0"/>
      </w:pPr>
    </w:p>
    <w:tbl>
      <w:tblPr>
        <w:tblStyle w:val="TableGrid"/>
        <w:tblW w:type="auto" w:w="0"/>
        <w:jc w:val="center"/>
        <w:tblLook w:firstColumn="1" w:firstRow="1" w:lastColumn="0" w:lastRow="0" w:noHBand="0" w:noVBand="1" w:val="04A0"/>
      </w:tblPr>
      <w:tblGrid>
        <w:gridCol w:w="2600"/>
        <w:gridCol w:w="7624"/>
      </w:tblGrid>
      <w:tr>
        <w:trPr>
          <w:cantSplit/>
          <w:tblHeader/>
        </w:trPr>
        <w:tc>
          <w:tcPr>
            <w:tcW w:type="dxa" w:w="2600"/>
            <w:vAlign w:val="center"/>
            <w:shd w:fill="10253F"/>
          </w:tcPr>
          <w:p>
            <w:pPr>
              <w:spacing w:after="0"/>
            </w:pPr>
            <w:r/>
            <w:r>
              <w:rPr>
                <w:rFonts w:ascii="Aptos" w:hAnsi="Aptos"/>
                <w:b/>
                <w:color w:val="FFFFFF"/>
                <w:sz w:val="16"/>
              </w:rPr>
              <w:t xml:space="preserve">Commission and money rules</w:t>
            </w:r>
          </w:p>
        </w:tc>
        <w:tc>
          <w:tcPr>
            <w:tcW w:type="dxa" w:w="7624"/>
            <w:vAlign w:val="center"/>
            <w:shd w:fill="10253F"/>
          </w:tcPr>
          <w:p>
            <w:pPr>
              <w:spacing w:after="0"/>
            </w:pPr>
            <w:r/>
            <w:r>
              <w:rPr>
                <w:rFonts w:ascii="Aptos" w:hAnsi="Aptos"/>
                <w:b/>
                <w:color w:val="FFFFFF"/>
                <w:sz w:val="16"/>
              </w:rPr>
              <w:t xml:space="preserve">Requirement</w:t>
            </w:r>
          </w:p>
        </w:tc>
      </w:tr>
      <w:tr>
        <w:trPr>
          <w:cantSplit/>
        </w:trPr>
        <w:tc>
          <w:tcPr>
            <w:tcW w:type="dxa" w:w="2600"/>
            <w:vAlign w:val="center"/>
          </w:tcPr>
          <w:p>
            <w:pPr>
              <w:spacing w:after="0"/>
            </w:pPr>
            <w:r/>
            <w:r>
              <w:rPr>
                <w:rFonts w:ascii="Aptos" w:hAnsi="Aptos"/>
                <w:b w:val="0"/>
                <w:sz w:val="15"/>
              </w:rPr>
              <w:t xml:space="preserve">Commission models</w:t>
            </w:r>
          </w:p>
        </w:tc>
        <w:tc>
          <w:tcPr>
            <w:tcW w:type="dxa" w:w="7624"/>
            <w:vAlign w:val="center"/>
          </w:tcPr>
          <w:p>
            <w:pPr>
              <w:spacing w:after="0"/>
            </w:pPr>
            <w:r/>
            <w:r>
              <w:rPr>
                <w:rFonts w:ascii="Aptos" w:hAnsi="Aptos"/>
                <w:b w:val="0"/>
                <w:sz w:val="15"/>
              </w:rPr>
              <w:t xml:space="preserve">Percentage, flat fee, tiered or capped; configurable by country, category, booking mode and vendor plan; versioned with effective dates. Changes need Super Admin dual approval and an audit record.</w:t>
            </w:r>
          </w:p>
        </w:tc>
      </w:tr>
      <w:tr>
        <w:trPr>
          <w:cantSplit/>
        </w:trPr>
        <w:tc>
          <w:tcPr>
            <w:tcW w:type="dxa" w:w="2600"/>
            <w:vAlign w:val="center"/>
            <w:shd w:fill="F2F6F8"/>
          </w:tcPr>
          <w:p>
            <w:pPr>
              <w:spacing w:after="0"/>
            </w:pPr>
            <w:r/>
            <w:r>
              <w:rPr>
                <w:rFonts w:ascii="Aptos" w:hAnsi="Aptos"/>
                <w:b w:val="0"/>
                <w:sz w:val="15"/>
              </w:rPr>
              <w:t xml:space="preserve">Disclosure</w:t>
            </w:r>
          </w:p>
        </w:tc>
        <w:tc>
          <w:tcPr>
            <w:tcW w:type="dxa" w:w="7624"/>
            <w:vAlign w:val="center"/>
            <w:shd w:fill="F2F6F8"/>
          </w:tcPr>
          <w:p>
            <w:pPr>
              <w:spacing w:after="0"/>
            </w:pPr>
            <w:r/>
            <w:r>
              <w:rPr>
                <w:rFonts w:ascii="Aptos" w:hAnsi="Aptos"/>
                <w:b w:val="0"/>
                <w:sz w:val="15"/>
              </w:rPr>
              <w:t xml:space="preserve">The vendor sees commission and fees before accepting a booking, quotation or contract. The customer sees a price breakdown (price, taxes, any platform fee charged to the customer) before confirming. No hidden fees.</w:t>
            </w:r>
          </w:p>
        </w:tc>
      </w:tr>
      <w:tr>
        <w:trPr>
          <w:cantSplit/>
        </w:trPr>
        <w:tc>
          <w:tcPr>
            <w:tcW w:type="dxa" w:w="2600"/>
            <w:vAlign w:val="center"/>
          </w:tcPr>
          <w:p>
            <w:pPr>
              <w:spacing w:after="0"/>
            </w:pPr>
            <w:r/>
            <w:r>
              <w:rPr>
                <w:rFonts w:ascii="Aptos" w:hAnsi="Aptos"/>
                <w:b w:val="0"/>
                <w:sz w:val="15"/>
              </w:rPr>
              <w:t xml:space="preserve">Terms snapshot</w:t>
            </w:r>
          </w:p>
        </w:tc>
        <w:tc>
          <w:tcPr>
            <w:tcW w:type="dxa" w:w="7624"/>
            <w:vAlign w:val="center"/>
          </w:tcPr>
          <w:p>
            <w:pPr>
              <w:spacing w:after="0"/>
            </w:pPr>
            <w:r/>
            <w:r>
              <w:rPr>
                <w:rFonts w:ascii="Aptos" w:hAnsi="Aptos"/>
                <w:b w:val="0"/>
                <w:sz w:val="15"/>
              </w:rPr>
              <w:t xml:space="preserve">Commission terms are stored with the accepted booking, quotation or contract. Later rule changes never alter in-flight transactions.</w:t>
            </w:r>
          </w:p>
        </w:tc>
      </w:tr>
      <w:tr>
        <w:trPr>
          <w:cantSplit/>
        </w:trPr>
        <w:tc>
          <w:tcPr>
            <w:tcW w:type="dxa" w:w="2600"/>
            <w:vAlign w:val="center"/>
            <w:shd w:fill="F2F6F8"/>
          </w:tcPr>
          <w:p>
            <w:pPr>
              <w:spacing w:after="0"/>
            </w:pPr>
            <w:r/>
            <w:r>
              <w:rPr>
                <w:rFonts w:ascii="Aptos" w:hAnsi="Aptos"/>
                <w:b w:val="0"/>
                <w:sz w:val="15"/>
              </w:rPr>
              <w:t xml:space="preserve">Ledger</w:t>
            </w:r>
          </w:p>
        </w:tc>
        <w:tc>
          <w:tcPr>
            <w:tcW w:type="dxa" w:w="7624"/>
            <w:vAlign w:val="center"/>
            <w:shd w:fill="F2F6F8"/>
          </w:tcPr>
          <w:p>
            <w:pPr>
              <w:spacing w:after="0"/>
            </w:pPr>
            <w:r/>
            <w:r>
              <w:rPr>
                <w:rFonts w:ascii="Aptos" w:hAnsi="Aptos"/>
                <w:b w:val="0"/>
                <w:sz w:val="15"/>
              </w:rPr>
              <w:t xml:space="preserve">Append-only ledger entries for charge, commission, tax, payout, refund and adjustment, reconciled with the payment provider. Provider callbacks are authenticated and idempotent (§11.2, chapter 15).</w:t>
            </w:r>
          </w:p>
        </w:tc>
      </w:tr>
      <w:tr>
        <w:trPr>
          <w:cantSplit/>
        </w:trPr>
        <w:tc>
          <w:tcPr>
            <w:tcW w:type="dxa" w:w="2600"/>
            <w:vAlign w:val="center"/>
          </w:tcPr>
          <w:p>
            <w:pPr>
              <w:spacing w:after="0"/>
            </w:pPr>
            <w:r/>
            <w:r>
              <w:rPr>
                <w:rFonts w:ascii="Aptos" w:hAnsi="Aptos"/>
                <w:b w:val="0"/>
                <w:sz w:val="15"/>
              </w:rPr>
              <w:t xml:space="preserve">Refunds and chargebacks</w:t>
            </w:r>
          </w:p>
        </w:tc>
        <w:tc>
          <w:tcPr>
            <w:tcW w:type="dxa" w:w="7624"/>
            <w:vAlign w:val="center"/>
          </w:tcPr>
          <w:p>
            <w:pPr>
              <w:spacing w:after="0"/>
            </w:pPr>
            <w:r/>
            <w:r>
              <w:rPr>
                <w:rFonts w:ascii="Aptos" w:hAnsi="Aptos"/>
                <w:b w:val="0"/>
                <w:sz w:val="15"/>
              </w:rPr>
              <w:t xml:space="preserve">Handled through provider workflows and a linked support case; commission reversal rules are defined under CFG-15.</w:t>
            </w:r>
          </w:p>
        </w:tc>
      </w:tr>
      <w:tr>
        <w:trPr>
          <w:cantSplit/>
        </w:trPr>
        <w:tc>
          <w:tcPr>
            <w:tcW w:type="dxa" w:w="2600"/>
            <w:vAlign w:val="center"/>
            <w:shd w:fill="F2F6F8"/>
          </w:tcPr>
          <w:p>
            <w:pPr>
              <w:spacing w:after="0"/>
            </w:pPr>
            <w:r/>
            <w:r>
              <w:rPr>
                <w:rFonts w:ascii="Aptos" w:hAnsi="Aptos"/>
                <w:b w:val="0"/>
                <w:sz w:val="15"/>
              </w:rPr>
              <w:t xml:space="preserve">Taxes and currency</w:t>
            </w:r>
          </w:p>
        </w:tc>
        <w:tc>
          <w:tcPr>
            <w:tcW w:type="dxa" w:w="7624"/>
            <w:vAlign w:val="center"/>
            <w:shd w:fill="F2F6F8"/>
          </w:tcPr>
          <w:p>
            <w:pPr>
              <w:spacing w:after="0"/>
            </w:pPr>
            <w:r/>
            <w:r>
              <w:rPr>
                <w:rFonts w:ascii="Aptos" w:hAnsi="Aptos"/>
                <w:b w:val="0"/>
                <w:sz w:val="15"/>
              </w:rPr>
              <w:t xml:space="preserve">Tax registration and rates per country; invoices as locally required. Amounts are stored in minor units with an ISO currency code, never as floating-point values. Exchange-rate source and timestamp are recorded.</w:t>
            </w:r>
          </w:p>
        </w:tc>
      </w:tr>
      <w:tr>
        <w:trPr>
          <w:cantSplit/>
        </w:trPr>
        <w:tc>
          <w:tcPr>
            <w:tcW w:type="dxa" w:w="2600"/>
            <w:vAlign w:val="center"/>
          </w:tcPr>
          <w:p>
            <w:pPr>
              <w:spacing w:after="0"/>
            </w:pPr>
            <w:r/>
            <w:r>
              <w:rPr>
                <w:rFonts w:ascii="Aptos" w:hAnsi="Aptos"/>
                <w:b w:val="0"/>
                <w:sz w:val="15"/>
              </w:rPr>
              <w:t xml:space="preserve">Vendor payout compliance</w:t>
            </w:r>
          </w:p>
        </w:tc>
        <w:tc>
          <w:tcPr>
            <w:tcW w:type="dxa" w:w="7624"/>
            <w:vAlign w:val="center"/>
          </w:tcPr>
          <w:p>
            <w:pPr>
              <w:spacing w:after="0"/>
            </w:pPr>
            <w:r/>
            <w:r>
              <w:rPr>
                <w:rFonts w:ascii="Aptos" w:hAnsi="Aptos"/>
                <w:b w:val="0"/>
                <w:sz w:val="15"/>
              </w:rPr>
              <w:t xml:space="preserve">Vendor identity and business checks, payout schedule, holds and sanctions screening through a licensed provider. The platform does not store card or bank data beyond provider tokens.</w:t>
            </w:r>
          </w:p>
        </w:tc>
      </w:tr>
    </w:tbl>
    <w:p>
      <w:pPr>
        <w:spacing w:after="0"/>
      </w:pPr>
    </w:p>
    <w:tbl>
      <w:tblPr>
        <w:tblStyle w:val="TableGrid"/>
        <w:tblW w:type="auto" w:w="0"/>
        <w:jc w:val="center"/>
        <w:tblLook w:firstColumn="1" w:firstRow="1" w:lastColumn="0" w:lastRow="0" w:noHBand="0" w:noVBand="1" w:val="04A0"/>
      </w:tblPr>
      <w:tblGrid>
        <w:gridCol w:w="2600"/>
        <w:gridCol w:w="7624"/>
      </w:tblGrid>
      <w:tr>
        <w:trPr>
          <w:cantSplit/>
          <w:tblHeader/>
        </w:trPr>
        <w:tc>
          <w:tcPr>
            <w:tcW w:type="dxa" w:w="2600"/>
            <w:vAlign w:val="center"/>
            <w:shd w:fill="10253F"/>
          </w:tcPr>
          <w:p>
            <w:pPr>
              <w:spacing w:after="0"/>
            </w:pPr>
            <w:r/>
            <w:r>
              <w:rPr>
                <w:rFonts w:ascii="Aptos" w:hAnsi="Aptos"/>
                <w:b/>
                <w:color w:val="FFFFFF"/>
                <w:sz w:val="16"/>
              </w:rPr>
              <w:t xml:space="preserve">Subscription flow</w:t>
            </w:r>
          </w:p>
        </w:tc>
        <w:tc>
          <w:tcPr>
            <w:tcW w:type="dxa" w:w="7624"/>
            <w:vAlign w:val="center"/>
            <w:shd w:fill="10253F"/>
          </w:tcPr>
          <w:p>
            <w:pPr>
              <w:spacing w:after="0"/>
            </w:pPr>
            <w:r/>
            <w:r>
              <w:rPr>
                <w:rFonts w:ascii="Aptos" w:hAnsi="Aptos"/>
                <w:b/>
                <w:color w:val="FFFFFF"/>
                <w:sz w:val="16"/>
              </w:rPr>
              <w:t xml:space="preserve">Requirement</w:t>
            </w:r>
          </w:p>
        </w:tc>
      </w:tr>
      <w:tr>
        <w:trPr>
          <w:cantSplit/>
        </w:trPr>
        <w:tc>
          <w:tcPr>
            <w:tcW w:type="dxa" w:w="2600"/>
            <w:vAlign w:val="center"/>
          </w:tcPr>
          <w:p>
            <w:pPr>
              <w:spacing w:after="0"/>
            </w:pPr>
            <w:r/>
            <w:r>
              <w:rPr>
                <w:rFonts w:ascii="Aptos" w:hAnsi="Aptos"/>
                <w:b w:val="0"/>
                <w:sz w:val="15"/>
              </w:rPr>
              <w:t xml:space="preserve">Plans and pricing</w:t>
            </w:r>
          </w:p>
        </w:tc>
        <w:tc>
          <w:tcPr>
            <w:tcW w:type="dxa" w:w="7624"/>
            <w:vAlign w:val="center"/>
          </w:tcPr>
          <w:p>
            <w:pPr>
              <w:spacing w:after="0"/>
            </w:pPr>
            <w:r/>
            <w:r>
              <w:rPr>
                <w:rFonts w:ascii="Aptos" w:hAnsi="Aptos"/>
                <w:b w:val="0"/>
                <w:sz w:val="15"/>
              </w:rPr>
              <w:t xml:space="preserve">Plan prices, currencies, taxes and entitlements may differ by country (CFG-01, CFG-16). Plan names and numbers remain open configuration and are not invented here.</w:t>
            </w:r>
          </w:p>
        </w:tc>
      </w:tr>
      <w:tr>
        <w:trPr>
          <w:cantSplit/>
        </w:trPr>
        <w:tc>
          <w:tcPr>
            <w:tcW w:type="dxa" w:w="2600"/>
            <w:vAlign w:val="center"/>
            <w:shd w:fill="F2F6F8"/>
          </w:tcPr>
          <w:p>
            <w:pPr>
              <w:spacing w:after="0"/>
            </w:pPr>
            <w:r/>
            <w:r>
              <w:rPr>
                <w:rFonts w:ascii="Aptos" w:hAnsi="Aptos"/>
                <w:b w:val="0"/>
                <w:sz w:val="15"/>
              </w:rPr>
              <w:t xml:space="preserve">Lifecycle</w:t>
            </w:r>
          </w:p>
        </w:tc>
        <w:tc>
          <w:tcPr>
            <w:tcW w:type="dxa" w:w="7624"/>
            <w:vAlign w:val="center"/>
            <w:shd w:fill="F2F6F8"/>
          </w:tcPr>
          <w:p>
            <w:pPr>
              <w:spacing w:after="0"/>
            </w:pPr>
            <w:r/>
            <w:r>
              <w:rPr>
                <w:rFonts w:ascii="Aptos" w:hAnsi="Aptos"/>
                <w:b w:val="0"/>
                <w:sz w:val="15"/>
              </w:rPr>
              <w:t xml:space="preserve">Unchanged from §11.2 in every market: payment success, upcoming renewal, 3-day grace after failure, expiry, cancellation to end of paid period, restoration and retention of existing commitments.</w:t>
            </w:r>
          </w:p>
        </w:tc>
      </w:tr>
      <w:tr>
        <w:trPr>
          <w:cantSplit/>
        </w:trPr>
        <w:tc>
          <w:tcPr>
            <w:tcW w:type="dxa" w:w="2600"/>
            <w:vAlign w:val="center"/>
          </w:tcPr>
          <w:p>
            <w:pPr>
              <w:spacing w:after="0"/>
            </w:pPr>
            <w:r/>
            <w:r>
              <w:rPr>
                <w:rFonts w:ascii="Aptos" w:hAnsi="Aptos"/>
                <w:b w:val="0"/>
                <w:sz w:val="15"/>
              </w:rPr>
              <w:t xml:space="preserve">Changes and billing</w:t>
            </w:r>
          </w:p>
        </w:tc>
        <w:tc>
          <w:tcPr>
            <w:tcW w:type="dxa" w:w="7624"/>
            <w:vAlign w:val="center"/>
          </w:tcPr>
          <w:p>
            <w:pPr>
              <w:spacing w:after="0"/>
            </w:pPr>
            <w:r/>
            <w:r>
              <w:rPr>
                <w:rFonts w:ascii="Aptos" w:hAnsi="Aptos"/>
                <w:b w:val="0"/>
                <w:sz w:val="15"/>
              </w:rPr>
              <w:t xml:space="preserve">Upgrade, downgrade and proration rules, receipts and tax invoices, retry and reminder schedule; all configurable and audited.</w:t>
            </w:r>
          </w:p>
        </w:tc>
      </w:tr>
      <w:tr>
        <w:trPr>
          <w:cantSplit/>
        </w:trPr>
        <w:tc>
          <w:tcPr>
            <w:tcW w:type="dxa" w:w="2600"/>
            <w:vAlign w:val="center"/>
            <w:shd w:fill="F2F6F8"/>
          </w:tcPr>
          <w:p>
            <w:pPr>
              <w:spacing w:after="0"/>
            </w:pPr>
            <w:r/>
            <w:r>
              <w:rPr>
                <w:rFonts w:ascii="Aptos" w:hAnsi="Aptos"/>
                <w:b w:val="0"/>
                <w:sz w:val="15"/>
              </w:rPr>
              <w:t xml:space="preserve">Sponsored visibility</w:t>
            </w:r>
          </w:p>
        </w:tc>
        <w:tc>
          <w:tcPr>
            <w:tcW w:type="dxa" w:w="7624"/>
            <w:vAlign w:val="center"/>
            <w:shd w:fill="F2F6F8"/>
          </w:tcPr>
          <w:p>
            <w:pPr>
              <w:spacing w:after="0"/>
            </w:pPr>
            <w:r/>
            <w:r>
              <w:rPr>
                <w:rFonts w:ascii="Aptos" w:hAnsi="Aptos"/>
                <w:b w:val="0"/>
                <w:sz w:val="15"/>
              </w:rPr>
              <w:t xml:space="preserve">Campaign budget and dates per market; labelled placements; never overrides eligibility gates (§11.3).</w:t>
            </w:r>
          </w:p>
        </w:tc>
      </w:tr>
      <w:tr>
        <w:trPr>
          <w:cantSplit/>
        </w:trPr>
        <w:tc>
          <w:tcPr>
            <w:tcW w:type="dxa" w:w="2600"/>
            <w:vAlign w:val="center"/>
          </w:tcPr>
          <w:p>
            <w:pPr>
              <w:spacing w:after="0"/>
            </w:pPr>
            <w:r/>
            <w:r>
              <w:rPr>
                <w:rFonts w:ascii="Aptos" w:hAnsi="Aptos"/>
                <w:b w:val="0"/>
                <w:sz w:val="15"/>
              </w:rPr>
              <w:t xml:space="preserve">Fairness</w:t>
            </w:r>
          </w:p>
        </w:tc>
        <w:tc>
          <w:tcPr>
            <w:tcW w:type="dxa" w:w="7624"/>
            <w:vAlign w:val="center"/>
          </w:tcPr>
          <w:p>
            <w:pPr>
              <w:spacing w:after="0"/>
            </w:pPr>
            <w:r/>
            <w:r>
              <w:rPr>
                <w:rFonts w:ascii="Aptos" w:hAnsi="Aptos"/>
                <w:b w:val="0"/>
                <w:sz w:val="15"/>
              </w:rPr>
              <w:t xml:space="preserve">Plan tier cannot buy verification, ratings or organic ranking.</w:t>
            </w:r>
          </w:p>
        </w:tc>
      </w:tr>
    </w:tbl>
    <w:p>
      <w:pPr>
        <w:spacing w:after="0"/>
      </w:pPr>
    </w:p>
    <w:p>
      <w:pPr>
        <w:pStyle w:val="Heading2"/>
      </w:pPr>
      <w:bookmarkStart w:id="9039" w:name="gm_s2610"/>
      <w:r>
        <w:t xml:space="preserve">26.10 Responsive web and mobile UI/UX</w:t>
      </w:r>
      <w:bookmarkEnd w:id="9039"/>
    </w:p>
    <w:tbl>
      <w:tblPr>
        <w:tblStyle w:val="TableGrid"/>
        <w:tblW w:type="auto" w:w="0"/>
        <w:jc w:val="center"/>
        <w:tblLook w:firstColumn="1" w:firstRow="1" w:lastColumn="0" w:lastRow="0" w:noHBand="0" w:noVBand="1" w:val="04A0"/>
      </w:tblPr>
      <w:tblGrid>
        <w:gridCol w:w="2600"/>
        <w:gridCol w:w="7624"/>
      </w:tblGrid>
      <w:tr>
        <w:trPr>
          <w:cantSplit/>
          <w:tblHeader/>
        </w:trPr>
        <w:tc>
          <w:tcPr>
            <w:tcW w:type="dxa" w:w="2600"/>
            <w:vAlign w:val="center"/>
            <w:shd w:fill="10253F"/>
          </w:tcPr>
          <w:p>
            <w:pPr>
              <w:spacing w:after="0"/>
            </w:pPr>
            <w:r/>
            <w:r>
              <w:rPr>
                <w:rFonts w:ascii="Aptos" w:hAnsi="Aptos"/>
                <w:b/>
                <w:color w:val="FFFFFF"/>
                <w:sz w:val="16"/>
              </w:rPr>
              <w:t xml:space="preserve">Area</w:t>
            </w:r>
          </w:p>
        </w:tc>
        <w:tc>
          <w:tcPr>
            <w:tcW w:type="dxa" w:w="7624"/>
            <w:vAlign w:val="center"/>
            <w:shd w:fill="10253F"/>
          </w:tcPr>
          <w:p>
            <w:pPr>
              <w:spacing w:after="0"/>
            </w:pPr>
            <w:r/>
            <w:r>
              <w:rPr>
                <w:rFonts w:ascii="Aptos" w:hAnsi="Aptos"/>
                <w:b/>
                <w:color w:val="FFFFFF"/>
                <w:sz w:val="16"/>
              </w:rPr>
              <w:t xml:space="preserve">Requirement</w:t>
            </w:r>
          </w:p>
        </w:tc>
      </w:tr>
      <w:tr>
        <w:trPr>
          <w:cantSplit/>
        </w:trPr>
        <w:tc>
          <w:tcPr>
            <w:tcW w:type="dxa" w:w="2600"/>
            <w:vAlign w:val="center"/>
          </w:tcPr>
          <w:p>
            <w:pPr>
              <w:spacing w:after="0"/>
            </w:pPr>
            <w:r/>
            <w:r>
              <w:rPr>
                <w:rFonts w:ascii="Aptos" w:hAnsi="Aptos"/>
                <w:b w:val="0"/>
                <w:sz w:val="15"/>
              </w:rPr>
              <w:t xml:space="preserve">Responsive layout</w:t>
            </w:r>
          </w:p>
        </w:tc>
        <w:tc>
          <w:tcPr>
            <w:tcW w:type="dxa" w:w="7624"/>
            <w:vAlign w:val="center"/>
          </w:tcPr>
          <w:p>
            <w:pPr>
              <w:spacing w:after="0"/>
            </w:pPr>
            <w:r/>
            <w:r>
              <w:rPr>
                <w:rFonts w:ascii="Aptos" w:hAnsi="Aptos"/>
                <w:b w:val="0"/>
                <w:sz w:val="15"/>
              </w:rPr>
              <w:t xml:space="preserve">Mobile-first layouts for phone, tablet and desktop widths; touch-friendly targets; no sideways page scrolling except inside contained data tables.</w:t>
            </w:r>
          </w:p>
        </w:tc>
      </w:tr>
      <w:tr>
        <w:trPr>
          <w:cantSplit/>
        </w:trPr>
        <w:tc>
          <w:tcPr>
            <w:tcW w:type="dxa" w:w="2600"/>
            <w:vAlign w:val="center"/>
            <w:shd w:fill="F2F6F8"/>
          </w:tcPr>
          <w:p>
            <w:pPr>
              <w:spacing w:after="0"/>
            </w:pPr>
            <w:r/>
            <w:r>
              <w:rPr>
                <w:rFonts w:ascii="Aptos" w:hAnsi="Aptos"/>
                <w:b w:val="0"/>
                <w:sz w:val="15"/>
              </w:rPr>
              <w:t xml:space="preserve">Platform parity</w:t>
            </w:r>
          </w:p>
        </w:tc>
        <w:tc>
          <w:tcPr>
            <w:tcW w:type="dxa" w:w="7624"/>
            <w:vAlign w:val="center"/>
            <w:shd w:fill="F2F6F8"/>
          </w:tcPr>
          <w:p>
            <w:pPr>
              <w:spacing w:after="0"/>
            </w:pPr>
            <w:r/>
            <w:r>
              <w:rPr>
                <w:rFonts w:ascii="Aptos" w:hAnsi="Aptos"/>
                <w:b w:val="0"/>
                <w:sz w:val="15"/>
              </w:rPr>
              <w:t xml:space="preserve">Web, Android and iOS expose the same business states, permissions and journeys (§17). Navigation may follow platform convention (for example bottom tabs on phones, side navigation on desktop).</w:t>
            </w:r>
          </w:p>
        </w:tc>
      </w:tr>
      <w:tr>
        <w:trPr>
          <w:cantSplit/>
        </w:trPr>
        <w:tc>
          <w:tcPr>
            <w:tcW w:type="dxa" w:w="2600"/>
            <w:vAlign w:val="center"/>
          </w:tcPr>
          <w:p>
            <w:pPr>
              <w:spacing w:after="0"/>
            </w:pPr>
            <w:r/>
            <w:r>
              <w:rPr>
                <w:rFonts w:ascii="Aptos" w:hAnsi="Aptos"/>
                <w:b w:val="0"/>
                <w:sz w:val="15"/>
              </w:rPr>
              <w:t xml:space="preserve">Recommended mobile navigation</w:t>
            </w:r>
          </w:p>
        </w:tc>
        <w:tc>
          <w:tcPr>
            <w:tcW w:type="dxa" w:w="7624"/>
            <w:vAlign w:val="center"/>
          </w:tcPr>
          <w:p>
            <w:pPr>
              <w:spacing w:after="0"/>
            </w:pPr>
            <w:r/>
            <w:r>
              <w:rPr>
                <w:rFonts w:ascii="Aptos" w:hAnsi="Aptos"/>
                <w:b w:val="0"/>
                <w:sz w:val="15"/>
              </w:rPr>
              <w:t xml:space="preserve">Customer mode: Home, Search, Bookings and Requests, Messages, Account. Vendor mode: Dashboard, Requests, Listings, Messages, Account. A clear mode switch (§3.1).</w:t>
            </w:r>
          </w:p>
        </w:tc>
      </w:tr>
      <w:tr>
        <w:trPr>
          <w:cantSplit/>
        </w:trPr>
        <w:tc>
          <w:tcPr>
            <w:tcW w:type="dxa" w:w="2600"/>
            <w:vAlign w:val="center"/>
            <w:shd w:fill="F2F6F8"/>
          </w:tcPr>
          <w:p>
            <w:pPr>
              <w:spacing w:after="0"/>
            </w:pPr>
            <w:r/>
            <w:r>
              <w:rPr>
                <w:rFonts w:ascii="Aptos" w:hAnsi="Aptos"/>
                <w:b w:val="0"/>
                <w:sz w:val="15"/>
              </w:rPr>
              <w:t xml:space="preserve">Internationalization</w:t>
            </w:r>
          </w:p>
        </w:tc>
        <w:tc>
          <w:tcPr>
            <w:tcW w:type="dxa" w:w="7624"/>
            <w:vAlign w:val="center"/>
            <w:shd w:fill="F2F6F8"/>
          </w:tcPr>
          <w:p>
            <w:pPr>
              <w:spacing w:after="0"/>
            </w:pPr>
            <w:r/>
            <w:r>
              <w:rPr>
                <w:rFonts w:ascii="Aptos" w:hAnsi="Aptos"/>
                <w:b w:val="0"/>
                <w:sz w:val="15"/>
              </w:rPr>
              <w:t xml:space="preserve">Multilingual UI, right-to-left layout support designed in from the start, locale-aware dates, numbers, currencies, addresses and phone formats, room for text expansion and no text baked into images. Launch languages remain English and Hindi (CFG-19).</w:t>
            </w:r>
          </w:p>
        </w:tc>
      </w:tr>
      <w:tr>
        <w:trPr>
          <w:cantSplit/>
        </w:trPr>
        <w:tc>
          <w:tcPr>
            <w:tcW w:type="dxa" w:w="2600"/>
            <w:vAlign w:val="center"/>
          </w:tcPr>
          <w:p>
            <w:pPr>
              <w:spacing w:after="0"/>
            </w:pPr>
            <w:r/>
            <w:r>
              <w:rPr>
                <w:rFonts w:ascii="Aptos" w:hAnsi="Aptos"/>
                <w:b w:val="0"/>
                <w:sz w:val="15"/>
              </w:rPr>
              <w:t xml:space="preserve">Forms</w:t>
            </w:r>
          </w:p>
        </w:tc>
        <w:tc>
          <w:tcPr>
            <w:tcW w:type="dxa" w:w="7624"/>
            <w:vAlign w:val="center"/>
          </w:tcPr>
          <w:p>
            <w:pPr>
              <w:spacing w:after="0"/>
            </w:pPr>
            <w:r/>
            <w:r>
              <w:rPr>
                <w:rFonts w:ascii="Aptos" w:hAnsi="Aptos"/>
                <w:b w:val="0"/>
                <w:sz w:val="15"/>
              </w:rPr>
              <w:t xml:space="preserve">Schema-driven dynamic forms (§26.2); country-aware address formats; international phone numbers; progressive disclosure; draft saving; camera upload on mobile.</w:t>
            </w:r>
          </w:p>
        </w:tc>
      </w:tr>
      <w:tr>
        <w:trPr>
          <w:cantSplit/>
        </w:trPr>
        <w:tc>
          <w:tcPr>
            <w:tcW w:type="dxa" w:w="2600"/>
            <w:vAlign w:val="center"/>
            <w:shd w:fill="F2F6F8"/>
          </w:tcPr>
          <w:p>
            <w:pPr>
              <w:spacing w:after="0"/>
            </w:pPr>
            <w:r/>
            <w:r>
              <w:rPr>
                <w:rFonts w:ascii="Aptos" w:hAnsi="Aptos"/>
                <w:b w:val="0"/>
                <w:sz w:val="15"/>
              </w:rPr>
              <w:t xml:space="preserve">Low bandwidth and offline</w:t>
            </w:r>
          </w:p>
        </w:tc>
        <w:tc>
          <w:tcPr>
            <w:tcW w:type="dxa" w:w="7624"/>
            <w:vAlign w:val="center"/>
            <w:shd w:fill="F2F6F8"/>
          </w:tcPr>
          <w:p>
            <w:pPr>
              <w:spacing w:after="0"/>
            </w:pPr>
            <w:r/>
            <w:r>
              <w:rPr>
                <w:rFonts w:ascii="Aptos" w:hAnsi="Aptos"/>
                <w:b w:val="0"/>
                <w:sz w:val="15"/>
              </w:rPr>
              <w:t xml:space="preserve">Optimized and lazily loaded images, skeleton loading, clear offline and retry states (§19), and minimal data use on mobile.</w:t>
            </w:r>
          </w:p>
        </w:tc>
      </w:tr>
      <w:tr>
        <w:trPr>
          <w:cantSplit/>
        </w:trPr>
        <w:tc>
          <w:tcPr>
            <w:tcW w:type="dxa" w:w="2600"/>
            <w:vAlign w:val="center"/>
          </w:tcPr>
          <w:p>
            <w:pPr>
              <w:spacing w:after="0"/>
            </w:pPr>
            <w:r/>
            <w:r>
              <w:rPr>
                <w:rFonts w:ascii="Aptos" w:hAnsi="Aptos"/>
                <w:b w:val="0"/>
                <w:sz w:val="15"/>
              </w:rPr>
              <w:t xml:space="preserve">Accessibility</w:t>
            </w:r>
          </w:p>
        </w:tc>
        <w:tc>
          <w:tcPr>
            <w:tcW w:type="dxa" w:w="7624"/>
            <w:vAlign w:val="center"/>
          </w:tcPr>
          <w:p>
            <w:pPr>
              <w:spacing w:after="0"/>
            </w:pPr>
            <w:r/>
            <w:r>
              <w:rPr>
                <w:rFonts w:ascii="Aptos" w:hAnsi="Aptos"/>
                <w:b w:val="0"/>
                <w:sz w:val="15"/>
              </w:rPr>
              <w:t xml:space="preserve">WCAG 2.2 AA target (§17); state is never conveyed by colour alone.</w:t>
            </w:r>
          </w:p>
        </w:tc>
      </w:tr>
      <w:tr>
        <w:trPr>
          <w:cantSplit/>
        </w:trPr>
        <w:tc>
          <w:tcPr>
            <w:tcW w:type="dxa" w:w="2600"/>
            <w:vAlign w:val="center"/>
            <w:shd w:fill="F2F6F8"/>
          </w:tcPr>
          <w:p>
            <w:pPr>
              <w:spacing w:after="0"/>
            </w:pPr>
            <w:r/>
            <w:r>
              <w:rPr>
                <w:rFonts w:ascii="Aptos" w:hAnsi="Aptos"/>
                <w:b w:val="0"/>
                <w:sz w:val="15"/>
              </w:rPr>
              <w:t xml:space="preserve">Design system</w:t>
            </w:r>
          </w:p>
        </w:tc>
        <w:tc>
          <w:tcPr>
            <w:tcW w:type="dxa" w:w="7624"/>
            <w:vAlign w:val="center"/>
            <w:shd w:fill="F2F6F8"/>
          </w:tcPr>
          <w:p>
            <w:pPr>
              <w:spacing w:after="0"/>
            </w:pPr>
            <w:r/>
            <w:r>
              <w:rPr>
                <w:rFonts w:ascii="Aptos" w:hAnsi="Aptos"/>
                <w:b w:val="0"/>
                <w:sz w:val="15"/>
              </w:rPr>
              <w:t xml:space="preserve">Shared tokens and components across web and mobile, with consistent state labels and terminology (§19).</w:t>
            </w:r>
          </w:p>
        </w:tc>
      </w:tr>
      <w:tr>
        <w:trPr>
          <w:cantSplit/>
        </w:trPr>
        <w:tc>
          <w:tcPr>
            <w:tcW w:type="dxa" w:w="2600"/>
            <w:vAlign w:val="center"/>
          </w:tcPr>
          <w:p>
            <w:pPr>
              <w:spacing w:after="0"/>
            </w:pPr>
            <w:r/>
            <w:r>
              <w:rPr>
                <w:rFonts w:ascii="Aptos" w:hAnsi="Aptos"/>
                <w:b w:val="0"/>
                <w:sz w:val="15"/>
              </w:rPr>
              <w:t xml:space="preserve">Testing</w:t>
            </w:r>
          </w:p>
        </w:tc>
        <w:tc>
          <w:tcPr>
            <w:tcW w:type="dxa" w:w="7624"/>
            <w:vAlign w:val="center"/>
          </w:tcPr>
          <w:p>
            <w:pPr>
              <w:spacing w:after="0"/>
            </w:pPr>
            <w:r/>
            <w:r>
              <w:rPr>
                <w:rFonts w:ascii="Aptos" w:hAnsi="Aptos"/>
                <w:b w:val="0"/>
                <w:sz w:val="15"/>
              </w:rPr>
              <w:t xml:space="preserve">Device, browser and language matrix defined in discovery and covered by the release gate in chapter 21.</w:t>
            </w:r>
          </w:p>
        </w:tc>
      </w:tr>
    </w:tbl>
    <w:p>
      <w:pPr>
        <w:spacing w:after="0"/>
      </w:pPr>
    </w:p>
    <w:p>
      <w:pPr>
        <w:pStyle w:val="Heading2"/>
      </w:pPr>
      <w:bookmarkStart w:id="9040" w:name="gm_s2611"/>
      <w:r>
        <w:t xml:space="preserve">26.11 Global scalability architecture and phased launch</w:t>
      </w:r>
      <w:bookmarkEnd w:id="9040"/>
    </w:p>
    <w:tbl>
      <w:tblPr>
        <w:tblStyle w:val="TableGrid"/>
        <w:tblW w:type="auto" w:w="0"/>
        <w:jc w:val="center"/>
        <w:tblLook w:firstColumn="1" w:firstRow="1" w:lastColumn="0" w:lastRow="0" w:noHBand="0" w:noVBand="1" w:val="04A0"/>
      </w:tblPr>
      <w:tblGrid>
        <w:gridCol w:w="2600"/>
        <w:gridCol w:w="7624"/>
      </w:tblGrid>
      <w:tr>
        <w:trPr>
          <w:cantSplit/>
          <w:tblHeader/>
        </w:trPr>
        <w:tc>
          <w:tcPr>
            <w:tcW w:type="dxa" w:w="2600"/>
            <w:vAlign w:val="center"/>
            <w:shd w:fill="10253F"/>
          </w:tcPr>
          <w:p>
            <w:pPr>
              <w:spacing w:after="0"/>
            </w:pPr>
            <w:r/>
            <w:r>
              <w:rPr>
                <w:rFonts w:ascii="Aptos" w:hAnsi="Aptos"/>
                <w:b/>
                <w:color w:val="FFFFFF"/>
                <w:sz w:val="16"/>
              </w:rPr>
              <w:t xml:space="preserve">Concern</w:t>
            </w:r>
          </w:p>
        </w:tc>
        <w:tc>
          <w:tcPr>
            <w:tcW w:type="dxa" w:w="7624"/>
            <w:vAlign w:val="center"/>
            <w:shd w:fill="10253F"/>
          </w:tcPr>
          <w:p>
            <w:pPr>
              <w:spacing w:after="0"/>
            </w:pPr>
            <w:r/>
            <w:r>
              <w:rPr>
                <w:rFonts w:ascii="Aptos" w:hAnsi="Aptos"/>
                <w:b/>
                <w:color w:val="FFFFFF"/>
                <w:sz w:val="16"/>
              </w:rPr>
              <w:t xml:space="preserve">Requirement</w:t>
            </w:r>
          </w:p>
        </w:tc>
      </w:tr>
      <w:tr>
        <w:trPr>
          <w:cantSplit/>
        </w:trPr>
        <w:tc>
          <w:tcPr>
            <w:tcW w:type="dxa" w:w="2600"/>
            <w:vAlign w:val="center"/>
          </w:tcPr>
          <w:p>
            <w:pPr>
              <w:spacing w:after="0"/>
            </w:pPr>
            <w:r/>
            <w:r>
              <w:rPr>
                <w:rFonts w:ascii="Aptos" w:hAnsi="Aptos"/>
                <w:b w:val="0"/>
                <w:sz w:val="15"/>
              </w:rPr>
              <w:t xml:space="preserve">Market as configuration</w:t>
            </w:r>
          </w:p>
        </w:tc>
        <w:tc>
          <w:tcPr>
            <w:tcW w:type="dxa" w:w="7624"/>
            <w:vAlign w:val="center"/>
          </w:tcPr>
          <w:p>
            <w:pPr>
              <w:spacing w:after="0"/>
            </w:pPr>
            <w:r/>
            <w:r>
              <w:rPr>
                <w:rFonts w:ascii="Aptos" w:hAnsi="Aptos"/>
                <w:b w:val="0"/>
                <w:sz w:val="15"/>
              </w:rPr>
              <w:t xml:space="preserve">Country and city activation is a first-class record (Launch Market Register): status, enabled categories, languages, currencies, tax settings, payment modes, verification matrix and legal document versions. Feature flags by country and category are honoured server-side.</w:t>
            </w:r>
          </w:p>
        </w:tc>
      </w:tr>
      <w:tr>
        <w:trPr>
          <w:cantSplit/>
        </w:trPr>
        <w:tc>
          <w:tcPr>
            <w:tcW w:type="dxa" w:w="2600"/>
            <w:vAlign w:val="center"/>
            <w:shd w:fill="F2F6F8"/>
          </w:tcPr>
          <w:p>
            <w:pPr>
              <w:spacing w:after="0"/>
            </w:pPr>
            <w:r/>
            <w:r>
              <w:rPr>
                <w:rFonts w:ascii="Aptos" w:hAnsi="Aptos"/>
                <w:b w:val="0"/>
                <w:sz w:val="15"/>
              </w:rPr>
              <w:t xml:space="preserve">Data and privacy</w:t>
            </w:r>
          </w:p>
        </w:tc>
        <w:tc>
          <w:tcPr>
            <w:tcW w:type="dxa" w:w="7624"/>
            <w:vAlign w:val="center"/>
            <w:shd w:fill="F2F6F8"/>
          </w:tcPr>
          <w:p>
            <w:pPr>
              <w:spacing w:after="0"/>
            </w:pPr>
            <w:r/>
            <w:r>
              <w:rPr>
                <w:rFonts w:ascii="Aptos" w:hAnsi="Aptos"/>
                <w:b w:val="0"/>
                <w:sz w:val="15"/>
              </w:rPr>
              <w:t xml:space="preserve">Data is partitioned by country or region so regional storage can be introduced later. Per-country consent, retention and cross-border transfer rules are decided during activation (CFG-14).</w:t>
            </w:r>
          </w:p>
        </w:tc>
      </w:tr>
      <w:tr>
        <w:trPr>
          <w:cantSplit/>
        </w:trPr>
        <w:tc>
          <w:tcPr>
            <w:tcW w:type="dxa" w:w="2600"/>
            <w:vAlign w:val="center"/>
          </w:tcPr>
          <w:p>
            <w:pPr>
              <w:spacing w:after="0"/>
            </w:pPr>
            <w:r/>
            <w:r>
              <w:rPr>
                <w:rFonts w:ascii="Aptos" w:hAnsi="Aptos"/>
                <w:b w:val="0"/>
                <w:sz w:val="15"/>
              </w:rPr>
              <w:t xml:space="preserve">Scalability</w:t>
            </w:r>
          </w:p>
        </w:tc>
        <w:tc>
          <w:tcPr>
            <w:tcW w:type="dxa" w:w="7624"/>
            <w:vAlign w:val="center"/>
          </w:tcPr>
          <w:p>
            <w:pPr>
              <w:spacing w:after="0"/>
            </w:pPr>
            <w:r/>
            <w:r>
              <w:rPr>
                <w:rFonts w:ascii="Aptos" w:hAnsi="Aptos"/>
                <w:b w:val="0"/>
                <w:sz w:val="15"/>
              </w:rPr>
              <w:t xml:space="preserve">Stateless services that scale horizontally; search indexes partitioned by market; CDN for static and media content; asynchronous queues for background work; capacity model per launch wave; targets from chapter 17.</w:t>
            </w:r>
          </w:p>
        </w:tc>
      </w:tr>
      <w:tr>
        <w:trPr>
          <w:cantSplit/>
        </w:trPr>
        <w:tc>
          <w:tcPr>
            <w:tcW w:type="dxa" w:w="2600"/>
            <w:vAlign w:val="center"/>
            <w:shd w:fill="F2F6F8"/>
          </w:tcPr>
          <w:p>
            <w:pPr>
              <w:spacing w:after="0"/>
            </w:pPr>
            <w:r/>
            <w:r>
              <w:rPr>
                <w:rFonts w:ascii="Aptos" w:hAnsi="Aptos"/>
                <w:b w:val="0"/>
                <w:sz w:val="15"/>
              </w:rPr>
              <w:t xml:space="preserve">Time, locale and money</w:t>
            </w:r>
          </w:p>
        </w:tc>
        <w:tc>
          <w:tcPr>
            <w:tcW w:type="dxa" w:w="7624"/>
            <w:vAlign w:val="center"/>
            <w:shd w:fill="F2F6F8"/>
          </w:tcPr>
          <w:p>
            <w:pPr>
              <w:spacing w:after="0"/>
            </w:pPr>
            <w:r/>
            <w:r>
              <w:rPr>
                <w:rFonts w:ascii="Aptos" w:hAnsi="Aptos"/>
                <w:b w:val="0"/>
                <w:sz w:val="15"/>
              </w:rPr>
              <w:t xml:space="preserve">UTC storage with time zone per user and listing; locale-aware formatting; minor-unit money with ISO 4217 currency codes.</w:t>
            </w:r>
          </w:p>
        </w:tc>
      </w:tr>
      <w:tr>
        <w:trPr>
          <w:cantSplit/>
        </w:trPr>
        <w:tc>
          <w:tcPr>
            <w:tcW w:type="dxa" w:w="2600"/>
            <w:vAlign w:val="center"/>
          </w:tcPr>
          <w:p>
            <w:pPr>
              <w:spacing w:after="0"/>
            </w:pPr>
            <w:r/>
            <w:r>
              <w:rPr>
                <w:rFonts w:ascii="Aptos" w:hAnsi="Aptos"/>
                <w:b w:val="0"/>
                <w:sz w:val="15"/>
              </w:rPr>
              <w:t xml:space="preserve">Providers</w:t>
            </w:r>
          </w:p>
        </w:tc>
        <w:tc>
          <w:tcPr>
            <w:tcW w:type="dxa" w:w="7624"/>
            <w:vAlign w:val="center"/>
          </w:tcPr>
          <w:p>
            <w:pPr>
              <w:spacing w:after="0"/>
            </w:pPr>
            <w:r/>
            <w:r>
              <w:rPr>
                <w:rFonts w:ascii="Aptos" w:hAnsi="Aptos"/>
                <w:b w:val="0"/>
                <w:sz w:val="15"/>
              </w:rPr>
              <w:t xml:space="preserve">SMS/OTP, email/push, maps, payments and tax services are abstracted behind interfaces so different providers can serve different regions (chapter 15).</w:t>
            </w:r>
          </w:p>
        </w:tc>
      </w:tr>
      <w:tr>
        <w:trPr>
          <w:cantSplit/>
        </w:trPr>
        <w:tc>
          <w:tcPr>
            <w:tcW w:type="dxa" w:w="2600"/>
            <w:vAlign w:val="center"/>
            <w:shd w:fill="F2F6F8"/>
          </w:tcPr>
          <w:p>
            <w:pPr>
              <w:spacing w:after="0"/>
            </w:pPr>
            <w:r/>
            <w:r>
              <w:rPr>
                <w:rFonts w:ascii="Aptos" w:hAnsi="Aptos"/>
                <w:b w:val="0"/>
                <w:sz w:val="15"/>
              </w:rPr>
              <w:t xml:space="preserve">Legal content</w:t>
            </w:r>
          </w:p>
        </w:tc>
        <w:tc>
          <w:tcPr>
            <w:tcW w:type="dxa" w:w="7624"/>
            <w:vAlign w:val="center"/>
            <w:shd w:fill="F2F6F8"/>
          </w:tcPr>
          <w:p>
            <w:pPr>
              <w:spacing w:after="0"/>
            </w:pPr>
            <w:r/>
            <w:r>
              <w:rPr>
                <w:rFonts w:ascii="Aptos" w:hAnsi="Aptos"/>
                <w:b w:val="0"/>
                <w:sz w:val="15"/>
              </w:rPr>
              <w:t xml:space="preserve">Terms, privacy and policies are versioned per country and language with consent records.</w:t>
            </w:r>
          </w:p>
        </w:tc>
      </w:tr>
      <w:tr>
        <w:trPr>
          <w:cantSplit/>
        </w:trPr>
        <w:tc>
          <w:tcPr>
            <w:tcW w:type="dxa" w:w="2600"/>
            <w:vAlign w:val="center"/>
          </w:tcPr>
          <w:p>
            <w:pPr>
              <w:spacing w:after="0"/>
            </w:pPr>
            <w:r/>
            <w:r>
              <w:rPr>
                <w:rFonts w:ascii="Aptos" w:hAnsi="Aptos"/>
                <w:b w:val="0"/>
                <w:sz w:val="15"/>
              </w:rPr>
              <w:t xml:space="preserve">Observability</w:t>
            </w:r>
          </w:p>
        </w:tc>
        <w:tc>
          <w:tcPr>
            <w:tcW w:type="dxa" w:w="7624"/>
            <w:vAlign w:val="center"/>
          </w:tcPr>
          <w:p>
            <w:pPr>
              <w:spacing w:after="0"/>
            </w:pPr>
            <w:r/>
            <w:r>
              <w:rPr>
                <w:rFonts w:ascii="Aptos" w:hAnsi="Aptos"/>
                <w:b w:val="0"/>
                <w:sz w:val="15"/>
              </w:rPr>
              <w:t xml:space="preserve">Metrics, alerts and dashboards can be filtered by market.</w:t>
            </w:r>
          </w:p>
        </w:tc>
      </w:tr>
    </w:tbl>
    <w:p>
      <w:pPr>
        <w:spacing w:after="0"/>
      </w:pPr>
    </w:p>
    <w:tbl>
      <w:tblPr>
        <w:tblStyle w:val="TableGrid"/>
        <w:tblW w:type="auto" w:w="0"/>
        <w:jc w:val="center"/>
        <w:tblLook w:firstColumn="1" w:firstRow="1" w:lastColumn="0" w:lastRow="0" w:noHBand="0" w:noVBand="1" w:val="04A0"/>
      </w:tblPr>
      <w:tblGrid>
        <w:gridCol w:w="2300"/>
        <w:gridCol w:w="4062"/>
        <w:gridCol w:w="3862"/>
      </w:tblGrid>
      <w:tr>
        <w:trPr>
          <w:cantSplit/>
          <w:tblHeader/>
        </w:trPr>
        <w:tc>
          <w:tcPr>
            <w:tcW w:type="dxa" w:w="2300"/>
            <w:vAlign w:val="center"/>
            <w:shd w:fill="10253F"/>
          </w:tcPr>
          <w:p>
            <w:pPr>
              <w:spacing w:after="0"/>
            </w:pPr>
            <w:r/>
            <w:r>
              <w:rPr>
                <w:rFonts w:ascii="Aptos" w:hAnsi="Aptos"/>
                <w:b/>
                <w:color w:val="FFFFFF"/>
                <w:sz w:val="16"/>
              </w:rPr>
              <w:t xml:space="preserve">Launch wave</w:t>
            </w:r>
          </w:p>
        </w:tc>
        <w:tc>
          <w:tcPr>
            <w:tcW w:type="dxa" w:w="4062"/>
            <w:vAlign w:val="center"/>
            <w:shd w:fill="10253F"/>
          </w:tcPr>
          <w:p>
            <w:pPr>
              <w:spacing w:after="0"/>
            </w:pPr>
            <w:r/>
            <w:r>
              <w:rPr>
                <w:rFonts w:ascii="Aptos" w:hAnsi="Aptos"/>
                <w:b/>
                <w:color w:val="FFFFFF"/>
                <w:sz w:val="16"/>
              </w:rPr>
              <w:t xml:space="preserve">Scope</w:t>
            </w:r>
          </w:p>
        </w:tc>
        <w:tc>
          <w:tcPr>
            <w:tcW w:type="dxa" w:w="3862"/>
            <w:vAlign w:val="center"/>
            <w:shd w:fill="10253F"/>
          </w:tcPr>
          <w:p>
            <w:pPr>
              <w:spacing w:after="0"/>
            </w:pPr>
            <w:r/>
            <w:r>
              <w:rPr>
                <w:rFonts w:ascii="Aptos" w:hAnsi="Aptos"/>
                <w:b/>
                <w:color w:val="FFFFFF"/>
                <w:sz w:val="16"/>
              </w:rPr>
              <w:t xml:space="preserve">Entry criteria</w:t>
            </w:r>
          </w:p>
        </w:tc>
      </w:tr>
      <w:tr>
        <w:trPr>
          <w:cantSplit/>
        </w:trPr>
        <w:tc>
          <w:tcPr>
            <w:tcW w:type="dxa" w:w="2300"/>
            <w:vAlign w:val="center"/>
          </w:tcPr>
          <w:p>
            <w:pPr>
              <w:spacing w:after="0"/>
            </w:pPr>
            <w:r/>
            <w:r>
              <w:rPr>
                <w:rFonts w:ascii="Aptos" w:hAnsi="Aptos"/>
                <w:b w:val="0"/>
                <w:sz w:val="15"/>
              </w:rPr>
              <w:t xml:space="preserve">Wave 0 — Foundation</w:t>
            </w:r>
          </w:p>
        </w:tc>
        <w:tc>
          <w:tcPr>
            <w:tcW w:type="dxa" w:w="4062"/>
            <w:vAlign w:val="center"/>
          </w:tcPr>
          <w:p>
            <w:pPr>
              <w:spacing w:after="0"/>
            </w:pPr>
            <w:r/>
            <w:r>
              <w:rPr>
                <w:rFonts w:ascii="Aptos" w:hAnsi="Aptos"/>
                <w:b w:val="0"/>
                <w:sz w:val="15"/>
              </w:rPr>
              <w:t xml:space="preserve">Global-ready architecture, geography and currency model, market activation framework, dynamic taxonomy engine.</w:t>
            </w:r>
          </w:p>
        </w:tc>
        <w:tc>
          <w:tcPr>
            <w:tcW w:type="dxa" w:w="3862"/>
            <w:vAlign w:val="center"/>
          </w:tcPr>
          <w:p>
            <w:pPr>
              <w:spacing w:after="0"/>
            </w:pPr>
            <w:r/>
            <w:r>
              <w:rPr>
                <w:rFonts w:ascii="Aptos" w:hAnsi="Aptos"/>
                <w:b w:val="0"/>
                <w:sz w:val="15"/>
              </w:rPr>
              <w:t xml:space="preserve">Delivery phases 0–2 exit criteria met (chapter 22).</w:t>
            </w:r>
          </w:p>
        </w:tc>
      </w:tr>
      <w:tr>
        <w:trPr>
          <w:cantSplit/>
        </w:trPr>
        <w:tc>
          <w:tcPr>
            <w:tcW w:type="dxa" w:w="2300"/>
            <w:vAlign w:val="center"/>
            <w:shd w:fill="F2F6F8"/>
          </w:tcPr>
          <w:p>
            <w:pPr>
              <w:spacing w:after="0"/>
            </w:pPr>
            <w:r/>
            <w:r>
              <w:rPr>
                <w:rFonts w:ascii="Aptos" w:hAnsi="Aptos"/>
                <w:b w:val="0"/>
                <w:sz w:val="15"/>
              </w:rPr>
              <w:t xml:space="preserve">Wave 1 — Initial launch</w:t>
            </w:r>
          </w:p>
        </w:tc>
        <w:tc>
          <w:tcPr>
            <w:tcW w:type="dxa" w:w="4062"/>
            <w:vAlign w:val="center"/>
            <w:shd w:fill="F2F6F8"/>
          </w:tcPr>
          <w:p>
            <w:pPr>
              <w:spacing w:after="0"/>
            </w:pPr>
            <w:r/>
            <w:r>
              <w:rPr>
                <w:rFonts w:ascii="Aptos" w:hAnsi="Aptos"/>
                <w:b w:val="0"/>
                <w:sz w:val="15"/>
              </w:rPr>
              <w:t xml:space="preserve">Selected cities and categories from the Launch Market Register (CFG-13), English and Hindi; instant (where configured), scheduled and RFQ bookings; contract bookings by category flag; subscriptions and sponsored visibility; Payment Mode A (and B for contracts).</w:t>
            </w:r>
          </w:p>
        </w:tc>
        <w:tc>
          <w:tcPr>
            <w:tcW w:type="dxa" w:w="3862"/>
            <w:vAlign w:val="center"/>
            <w:shd w:fill="F2F6F8"/>
          </w:tcPr>
          <w:p>
            <w:pPr>
              <w:spacing w:after="0"/>
            </w:pPr>
            <w:r/>
            <w:r>
              <w:rPr>
                <w:rFonts w:ascii="Aptos" w:hAnsi="Aptos"/>
                <w:b w:val="0"/>
                <w:sz w:val="15"/>
              </w:rPr>
              <w:t xml:space="preserve">Release gates in chapter 21 signed off; supply density and support coverage confirmed for each launch city.</w:t>
            </w:r>
          </w:p>
        </w:tc>
      </w:tr>
      <w:tr>
        <w:trPr>
          <w:cantSplit/>
        </w:trPr>
        <w:tc>
          <w:tcPr>
            <w:tcW w:type="dxa" w:w="2300"/>
            <w:vAlign w:val="center"/>
          </w:tcPr>
          <w:p>
            <w:pPr>
              <w:spacing w:after="0"/>
            </w:pPr>
            <w:r/>
            <w:r>
              <w:rPr>
                <w:rFonts w:ascii="Aptos" w:hAnsi="Aptos"/>
                <w:b w:val="0"/>
                <w:sz w:val="15"/>
              </w:rPr>
              <w:t xml:space="preserve">Wave 2 — Expansion</w:t>
            </w:r>
          </w:p>
        </w:tc>
        <w:tc>
          <w:tcPr>
            <w:tcW w:type="dxa" w:w="4062"/>
            <w:vAlign w:val="center"/>
          </w:tcPr>
          <w:p>
            <w:pPr>
              <w:spacing w:after="0"/>
            </w:pPr>
            <w:r/>
            <w:r>
              <w:rPr>
                <w:rFonts w:ascii="Aptos" w:hAnsi="Aptos"/>
                <w:b w:val="0"/>
                <w:sz w:val="15"/>
              </w:rPr>
              <w:t xml:space="preserve">More cities and categories; supplier and manufacturer listings at scale; wider contract use; additional languages.</w:t>
            </w:r>
          </w:p>
        </w:tc>
        <w:tc>
          <w:tcPr>
            <w:tcW w:type="dxa" w:w="3862"/>
            <w:vAlign w:val="center"/>
          </w:tcPr>
          <w:p>
            <w:pPr>
              <w:spacing w:after="0"/>
            </w:pPr>
            <w:r/>
            <w:r>
              <w:rPr>
                <w:rFonts w:ascii="Aptos" w:hAnsi="Aptos"/>
                <w:b w:val="0"/>
                <w:sz w:val="15"/>
              </w:rPr>
              <w:t xml:space="preserve">Wave 1 metrics reviewed (chapter 18); market activation checklist passed for each new market.</w:t>
            </w:r>
          </w:p>
        </w:tc>
      </w:tr>
      <w:tr>
        <w:trPr>
          <w:cantSplit/>
        </w:trPr>
        <w:tc>
          <w:tcPr>
            <w:tcW w:type="dxa" w:w="2300"/>
            <w:vAlign w:val="center"/>
            <w:shd w:fill="F2F6F8"/>
          </w:tcPr>
          <w:p>
            <w:pPr>
              <w:spacing w:after="0"/>
            </w:pPr>
            <w:r/>
            <w:r>
              <w:rPr>
                <w:rFonts w:ascii="Aptos" w:hAnsi="Aptos"/>
                <w:b w:val="0"/>
                <w:sz w:val="15"/>
              </w:rPr>
              <w:t xml:space="preserve">Wave 3 — International activation</w:t>
            </w:r>
          </w:p>
        </w:tc>
        <w:tc>
          <w:tcPr>
            <w:tcW w:type="dxa" w:w="4062"/>
            <w:vAlign w:val="center"/>
            <w:shd w:fill="F2F6F8"/>
          </w:tcPr>
          <w:p>
            <w:pPr>
              <w:spacing w:after="0"/>
            </w:pPr>
            <w:r/>
            <w:r>
              <w:rPr>
                <w:rFonts w:ascii="Aptos" w:hAnsi="Aptos"/>
                <w:b w:val="0"/>
                <w:sz w:val="15"/>
              </w:rPr>
              <w:t xml:space="preserve">Country-by-country launch; local currencies, taxes and legal content; Payment Mode C only where approved.</w:t>
            </w:r>
          </w:p>
        </w:tc>
        <w:tc>
          <w:tcPr>
            <w:tcW w:type="dxa" w:w="3862"/>
            <w:vAlign w:val="center"/>
            <w:shd w:fill="F2F6F8"/>
          </w:tcPr>
          <w:p>
            <w:pPr>
              <w:spacing w:after="0"/>
            </w:pPr>
            <w:r/>
            <w:r>
              <w:rPr>
                <w:rFonts w:ascii="Aptos" w:hAnsi="Aptos"/>
                <w:b w:val="0"/>
                <w:sz w:val="15"/>
              </w:rPr>
              <w:t xml:space="preserve">Country activation review complete (CFG-14, CFG-15, CFG-16, CFG-18).</w:t>
            </w:r>
          </w:p>
        </w:tc>
      </w:tr>
    </w:tbl>
    <w:p>
      <w:pPr>
        <w:spacing w:after="0"/>
      </w:pPr>
    </w:p>
    <w:p>
      <w:bookmarkStart w:id="9041" w:name="gm_s2611chk"/>
      <w:r>
        <w:t xml:space="preserve">Market activation checklist (all items required before a market becomes publicly live):</w:t>
      </w:r>
      <w:bookmarkEnd w:id="9041"/>
    </w:p>
    <w:p>
      <w:pPr>
        <w:pStyle w:val="ListBullet"/>
      </w:pPr>
      <w:r>
        <w:t xml:space="preserve">Legal terms, privacy notice and consent flows ready in the market language.</w:t>
      </w:r>
    </w:p>
    <w:p>
      <w:pPr>
        <w:pStyle w:val="ListBullet"/>
      </w:pPr>
      <w:r>
        <w:t xml:space="preserve">Tax, currency and, where applicable, payment-provider setup confirmed.</w:t>
      </w:r>
    </w:p>
    <w:p>
      <w:pPr>
        <w:pStyle w:val="ListBullet"/>
      </w:pPr>
      <w:r>
        <w:t xml:space="preserve">Verification matrix defined for each enabled category (CFG-18).</w:t>
      </w:r>
    </w:p>
    <w:p>
      <w:pPr>
        <w:pStyle w:val="ListBullet"/>
      </w:pPr>
      <w:r>
        <w:t xml:space="preserve">Support coverage hours, languages and escalation owner confirmed (CFG-06).</w:t>
      </w:r>
    </w:p>
    <w:p>
      <w:pPr>
        <w:pStyle w:val="ListBullet"/>
      </w:pPr>
      <w:r>
        <w:t xml:space="preserve">Enabled categories and minimum supply per category confirmed (CFG-13).</w:t>
      </w:r>
    </w:p>
    <w:p>
      <w:pPr>
        <w:pStyle w:val="ListBullet"/>
      </w:pPr>
      <w:r>
        <w:t xml:space="preserve">Dual approval recorded by two different Super Admin users, with audit.</w:t>
      </w:r>
    </w:p>
    <w:p>
      <w:pPr>
        <w:pStyle w:val="Heading2"/>
      </w:pPr>
      <w:bookmarkStart w:id="9042" w:name="gm_s2612"/>
      <w:r>
        <w:t xml:space="preserve">26.12 Traceability of the ten focus areas</w:t>
      </w:r>
      <w:bookmarkEnd w:id="9042"/>
    </w:p>
    <w:tbl>
      <w:tblPr>
        <w:tblStyle w:val="TableGrid"/>
        <w:tblW w:type="auto" w:w="0"/>
        <w:jc w:val="center"/>
        <w:tblLook w:firstColumn="1" w:firstRow="1" w:lastColumn="0" w:lastRow="0" w:noHBand="0" w:noVBand="1" w:val="04A0"/>
      </w:tblPr>
      <w:tblGrid>
        <w:gridCol w:w="500"/>
        <w:gridCol w:w="3500"/>
        <w:gridCol w:w="3424"/>
        <w:gridCol w:w="2800"/>
      </w:tblGrid>
      <w:tr>
        <w:trPr>
          <w:cantSplit/>
          <w:tblHeader/>
        </w:trPr>
        <w:tc>
          <w:tcPr>
            <w:tcW w:type="dxa" w:w="500"/>
            <w:vAlign w:val="center"/>
            <w:shd w:fill="10253F"/>
          </w:tcPr>
          <w:p>
            <w:pPr>
              <w:spacing w:after="0"/>
            </w:pPr>
            <w:r/>
            <w:r>
              <w:rPr>
                <w:rFonts w:ascii="Aptos" w:hAnsi="Aptos"/>
                <w:b/>
                <w:color w:val="FFFFFF"/>
                <w:sz w:val="16"/>
              </w:rPr>
              <w:t xml:space="preserve">#</w:t>
            </w:r>
          </w:p>
        </w:tc>
        <w:tc>
          <w:tcPr>
            <w:tcW w:type="dxa" w:w="3500"/>
            <w:vAlign w:val="center"/>
            <w:shd w:fill="10253F"/>
          </w:tcPr>
          <w:p>
            <w:pPr>
              <w:spacing w:after="0"/>
            </w:pPr>
            <w:r/>
            <w:r>
              <w:rPr>
                <w:rFonts w:ascii="Aptos" w:hAnsi="Aptos"/>
                <w:b/>
                <w:color w:val="FFFFFF"/>
                <w:sz w:val="16"/>
              </w:rPr>
              <w:t xml:space="preserve">Focus area</w:t>
            </w:r>
          </w:p>
        </w:tc>
        <w:tc>
          <w:tcPr>
            <w:tcW w:type="dxa" w:w="3424"/>
            <w:vAlign w:val="center"/>
            <w:shd w:fill="10253F"/>
          </w:tcPr>
          <w:p>
            <w:pPr>
              <w:spacing w:after="0"/>
            </w:pPr>
            <w:r/>
            <w:r>
              <w:rPr>
                <w:rFonts w:ascii="Aptos" w:hAnsi="Aptos"/>
                <w:b/>
                <w:color w:val="FFFFFF"/>
                <w:sz w:val="16"/>
              </w:rPr>
              <w:t xml:space="preserve">Requirement IDs / sections</w:t>
            </w:r>
          </w:p>
        </w:tc>
        <w:tc>
          <w:tcPr>
            <w:tcW w:type="dxa" w:w="2800"/>
            <w:vAlign w:val="center"/>
            <w:shd w:fill="10253F"/>
          </w:tcPr>
          <w:p>
            <w:pPr>
              <w:spacing w:after="0"/>
            </w:pPr>
            <w:r/>
            <w:r>
              <w:rPr>
                <w:rFonts w:ascii="Aptos" w:hAnsi="Aptos"/>
                <w:b/>
                <w:color w:val="FFFFFF"/>
                <w:sz w:val="16"/>
              </w:rPr>
              <w:t xml:space="preserve">Release gate</w:t>
            </w:r>
          </w:p>
        </w:tc>
      </w:tr>
      <w:tr>
        <w:trPr>
          <w:cantSplit/>
        </w:trPr>
        <w:tc>
          <w:tcPr>
            <w:tcW w:type="dxa" w:w="500"/>
            <w:vAlign w:val="center"/>
          </w:tcPr>
          <w:p>
            <w:pPr>
              <w:spacing w:after="0"/>
            </w:pPr>
            <w:r/>
            <w:r>
              <w:rPr>
                <w:rFonts w:ascii="Aptos" w:hAnsi="Aptos"/>
                <w:b w:val="0"/>
                <w:sz w:val="15"/>
              </w:rPr>
              <w:t xml:space="preserve">1</w:t>
            </w:r>
          </w:p>
        </w:tc>
        <w:tc>
          <w:tcPr>
            <w:tcW w:type="dxa" w:w="3500"/>
            <w:vAlign w:val="center"/>
          </w:tcPr>
          <w:p>
            <w:pPr>
              <w:spacing w:after="0"/>
            </w:pPr>
            <w:r/>
            <w:r>
              <w:rPr>
                <w:rFonts w:ascii="Aptos" w:hAnsi="Aptos"/>
                <w:b w:val="0"/>
                <w:sz w:val="15"/>
              </w:rPr>
              <w:t xml:space="preserve">Global marketplace branding and homepage</w:t>
            </w:r>
          </w:p>
        </w:tc>
        <w:tc>
          <w:tcPr>
            <w:tcW w:type="dxa" w:w="3424"/>
            <w:vAlign w:val="center"/>
          </w:tcPr>
          <w:p>
            <w:pPr>
              <w:spacing w:after="0"/>
            </w:pPr>
            <w:r/>
            <w:r>
              <w:rPr>
                <w:rFonts w:ascii="Aptos" w:hAnsi="Aptos"/>
                <w:b w:val="0"/>
                <w:sz w:val="15"/>
              </w:rPr>
              <w:t xml:space="preserve">GM-01 to GM-10; §26.1</w:t>
            </w:r>
          </w:p>
        </w:tc>
        <w:tc>
          <w:tcPr>
            <w:tcW w:type="dxa" w:w="2800"/>
            <w:vAlign w:val="center"/>
          </w:tcPr>
          <w:p>
            <w:pPr>
              <w:spacing w:after="0"/>
            </w:pPr>
            <w:r/>
            <w:r>
              <w:rPr>
                <w:rFonts w:ascii="Aptos" w:hAnsi="Aptos"/>
                <w:b w:val="0"/>
                <w:sz w:val="15"/>
              </w:rPr>
              <w:t xml:space="preserve">Global marketplace gate (chapter 21)</w:t>
            </w:r>
          </w:p>
        </w:tc>
      </w:tr>
      <w:tr>
        <w:trPr>
          <w:cantSplit/>
        </w:trPr>
        <w:tc>
          <w:tcPr>
            <w:tcW w:type="dxa" w:w="500"/>
            <w:vAlign w:val="center"/>
            <w:shd w:fill="F2F6F8"/>
          </w:tcPr>
          <w:p>
            <w:pPr>
              <w:spacing w:after="0"/>
            </w:pPr>
            <w:r/>
            <w:r>
              <w:rPr>
                <w:rFonts w:ascii="Aptos" w:hAnsi="Aptos"/>
                <w:b w:val="0"/>
                <w:sz w:val="15"/>
              </w:rPr>
              <w:t xml:space="preserve">2</w:t>
            </w:r>
          </w:p>
        </w:tc>
        <w:tc>
          <w:tcPr>
            <w:tcW w:type="dxa" w:w="3500"/>
            <w:vAlign w:val="center"/>
            <w:shd w:fill="F2F6F8"/>
          </w:tcPr>
          <w:p>
            <w:pPr>
              <w:spacing w:after="0"/>
            </w:pPr>
            <w:r/>
            <w:r>
              <w:rPr>
                <w:rFonts w:ascii="Aptos" w:hAnsi="Aptos"/>
                <w:b w:val="0"/>
                <w:sz w:val="15"/>
              </w:rPr>
              <w:t xml:space="preserve">Dynamic unlimited vendor categories</w:t>
            </w:r>
          </w:p>
        </w:tc>
        <w:tc>
          <w:tcPr>
            <w:tcW w:type="dxa" w:w="3424"/>
            <w:vAlign w:val="center"/>
            <w:shd w:fill="F2F6F8"/>
          </w:tcPr>
          <w:p>
            <w:pPr>
              <w:spacing w:after="0"/>
            </w:pPr>
            <w:r/>
            <w:r>
              <w:rPr>
                <w:rFonts w:ascii="Aptos" w:hAnsi="Aptos"/>
                <w:b w:val="0"/>
                <w:sz w:val="15"/>
              </w:rPr>
              <w:t xml:space="preserve">GM-11 to GM-18; §26.2; §6</w:t>
            </w:r>
          </w:p>
        </w:tc>
        <w:tc>
          <w:tcPr>
            <w:tcW w:type="dxa" w:w="2800"/>
            <w:vAlign w:val="center"/>
            <w:shd w:fill="F2F6F8"/>
          </w:tcPr>
          <w:p>
            <w:pPr>
              <w:spacing w:after="0"/>
            </w:pPr>
            <w:r/>
            <w:r>
              <w:rPr>
                <w:rFonts w:ascii="Aptos" w:hAnsi="Aptos"/>
                <w:b w:val="0"/>
                <w:sz w:val="15"/>
              </w:rPr>
              <w:t xml:space="preserve">Global marketplace; Discovery</w:t>
            </w:r>
          </w:p>
        </w:tc>
      </w:tr>
      <w:tr>
        <w:trPr>
          <w:cantSplit/>
        </w:trPr>
        <w:tc>
          <w:tcPr>
            <w:tcW w:type="dxa" w:w="500"/>
            <w:vAlign w:val="center"/>
          </w:tcPr>
          <w:p>
            <w:pPr>
              <w:spacing w:after="0"/>
            </w:pPr>
            <w:r/>
            <w:r>
              <w:rPr>
                <w:rFonts w:ascii="Aptos" w:hAnsi="Aptos"/>
                <w:b w:val="0"/>
                <w:sz w:val="15"/>
              </w:rPr>
              <w:t xml:space="preserve">3</w:t>
            </w:r>
          </w:p>
        </w:tc>
        <w:tc>
          <w:tcPr>
            <w:tcW w:type="dxa" w:w="3500"/>
            <w:vAlign w:val="center"/>
          </w:tcPr>
          <w:p>
            <w:pPr>
              <w:spacing w:after="0"/>
            </w:pPr>
            <w:r/>
            <w:r>
              <w:rPr>
                <w:rFonts w:ascii="Aptos" w:hAnsi="Aptos"/>
                <w:b w:val="0"/>
                <w:sz w:val="15"/>
              </w:rPr>
              <w:t xml:space="preserve">Country, state and city vendor search</w:t>
            </w:r>
          </w:p>
        </w:tc>
        <w:tc>
          <w:tcPr>
            <w:tcW w:type="dxa" w:w="3424"/>
            <w:vAlign w:val="center"/>
          </w:tcPr>
          <w:p>
            <w:pPr>
              <w:spacing w:after="0"/>
            </w:pPr>
            <w:r/>
            <w:r>
              <w:rPr>
                <w:rFonts w:ascii="Aptos" w:hAnsi="Aptos"/>
                <w:b w:val="0"/>
                <w:sz w:val="15"/>
              </w:rPr>
              <w:t xml:space="preserve">GM-19 to GM-27; §26.3; §7</w:t>
            </w:r>
          </w:p>
        </w:tc>
        <w:tc>
          <w:tcPr>
            <w:tcW w:type="dxa" w:w="2800"/>
            <w:vAlign w:val="center"/>
          </w:tcPr>
          <w:p>
            <w:pPr>
              <w:spacing w:after="0"/>
            </w:pPr>
            <w:r/>
            <w:r>
              <w:rPr>
                <w:rFonts w:ascii="Aptos" w:hAnsi="Aptos"/>
                <w:b w:val="0"/>
                <w:sz w:val="15"/>
              </w:rPr>
              <w:t xml:space="preserve">Discovery; Global marketplace</w:t>
            </w:r>
          </w:p>
        </w:tc>
      </w:tr>
      <w:tr>
        <w:trPr>
          <w:cantSplit/>
        </w:trPr>
        <w:tc>
          <w:tcPr>
            <w:tcW w:type="dxa" w:w="500"/>
            <w:vAlign w:val="center"/>
            <w:shd w:fill="F2F6F8"/>
          </w:tcPr>
          <w:p>
            <w:pPr>
              <w:spacing w:after="0"/>
            </w:pPr>
            <w:r/>
            <w:r>
              <w:rPr>
                <w:rFonts w:ascii="Aptos" w:hAnsi="Aptos"/>
                <w:b w:val="0"/>
                <w:sz w:val="15"/>
              </w:rPr>
              <w:t xml:space="preserve">4</w:t>
            </w:r>
          </w:p>
        </w:tc>
        <w:tc>
          <w:tcPr>
            <w:tcW w:type="dxa" w:w="3500"/>
            <w:vAlign w:val="center"/>
            <w:shd w:fill="F2F6F8"/>
          </w:tcPr>
          <w:p>
            <w:pPr>
              <w:spacing w:after="0"/>
            </w:pPr>
            <w:r/>
            <w:r>
              <w:rPr>
                <w:rFonts w:ascii="Aptos" w:hAnsi="Aptos"/>
                <w:b w:val="0"/>
                <w:sz w:val="15"/>
              </w:rPr>
              <w:t xml:space="preserve">Complete customer and vendor profiles</w:t>
            </w:r>
          </w:p>
        </w:tc>
        <w:tc>
          <w:tcPr>
            <w:tcW w:type="dxa" w:w="3424"/>
            <w:vAlign w:val="center"/>
            <w:shd w:fill="F2F6F8"/>
          </w:tcPr>
          <w:p>
            <w:pPr>
              <w:spacing w:after="0"/>
            </w:pPr>
            <w:r/>
            <w:r>
              <w:rPr>
                <w:rFonts w:ascii="Aptos" w:hAnsi="Aptos"/>
                <w:b w:val="0"/>
                <w:sz w:val="15"/>
              </w:rPr>
              <w:t xml:space="preserve">§26.4</w:t>
            </w:r>
          </w:p>
        </w:tc>
        <w:tc>
          <w:tcPr>
            <w:tcW w:type="dxa" w:w="2800"/>
            <w:vAlign w:val="center"/>
            <w:shd w:fill="F2F6F8"/>
          </w:tcPr>
          <w:p>
            <w:pPr>
              <w:spacing w:after="0"/>
            </w:pPr>
            <w:r/>
            <w:r>
              <w:rPr>
                <w:rFonts w:ascii="Aptos" w:hAnsi="Aptos"/>
                <w:b w:val="0"/>
                <w:sz w:val="15"/>
              </w:rPr>
              <w:t xml:space="preserve">Identity; RBAC; Vendor publication</w:t>
            </w:r>
          </w:p>
        </w:tc>
      </w:tr>
      <w:tr>
        <w:trPr>
          <w:cantSplit/>
        </w:trPr>
        <w:tc>
          <w:tcPr>
            <w:tcW w:type="dxa" w:w="500"/>
            <w:vAlign w:val="center"/>
          </w:tcPr>
          <w:p>
            <w:pPr>
              <w:spacing w:after="0"/>
            </w:pPr>
            <w:r/>
            <w:r>
              <w:rPr>
                <w:rFonts w:ascii="Aptos" w:hAnsi="Aptos"/>
                <w:b w:val="0"/>
                <w:sz w:val="15"/>
              </w:rPr>
              <w:t xml:space="preserve">5</w:t>
            </w:r>
          </w:p>
        </w:tc>
        <w:tc>
          <w:tcPr>
            <w:tcW w:type="dxa" w:w="3500"/>
            <w:vAlign w:val="center"/>
          </w:tcPr>
          <w:p>
            <w:pPr>
              <w:spacing w:after="0"/>
            </w:pPr>
            <w:r/>
            <w:r>
              <w:rPr>
                <w:rFonts w:ascii="Aptos" w:hAnsi="Aptos"/>
                <w:b w:val="0"/>
                <w:sz w:val="15"/>
              </w:rPr>
              <w:t xml:space="preserve">Instant, scheduled, RFQ and contract bookings</w:t>
            </w:r>
          </w:p>
        </w:tc>
        <w:tc>
          <w:tcPr>
            <w:tcW w:type="dxa" w:w="3424"/>
            <w:vAlign w:val="center"/>
          </w:tcPr>
          <w:p>
            <w:pPr>
              <w:spacing w:after="0"/>
            </w:pPr>
            <w:r/>
            <w:r>
              <w:rPr>
                <w:rFonts w:ascii="Aptos" w:hAnsi="Aptos"/>
                <w:b w:val="0"/>
                <w:sz w:val="15"/>
              </w:rPr>
              <w:t xml:space="preserve">§26.5; chapters 8 and 9</w:t>
            </w:r>
          </w:p>
        </w:tc>
        <w:tc>
          <w:tcPr>
            <w:tcW w:type="dxa" w:w="2800"/>
            <w:vAlign w:val="center"/>
          </w:tcPr>
          <w:p>
            <w:pPr>
              <w:spacing w:after="0"/>
            </w:pPr>
            <w:r/>
            <w:r>
              <w:rPr>
                <w:rFonts w:ascii="Aptos" w:hAnsi="Aptos"/>
                <w:b w:val="0"/>
                <w:sz w:val="15"/>
              </w:rPr>
              <w:t xml:space="preserve">Booking; RFQ</w:t>
            </w:r>
          </w:p>
        </w:tc>
      </w:tr>
      <w:tr>
        <w:trPr>
          <w:cantSplit/>
        </w:trPr>
        <w:tc>
          <w:tcPr>
            <w:tcW w:type="dxa" w:w="500"/>
            <w:vAlign w:val="center"/>
            <w:shd w:fill="F2F6F8"/>
          </w:tcPr>
          <w:p>
            <w:pPr>
              <w:spacing w:after="0"/>
            </w:pPr>
            <w:r/>
            <w:r>
              <w:rPr>
                <w:rFonts w:ascii="Aptos" w:hAnsi="Aptos"/>
                <w:b w:val="0"/>
                <w:sz w:val="15"/>
              </w:rPr>
              <w:t xml:space="preserve">6</w:t>
            </w:r>
          </w:p>
        </w:tc>
        <w:tc>
          <w:tcPr>
            <w:tcW w:type="dxa" w:w="3500"/>
            <w:vAlign w:val="center"/>
            <w:shd w:fill="F2F6F8"/>
          </w:tcPr>
          <w:p>
            <w:pPr>
              <w:spacing w:after="0"/>
            </w:pPr>
            <w:r/>
            <w:r>
              <w:rPr>
                <w:rFonts w:ascii="Aptos" w:hAnsi="Aptos"/>
                <w:b w:val="0"/>
                <w:sz w:val="15"/>
              </w:rPr>
              <w:t xml:space="preserve">Vendor verification and rating system</w:t>
            </w:r>
          </w:p>
        </w:tc>
        <w:tc>
          <w:tcPr>
            <w:tcW w:type="dxa" w:w="3424"/>
            <w:vAlign w:val="center"/>
            <w:shd w:fill="F2F6F8"/>
          </w:tcPr>
          <w:p>
            <w:pPr>
              <w:spacing w:after="0"/>
            </w:pPr>
            <w:r/>
            <w:r>
              <w:rPr>
                <w:rFonts w:ascii="Aptos" w:hAnsi="Aptos"/>
                <w:b w:val="0"/>
                <w:sz w:val="15"/>
              </w:rPr>
              <w:t xml:space="preserve">§26.6; §5; chapter 12</w:t>
            </w:r>
          </w:p>
        </w:tc>
        <w:tc>
          <w:tcPr>
            <w:tcW w:type="dxa" w:w="2800"/>
            <w:vAlign w:val="center"/>
            <w:shd w:fill="F2F6F8"/>
          </w:tcPr>
          <w:p>
            <w:pPr>
              <w:spacing w:after="0"/>
            </w:pPr>
            <w:r/>
            <w:r>
              <w:rPr>
                <w:rFonts w:ascii="Aptos" w:hAnsi="Aptos"/>
                <w:b w:val="0"/>
                <w:sz w:val="15"/>
              </w:rPr>
              <w:t xml:space="preserve">Vendor publication; Trust/support</w:t>
            </w:r>
          </w:p>
        </w:tc>
      </w:tr>
      <w:tr>
        <w:trPr>
          <w:cantSplit/>
        </w:trPr>
        <w:tc>
          <w:tcPr>
            <w:tcW w:type="dxa" w:w="500"/>
            <w:vAlign w:val="center"/>
          </w:tcPr>
          <w:p>
            <w:pPr>
              <w:spacing w:after="0"/>
            </w:pPr>
            <w:r/>
            <w:r>
              <w:rPr>
                <w:rFonts w:ascii="Aptos" w:hAnsi="Aptos"/>
                <w:b w:val="0"/>
                <w:sz w:val="15"/>
              </w:rPr>
              <w:t xml:space="preserve">7</w:t>
            </w:r>
          </w:p>
        </w:tc>
        <w:tc>
          <w:tcPr>
            <w:tcW w:type="dxa" w:w="3500"/>
            <w:vAlign w:val="center"/>
          </w:tcPr>
          <w:p>
            <w:pPr>
              <w:spacing w:after="0"/>
            </w:pPr>
            <w:r/>
            <w:r>
              <w:rPr>
                <w:rFonts w:ascii="Aptos" w:hAnsi="Aptos"/>
                <w:b w:val="0"/>
                <w:sz w:val="15"/>
              </w:rPr>
              <w:t xml:space="preserve">Global supplier and manufacturer listings</w:t>
            </w:r>
          </w:p>
        </w:tc>
        <w:tc>
          <w:tcPr>
            <w:tcW w:type="dxa" w:w="3424"/>
            <w:vAlign w:val="center"/>
          </w:tcPr>
          <w:p>
            <w:pPr>
              <w:spacing w:after="0"/>
            </w:pPr>
            <w:r/>
            <w:r>
              <w:rPr>
                <w:rFonts w:ascii="Aptos" w:hAnsi="Aptos"/>
                <w:b w:val="0"/>
                <w:sz w:val="15"/>
              </w:rPr>
              <w:t xml:space="preserve">§26.7</w:t>
            </w:r>
          </w:p>
        </w:tc>
        <w:tc>
          <w:tcPr>
            <w:tcW w:type="dxa" w:w="2800"/>
            <w:vAlign w:val="center"/>
          </w:tcPr>
          <w:p>
            <w:pPr>
              <w:spacing w:after="0"/>
            </w:pPr>
            <w:r/>
            <w:r>
              <w:rPr>
                <w:rFonts w:ascii="Aptos" w:hAnsi="Aptos"/>
                <w:b w:val="0"/>
                <w:sz w:val="15"/>
              </w:rPr>
              <w:t xml:space="preserve">Global marketplace; Vendor publication</w:t>
            </w:r>
          </w:p>
        </w:tc>
      </w:tr>
      <w:tr>
        <w:trPr>
          <w:cantSplit/>
        </w:trPr>
        <w:tc>
          <w:tcPr>
            <w:tcW w:type="dxa" w:w="500"/>
            <w:vAlign w:val="center"/>
            <w:shd w:fill="F2F6F8"/>
          </w:tcPr>
          <w:p>
            <w:pPr>
              <w:spacing w:after="0"/>
            </w:pPr>
            <w:r/>
            <w:r>
              <w:rPr>
                <w:rFonts w:ascii="Aptos" w:hAnsi="Aptos"/>
                <w:b w:val="0"/>
                <w:sz w:val="15"/>
              </w:rPr>
              <w:t xml:space="preserve">8</w:t>
            </w:r>
          </w:p>
        </w:tc>
        <w:tc>
          <w:tcPr>
            <w:tcW w:type="dxa" w:w="3500"/>
            <w:vAlign w:val="center"/>
            <w:shd w:fill="F2F6F8"/>
          </w:tcPr>
          <w:p>
            <w:pPr>
              <w:spacing w:after="0"/>
            </w:pPr>
            <w:r/>
            <w:r>
              <w:rPr>
                <w:rFonts w:ascii="Aptos" w:hAnsi="Aptos"/>
                <w:b w:val="0"/>
                <w:sz w:val="15"/>
              </w:rPr>
              <w:t xml:space="preserve">Customer, vendor and admin dashboards</w:t>
            </w:r>
          </w:p>
        </w:tc>
        <w:tc>
          <w:tcPr>
            <w:tcW w:type="dxa" w:w="3424"/>
            <w:vAlign w:val="center"/>
            <w:shd w:fill="F2F6F8"/>
          </w:tcPr>
          <w:p>
            <w:pPr>
              <w:spacing w:after="0"/>
            </w:pPr>
            <w:r/>
            <w:r>
              <w:rPr>
                <w:rFonts w:ascii="Aptos" w:hAnsi="Aptos"/>
                <w:b w:val="0"/>
                <w:sz w:val="15"/>
              </w:rPr>
              <w:t xml:space="preserve">§26.8; §13</w:t>
            </w:r>
          </w:p>
        </w:tc>
        <w:tc>
          <w:tcPr>
            <w:tcW w:type="dxa" w:w="2800"/>
            <w:vAlign w:val="center"/>
            <w:shd w:fill="F2F6F8"/>
          </w:tcPr>
          <w:p>
            <w:pPr>
              <w:spacing w:after="0"/>
            </w:pPr>
            <w:r/>
            <w:r>
              <w:rPr>
                <w:rFonts w:ascii="Aptos" w:hAnsi="Aptos"/>
                <w:b w:val="0"/>
                <w:sz w:val="15"/>
              </w:rPr>
              <w:t xml:space="preserve">RBAC; Operational readiness</w:t>
            </w:r>
          </w:p>
        </w:tc>
      </w:tr>
      <w:tr>
        <w:trPr>
          <w:cantSplit/>
        </w:trPr>
        <w:tc>
          <w:tcPr>
            <w:tcW w:type="dxa" w:w="500"/>
            <w:vAlign w:val="center"/>
          </w:tcPr>
          <w:p>
            <w:pPr>
              <w:spacing w:after="0"/>
            </w:pPr>
            <w:r/>
            <w:r>
              <w:rPr>
                <w:rFonts w:ascii="Aptos" w:hAnsi="Aptos"/>
                <w:b w:val="0"/>
                <w:sz w:val="15"/>
              </w:rPr>
              <w:t xml:space="preserve">9</w:t>
            </w:r>
          </w:p>
        </w:tc>
        <w:tc>
          <w:tcPr>
            <w:tcW w:type="dxa" w:w="3500"/>
            <w:vAlign w:val="center"/>
          </w:tcPr>
          <w:p>
            <w:pPr>
              <w:spacing w:after="0"/>
            </w:pPr>
            <w:r/>
            <w:r>
              <w:rPr>
                <w:rFonts w:ascii="Aptos" w:hAnsi="Aptos"/>
                <w:b w:val="0"/>
                <w:sz w:val="15"/>
              </w:rPr>
              <w:t xml:space="preserve">Payment, commission and subscription flows</w:t>
            </w:r>
          </w:p>
        </w:tc>
        <w:tc>
          <w:tcPr>
            <w:tcW w:type="dxa" w:w="3424"/>
            <w:vAlign w:val="center"/>
          </w:tcPr>
          <w:p>
            <w:pPr>
              <w:spacing w:after="0"/>
            </w:pPr>
            <w:r/>
            <w:r>
              <w:rPr>
                <w:rFonts w:ascii="Aptos" w:hAnsi="Aptos"/>
                <w:b w:val="0"/>
                <w:sz w:val="15"/>
              </w:rPr>
              <w:t xml:space="preserve">§26.9; chapter 11</w:t>
            </w:r>
          </w:p>
        </w:tc>
        <w:tc>
          <w:tcPr>
            <w:tcW w:type="dxa" w:w="2800"/>
            <w:vAlign w:val="center"/>
          </w:tcPr>
          <w:p>
            <w:pPr>
              <w:spacing w:after="0"/>
            </w:pPr>
            <w:r/>
            <w:r>
              <w:rPr>
                <w:rFonts w:ascii="Aptos" w:hAnsi="Aptos"/>
                <w:b w:val="0"/>
                <w:sz w:val="15"/>
              </w:rPr>
              <w:t xml:space="preserve">Subscription; Global marketplace</w:t>
            </w:r>
          </w:p>
        </w:tc>
      </w:tr>
      <w:tr>
        <w:trPr>
          <w:cantSplit/>
        </w:trPr>
        <w:tc>
          <w:tcPr>
            <w:tcW w:type="dxa" w:w="500"/>
            <w:vAlign w:val="center"/>
            <w:shd w:fill="F2F6F8"/>
          </w:tcPr>
          <w:p>
            <w:pPr>
              <w:spacing w:after="0"/>
            </w:pPr>
            <w:r/>
            <w:r>
              <w:rPr>
                <w:rFonts w:ascii="Aptos" w:hAnsi="Aptos"/>
                <w:b w:val="0"/>
                <w:sz w:val="15"/>
              </w:rPr>
              <w:t xml:space="preserve">10</w:t>
            </w:r>
          </w:p>
        </w:tc>
        <w:tc>
          <w:tcPr>
            <w:tcW w:type="dxa" w:w="3500"/>
            <w:vAlign w:val="center"/>
            <w:shd w:fill="F2F6F8"/>
          </w:tcPr>
          <w:p>
            <w:pPr>
              <w:spacing w:after="0"/>
            </w:pPr>
            <w:r/>
            <w:r>
              <w:rPr>
                <w:rFonts w:ascii="Aptos" w:hAnsi="Aptos"/>
                <w:b w:val="0"/>
                <w:sz w:val="15"/>
              </w:rPr>
              <w:t xml:space="preserve">Responsive web and mobile UI/UX</w:t>
            </w:r>
          </w:p>
        </w:tc>
        <w:tc>
          <w:tcPr>
            <w:tcW w:type="dxa" w:w="3424"/>
            <w:vAlign w:val="center"/>
            <w:shd w:fill="F2F6F8"/>
          </w:tcPr>
          <w:p>
            <w:pPr>
              <w:spacing w:after="0"/>
            </w:pPr>
            <w:r/>
            <w:r>
              <w:rPr>
                <w:rFonts w:ascii="Aptos" w:hAnsi="Aptos"/>
                <w:b w:val="0"/>
                <w:sz w:val="15"/>
              </w:rPr>
              <w:t xml:space="preserve">§26.10; chapter 19</w:t>
            </w:r>
          </w:p>
        </w:tc>
        <w:tc>
          <w:tcPr>
            <w:tcW w:type="dxa" w:w="2800"/>
            <w:vAlign w:val="center"/>
            <w:shd w:fill="F2F6F8"/>
          </w:tcPr>
          <w:p>
            <w:pPr>
              <w:spacing w:after="0"/>
            </w:pPr>
            <w:r/>
            <w:r>
              <w:rPr>
                <w:rFonts w:ascii="Aptos" w:hAnsi="Aptos"/>
                <w:b w:val="0"/>
                <w:sz w:val="15"/>
              </w:rPr>
              <w:t xml:space="preserve">Accessibility/localization; Cross-platform</w:t>
            </w:r>
          </w:p>
        </w:tc>
      </w:tr>
    </w:tbl>
    <w:p>
      <w:pPr>
        <w:spacing w:after="0"/>
      </w:pPr>
    </w:p>
    <w:p>
      <w:pPr>
        <w:pStyle w:val="Heading1"/>
      </w:pPr>
      <w:r>
        <w:t>Appendix A. Traceability summary</w:t>
      </w:r>
    </w:p>
    <w:p>
      <w:pPr>
        <w:pStyle w:val="ListBullet"/>
      </w:pPr>
      <w:r>
        <w:t>Product decisions 1–10: nationwide market, audience, platforms, release scope, categories, account modes, subscriptions and direct payments.</w:t>
      </w:r>
    </w:p>
    <w:p>
      <w:pPr>
        <w:pStyle w:val="ListBullet"/>
      </w:pPr>
      <w:r>
        <w:t>Product decisions 11–20: booking policy, verification, owner-only vendor management, messaging, language, support ownership, publication gates, RFQ acceptance, booking expiry and listing rejection.</w:t>
      </w:r>
    </w:p>
    <w:p>
      <w:pPr>
        <w:pStyle w:val="ListBullet"/>
      </w:pPr>
      <w:r>
        <w:t>Product decisions 21–30: risk-based verification, fulfilment failures, moderation, subscription tiers, contact policy, dispute handling, eligible reviews, subscription expiry and organic ranking.</w:t>
      </w:r>
    </w:p>
    <w:p>
      <w:pPr>
        <w:pStyle w:val="ListBullet"/>
      </w:pPr>
      <w:r>
        <w:t>Subsequent decisions: lead counting, three-day grace period, cancellation handling, listing result fields, contact privacy, unanswered enquiries, existing commitments, subscription cancellation/refunds, multi-listing/service-area support, booking/RFQ category modes, RFQ fields and structured quotations.</w:t>
      </w:r>
    </w:p>
    <w:p>
      <w:pPr>
        <w:pStyle w:val="ListBullet"/>
      </w:pPr>
      <w:r>
        <w:t>Later RFQ/booking/customer experience decisions: negotiation and quote revisions, quote withdrawal/expiry, one accepted quote per RFQ, post-acceptance booking/work-order creation, unanswered requests, multi-vendor requests/conflicts, modification decisions, completion, 7-day customer response, favorites, saved-vendor alerts, three-vendor comparison, missing-data transparency, duplicate detection and trackable in-app reporting.</w:t>
      </w:r>
    </w:p>
    <w:p>
      <w:pPr>
        <w:pStyle w:val="ListBullet"/>
      </w:pPr>
      <w:bookmarkStart w:id="9043" w:name="gm_appA"/>
      <w:r>
        <w:t xml:space="preserve">Version 3.0 global marketplace extension: global positioning, dynamic categories, country/state/city search, profiles, four booking modes, verification levels and ratings, supplier/manufacturer listings, dashboards, payment and commission framework, responsive UX and launch waves (chapter 26, GM-01 to GM-27).</w:t>
      </w:r>
      <w:bookmarkEnd w:id="9043"/>
    </w:p>
    <w:p>
      <w:pPr>
        <w:pStyle w:val="Heading1"/>
      </w:pPr>
      <w:r>
        <w:t>Appendix B. Source documents</w:t>
      </w:r>
    </w:p>
    <w:p>
      <w:pPr>
        <w:pStyle w:val="ListBullet"/>
      </w:pPr>
      <w:r>
        <w:t>VendorVerse_Enhanced_Feature_List-1.docx — feature groups, workflows, proposed business rules and roadmap.</w:t>
      </w:r>
    </w:p>
    <w:p>
      <w:pPr>
        <w:pStyle w:val="ListBullet"/>
      </w:pPr>
      <w:r>
        <w:t>VendorVerse_Developer_PRD_ADRSTECHNO.docx — working PRD, personas/RBAC, taxonomy, module inventory, data model, API, NFR, QA and reporting.</w:t>
      </w:r>
    </w:p>
    <w:p>
      <w:pPr>
        <w:pStyle w:val="ListBullet"/>
      </w:pPr>
      <w:r>
        <w:t>VendorVerse_Developer_PRD_ADRSTECHNO (1).pdf — PDF counterpart of the working PRD.</w:t>
      </w:r>
    </w:p>
    <w:p>
      <w:pPr>
        <w:pStyle w:val="ListBullet"/>
      </w:pPr>
      <w:bookmarkStart w:id="9044" w:name="gm_appB"/>
      <w:r>
        <w:t xml:space="preserve">Global Universal Vendor Marketplace brief (24 October 2026) — stakeholder direction extending scope to a global marketplace with ten focus areas, incorporated in chapter 26.</w:t>
      </w:r>
      <w:bookmarkEnd w:id="9044"/>
    </w:p>
    <w:p>
      <w:r>
        <w:t>End of specification. Any scope or rule change should be recorded in a versioned change log with the affected requirement IDs, rationale, owner, approval, migration impact, permission impact and test coverage.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ADRS Techno Private Limited • Confidential working specification • 24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VENDORVERSE  |  COMPREHENSIVE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5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F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5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5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