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F6B4F"/>
          <w:sz w:val="32"/>
        </w:rPr>
        <w:t>VENDORVERSE</w:t>
      </w:r>
    </w:p>
    <w:p>
      <w:pPr>
        <w:jc w:val="center"/>
      </w:pPr>
      <w:r>
        <w:rPr>
          <w:b/>
          <w:color w:val="14352B"/>
          <w:sz w:val="56"/>
        </w:rPr>
        <w:t>Feature Comparison with IndiaMART</w:t>
      </w:r>
    </w:p>
    <w:p>
      <w:pPr>
        <w:jc w:val="center"/>
      </w:pPr>
      <w:r>
        <w:rPr>
          <w:color w:val="556960"/>
          <w:sz w:val="24"/>
        </w:rPr>
        <w:t>IndiaMART capabilities • Market limitations and opportunities • VendorVerse product blueprint</w:t>
      </w:r>
    </w:p>
    <w:p>
      <w:pPr>
        <w:spacing w:before="600"/>
        <w:jc w:val="center"/>
      </w:pPr>
      <w:r>
        <w:rPr>
          <w:b/>
        </w:rPr>
        <w:t>Prepared 29 October 2026</w:t>
        <w:br/>
      </w:r>
      <w:r>
        <w:t>Based on the supplied VendorVerse feature-comparison document, current public IndiaMART disclosures, and selected user reviews.</w:t>
      </w:r>
    </w:p>
    <w:p>
      <w:r>
        <w:br w:type="page"/>
      </w:r>
    </w:p>
    <w:p>
      <w:pPr>
        <w:pStyle w:val="Heading1"/>
      </w:pPr>
      <w:r>
        <w:t>Executive summary</w:t>
      </w:r>
    </w:p>
    <w:p>
      <w:r>
        <w:t>This document mirrors the structure of the existing VendorVerse feature comparison prepared for Justdial, but evaluates IndiaMART as the benchmark. It separates publicly reported IndiaMART capabilities from VendorVerse proposals and from limitations that are inferred from public evidence or user feedback. IndiaMART is a scaled B2B discovery and enquiry marketplace; VendorVerse should not try to beat its network size at launch. Instead, it can differentiate through structured RFQ-to-quote workflows, service bookings, multi-vendor project coordination, transparent trust signals, consent-led contact, and clear subscription governance.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448"/>
            <w:vAlign w:val="center"/>
            <w:shd w:fill="1F6B4F"/>
          </w:tcPr>
          <w:p>
            <w:pPr>
              <w:spacing w:after="20"/>
            </w:pPr>
            <w:r/>
            <w:r>
              <w:rPr>
                <w:rFonts w:ascii="Aptos" w:hAnsi="Aptos"/>
                <w:b/>
                <w:color w:val="FFFFFF"/>
                <w:sz w:val="16"/>
              </w:rPr>
              <w:t>Latest public FY26 figures</w:t>
            </w:r>
          </w:p>
        </w:tc>
        <w:tc>
          <w:tcPr>
            <w:tcW w:type="dxa" w:w="2088"/>
            <w:vAlign w:val="center"/>
            <w:shd w:fill="1F6B4F"/>
          </w:tcPr>
          <w:p>
            <w:pPr>
              <w:spacing w:after="20"/>
            </w:pPr>
            <w:r/>
            <w:r>
              <w:rPr>
                <w:rFonts w:ascii="Aptos" w:hAnsi="Aptos"/>
                <w:b/>
                <w:color w:val="FFFFFF"/>
                <w:sz w:val="16"/>
              </w:rPr>
              <w:t>Reported value</w:t>
            </w:r>
          </w:p>
        </w:tc>
        <w:tc>
          <w:tcPr>
            <w:tcW w:type="dxa" w:w="5760"/>
            <w:vAlign w:val="center"/>
            <w:shd w:fill="1F6B4F"/>
          </w:tcPr>
          <w:p>
            <w:pPr>
              <w:spacing w:after="20"/>
            </w:pPr>
            <w:r/>
            <w:r>
              <w:rPr>
                <w:rFonts w:ascii="Aptos" w:hAnsi="Aptos"/>
                <w:b/>
                <w:color w:val="FFFFFF"/>
                <w:sz w:val="16"/>
              </w:rPr>
              <w:t>How to interpret it</w:t>
            </w:r>
          </w:p>
        </w:tc>
      </w:tr>
      <w:tr>
        <w:tc>
          <w:tcPr>
            <w:tcW w:type="dxa" w:w="2448"/>
            <w:vAlign w:val="center"/>
          </w:tcPr>
          <w:p>
            <w:pPr>
              <w:spacing w:after="20"/>
            </w:pPr>
            <w:r/>
            <w:r>
              <w:rPr>
                <w:rFonts w:ascii="Aptos" w:hAnsi="Aptos"/>
                <w:b w:val="0"/>
                <w:color w:val="263238"/>
                <w:sz w:val="16"/>
              </w:rPr>
              <w:t>Registered buyers</w:t>
            </w:r>
          </w:p>
        </w:tc>
        <w:tc>
          <w:tcPr>
            <w:tcW w:type="dxa" w:w="2088"/>
            <w:vAlign w:val="center"/>
          </w:tcPr>
          <w:p>
            <w:pPr>
              <w:spacing w:after="20"/>
            </w:pPr>
            <w:r/>
            <w:r>
              <w:rPr>
                <w:rFonts w:ascii="Aptos" w:hAnsi="Aptos"/>
                <w:b w:val="0"/>
                <w:color w:val="263238"/>
                <w:sz w:val="16"/>
              </w:rPr>
              <w:t>230 million</w:t>
            </w:r>
          </w:p>
        </w:tc>
        <w:tc>
          <w:tcPr>
            <w:tcW w:type="dxa" w:w="5760"/>
            <w:vAlign w:val="center"/>
          </w:tcPr>
          <w:p>
            <w:pPr>
              <w:spacing w:after="20"/>
            </w:pPr>
            <w:r/>
            <w:r>
              <w:rPr>
                <w:rFonts w:ascii="Aptos" w:hAnsi="Aptos"/>
                <w:b w:val="0"/>
                <w:color w:val="263238"/>
                <w:sz w:val="16"/>
              </w:rPr>
              <w:t>Company-reported registered buyer network as of 31 March 2026; not the same as monthly active buyers.</w:t>
            </w:r>
          </w:p>
        </w:tc>
      </w:tr>
      <w:tr>
        <w:tc>
          <w:tcPr>
            <w:tcW w:type="dxa" w:w="2448"/>
            <w:vAlign w:val="center"/>
            <w:shd w:fill="F1F7F4"/>
          </w:tcPr>
          <w:p>
            <w:pPr>
              <w:spacing w:after="20"/>
            </w:pPr>
            <w:r/>
            <w:r>
              <w:rPr>
                <w:rFonts w:ascii="Aptos" w:hAnsi="Aptos"/>
                <w:b w:val="0"/>
                <w:color w:val="263238"/>
                <w:sz w:val="16"/>
              </w:rPr>
              <w:t>Registered suppliers</w:t>
            </w:r>
          </w:p>
        </w:tc>
        <w:tc>
          <w:tcPr>
            <w:tcW w:type="dxa" w:w="2088"/>
            <w:vAlign w:val="center"/>
            <w:shd w:fill="F1F7F4"/>
          </w:tcPr>
          <w:p>
            <w:pPr>
              <w:spacing w:after="20"/>
            </w:pPr>
            <w:r/>
            <w:r>
              <w:rPr>
                <w:rFonts w:ascii="Aptos" w:hAnsi="Aptos"/>
                <w:b w:val="0"/>
                <w:color w:val="263238"/>
                <w:sz w:val="16"/>
              </w:rPr>
              <w:t>8.7 million</w:t>
            </w:r>
          </w:p>
        </w:tc>
        <w:tc>
          <w:tcPr>
            <w:tcW w:type="dxa" w:w="5760"/>
            <w:vAlign w:val="center"/>
            <w:shd w:fill="F1F7F4"/>
          </w:tcPr>
          <w:p>
            <w:pPr>
              <w:spacing w:after="20"/>
            </w:pPr>
            <w:r/>
            <w:r>
              <w:rPr>
                <w:rFonts w:ascii="Aptos" w:hAnsi="Aptos"/>
                <w:b w:val="0"/>
                <w:color w:val="263238"/>
                <w:sz w:val="16"/>
              </w:rPr>
              <w:t>Company-reported supplier network as of 31 March 2026.</w:t>
            </w:r>
          </w:p>
        </w:tc>
      </w:tr>
      <w:tr>
        <w:tc>
          <w:tcPr>
            <w:tcW w:type="dxa" w:w="2448"/>
            <w:vAlign w:val="center"/>
          </w:tcPr>
          <w:p>
            <w:pPr>
              <w:spacing w:after="20"/>
            </w:pPr>
            <w:r/>
            <w:r>
              <w:rPr>
                <w:rFonts w:ascii="Aptos" w:hAnsi="Aptos"/>
                <w:b w:val="0"/>
                <w:color w:val="263238"/>
                <w:sz w:val="16"/>
              </w:rPr>
              <w:t>Paying suppliers</w:t>
            </w:r>
          </w:p>
        </w:tc>
        <w:tc>
          <w:tcPr>
            <w:tcW w:type="dxa" w:w="2088"/>
            <w:vAlign w:val="center"/>
          </w:tcPr>
          <w:p>
            <w:pPr>
              <w:spacing w:after="20"/>
            </w:pPr>
            <w:r/>
            <w:r>
              <w:rPr>
                <w:rFonts w:ascii="Aptos" w:hAnsi="Aptos"/>
                <w:b w:val="0"/>
                <w:color w:val="263238"/>
                <w:sz w:val="16"/>
              </w:rPr>
              <w:t>220,000</w:t>
            </w:r>
          </w:p>
        </w:tc>
        <w:tc>
          <w:tcPr>
            <w:tcW w:type="dxa" w:w="5760"/>
            <w:vAlign w:val="center"/>
          </w:tcPr>
          <w:p>
            <w:pPr>
              <w:spacing w:after="20"/>
            </w:pPr>
            <w:r/>
            <w:r>
              <w:rPr>
                <w:rFonts w:ascii="Aptos" w:hAnsi="Aptos"/>
                <w:b w:val="0"/>
                <w:color w:val="263238"/>
                <w:sz w:val="16"/>
              </w:rPr>
              <w:t>Company-reported paying suppliers as of 31 March 2026.</w:t>
            </w:r>
          </w:p>
        </w:tc>
      </w:tr>
      <w:tr>
        <w:tc>
          <w:tcPr>
            <w:tcW w:type="dxa" w:w="2448"/>
            <w:vAlign w:val="center"/>
            <w:shd w:fill="F1F7F4"/>
          </w:tcPr>
          <w:p>
            <w:pPr>
              <w:spacing w:after="20"/>
            </w:pPr>
            <w:r/>
            <w:r>
              <w:rPr>
                <w:rFonts w:ascii="Aptos" w:hAnsi="Aptos"/>
                <w:b w:val="0"/>
                <w:color w:val="263238"/>
                <w:sz w:val="16"/>
              </w:rPr>
              <w:t>Live product listings</w:t>
            </w:r>
          </w:p>
        </w:tc>
        <w:tc>
          <w:tcPr>
            <w:tcW w:type="dxa" w:w="2088"/>
            <w:vAlign w:val="center"/>
            <w:shd w:fill="F1F7F4"/>
          </w:tcPr>
          <w:p>
            <w:pPr>
              <w:spacing w:after="20"/>
            </w:pPr>
            <w:r/>
            <w:r>
              <w:rPr>
                <w:rFonts w:ascii="Aptos" w:hAnsi="Aptos"/>
                <w:b w:val="0"/>
                <w:color w:val="263238"/>
                <w:sz w:val="16"/>
              </w:rPr>
              <w:t>129 million</w:t>
            </w:r>
          </w:p>
        </w:tc>
        <w:tc>
          <w:tcPr>
            <w:tcW w:type="dxa" w:w="5760"/>
            <w:vAlign w:val="center"/>
            <w:shd w:fill="F1F7F4"/>
          </w:tcPr>
          <w:p>
            <w:pPr>
              <w:spacing w:after="20"/>
            </w:pPr>
            <w:r/>
            <w:r>
              <w:rPr>
                <w:rFonts w:ascii="Aptos" w:hAnsi="Aptos"/>
                <w:b w:val="0"/>
                <w:color w:val="263238"/>
                <w:sz w:val="16"/>
              </w:rPr>
              <w:t>Product listings, not unique SKUs independently audited by this report.</w:t>
            </w:r>
          </w:p>
        </w:tc>
      </w:tr>
      <w:tr>
        <w:tc>
          <w:tcPr>
            <w:tcW w:type="dxa" w:w="2448"/>
            <w:vAlign w:val="center"/>
          </w:tcPr>
          <w:p>
            <w:pPr>
              <w:spacing w:after="20"/>
            </w:pPr>
            <w:r/>
            <w:r>
              <w:rPr>
                <w:rFonts w:ascii="Aptos" w:hAnsi="Aptos"/>
                <w:b w:val="0"/>
                <w:color w:val="263238"/>
                <w:sz w:val="16"/>
              </w:rPr>
              <w:t>Categories / industries</w:t>
            </w:r>
          </w:p>
        </w:tc>
        <w:tc>
          <w:tcPr>
            <w:tcW w:type="dxa" w:w="2088"/>
            <w:vAlign w:val="center"/>
          </w:tcPr>
          <w:p>
            <w:pPr>
              <w:spacing w:after="20"/>
            </w:pPr>
            <w:r/>
            <w:r>
              <w:rPr>
                <w:rFonts w:ascii="Aptos" w:hAnsi="Aptos"/>
                <w:b w:val="0"/>
                <w:color w:val="263238"/>
                <w:sz w:val="16"/>
              </w:rPr>
              <w:t>98,000 categories / 57 industries</w:t>
            </w:r>
          </w:p>
        </w:tc>
        <w:tc>
          <w:tcPr>
            <w:tcW w:type="dxa" w:w="5760"/>
            <w:vAlign w:val="center"/>
          </w:tcPr>
          <w:p>
            <w:pPr>
              <w:spacing w:after="20"/>
            </w:pPr>
            <w:r/>
            <w:r>
              <w:rPr>
                <w:rFonts w:ascii="Aptos" w:hAnsi="Aptos"/>
                <w:b w:val="0"/>
                <w:color w:val="263238"/>
                <w:sz w:val="16"/>
              </w:rPr>
              <w:t>Company-reported catalogue taxonomy scale.</w:t>
            </w:r>
          </w:p>
        </w:tc>
      </w:tr>
      <w:tr>
        <w:tc>
          <w:tcPr>
            <w:tcW w:type="dxa" w:w="2448"/>
            <w:vAlign w:val="center"/>
            <w:shd w:fill="F1F7F4"/>
          </w:tcPr>
          <w:p>
            <w:pPr>
              <w:spacing w:after="20"/>
            </w:pPr>
            <w:r/>
            <w:r>
              <w:rPr>
                <w:rFonts w:ascii="Aptos" w:hAnsi="Aptos"/>
                <w:b w:val="0"/>
                <w:color w:val="263238"/>
                <w:sz w:val="16"/>
              </w:rPr>
              <w:t>Unique business enquiries</w:t>
            </w:r>
          </w:p>
        </w:tc>
        <w:tc>
          <w:tcPr>
            <w:tcW w:type="dxa" w:w="2088"/>
            <w:vAlign w:val="center"/>
            <w:shd w:fill="F1F7F4"/>
          </w:tcPr>
          <w:p>
            <w:pPr>
              <w:spacing w:after="20"/>
            </w:pPr>
            <w:r/>
            <w:r>
              <w:rPr>
                <w:rFonts w:ascii="Aptos" w:hAnsi="Aptos"/>
                <w:b w:val="0"/>
                <w:color w:val="263238"/>
                <w:sz w:val="16"/>
              </w:rPr>
              <w:t>114 million in FY26</w:t>
            </w:r>
          </w:p>
        </w:tc>
        <w:tc>
          <w:tcPr>
            <w:tcW w:type="dxa" w:w="5760"/>
            <w:vAlign w:val="center"/>
            <w:shd w:fill="F1F7F4"/>
          </w:tcPr>
          <w:p>
            <w:pPr>
              <w:spacing w:after="20"/>
            </w:pPr>
            <w:r/>
            <w:r>
              <w:rPr>
                <w:rFonts w:ascii="Aptos" w:hAnsi="Aptos"/>
                <w:b w:val="0"/>
                <w:color w:val="263238"/>
                <w:sz w:val="16"/>
              </w:rPr>
              <w:t>Annual enquiry metric; not completed sales or unique buyers.</w:t>
            </w:r>
          </w:p>
        </w:tc>
      </w:tr>
    </w:tbl>
    <w:p>
      <w:pPr>
        <w:spacing w:after="20"/>
      </w:pPr>
    </w:p>
    <w:p>
      <w:r>
        <w:t>Source: IndiaMART FY 2025–26 Annual Report filed with NSE. Figures are company-reported; definitions and measurement periods should be retained when reused. See Sources section.</w:t>
      </w:r>
    </w:p>
    <w:p>
      <w:pPr>
        <w:pStyle w:val="Heading2"/>
      </w:pPr>
      <w:r>
        <w:t>How to read this document</w:t>
      </w:r>
    </w:p>
    <w:p>
      <w:pPr>
        <w:pStyle w:val="ListBullet"/>
        <w:spacing w:after="40"/>
      </w:pPr>
      <w:r>
        <w:t>IndiaMART capabilities are described from public filings, product materials and app listings available at the research cutoff.</w:t>
      </w:r>
    </w:p>
    <w:p>
      <w:pPr>
        <w:pStyle w:val="ListBullet"/>
        <w:spacing w:after="40"/>
      </w:pPr>
      <w:r>
        <w:t>User-review themes are anecdotal signals, not proof that every user has the same experience.</w:t>
      </w:r>
    </w:p>
    <w:p>
      <w:pPr>
        <w:pStyle w:val="ListBullet"/>
        <w:spacing w:after="40"/>
      </w:pPr>
      <w:r>
        <w:t>VendorVerse is a proposed product. This document does not claim that its features are implemented or live.</w:t>
      </w:r>
    </w:p>
    <w:p>
      <w:pPr>
        <w:pStyle w:val="ListBullet"/>
        <w:spacing w:after="40"/>
      </w:pPr>
      <w:r>
        <w:t>A missing public description is not proof that IndiaMART lacks a feature.</w:t>
      </w:r>
    </w:p>
    <w:p>
      <w:pPr>
        <w:pStyle w:val="ListBullet"/>
        <w:spacing w:after="40"/>
      </w:pPr>
      <w:r>
        <w:t>VendorVerse R1 restrictions from the existing product context are preserved: no platform-mediated customer-to-vendor service payments, escrow or vendor payouts; vendor staff accounts and enterprise procurement are deferred.</w:t>
      </w:r>
    </w:p>
    <w:p>
      <w:pPr>
        <w:pStyle w:val="Heading1"/>
      </w:pPr>
      <w:r>
        <w:t>Contents</w:t>
      </w:r>
    </w:p>
    <w:p>
      <w:pPr>
        <w:pStyle w:val="ListBullet"/>
        <w:spacing w:after="40"/>
      </w:pPr>
      <w:r>
        <w:t>1. IndiaMART feature inventory</w:t>
      </w:r>
    </w:p>
    <w:p>
      <w:pPr>
        <w:pStyle w:val="ListBullet"/>
        <w:spacing w:after="40"/>
      </w:pPr>
      <w:r>
        <w:t>2. IndiaMART features mapped to VendorVerse</w:t>
      </w:r>
    </w:p>
    <w:p>
      <w:pPr>
        <w:pStyle w:val="ListBullet"/>
        <w:spacing w:after="40"/>
      </w:pPr>
      <w:r>
        <w:t>3. Limitations and VendorVerse responses</w:t>
      </w:r>
    </w:p>
    <w:p>
      <w:pPr>
        <w:pStyle w:val="ListBullet"/>
        <w:spacing w:after="40"/>
      </w:pPr>
      <w:r>
        <w:t>4. VendorVerse features by module</w:t>
      </w:r>
    </w:p>
    <w:p>
      <w:pPr>
        <w:pStyle w:val="ListBullet"/>
        <w:spacing w:after="40"/>
      </w:pPr>
      <w:r>
        <w:t>5. Role-wise feature access</w:t>
      </w:r>
    </w:p>
    <w:p>
      <w:pPr>
        <w:pStyle w:val="ListBullet"/>
        <w:spacing w:after="40"/>
      </w:pPr>
      <w:r>
        <w:t>6. R1 boundaries and decisions to close</w:t>
      </w:r>
    </w:p>
    <w:p>
      <w:pPr>
        <w:pStyle w:val="ListBullet"/>
        <w:spacing w:after="40"/>
      </w:pPr>
      <w:r>
        <w:t>7. Sources and research notes</w:t>
      </w:r>
    </w:p>
    <w:p>
      <w:r>
        <w:br w:type="page"/>
      </w:r>
    </w:p>
    <w:p>
      <w:pPr>
        <w:pStyle w:val="Heading1"/>
      </w:pPr>
      <w:r>
        <w:t>1. IndiaMART feature inventory</w:t>
      </w:r>
    </w:p>
    <w:p>
      <w:r>
        <w:t>The following is a practical inventory of major publicly documented capabilities, not a claim that every feature is available to every account, category, subscription tier or app version.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304"/>
            <w:vAlign w:val="center"/>
            <w:shd w:fill="1F6B4F"/>
          </w:tcPr>
          <w:p>
            <w:pPr>
              <w:spacing w:after="20"/>
            </w:pPr>
            <w:r/>
            <w:r>
              <w:rPr>
                <w:rFonts w:ascii="Aptos" w:hAnsi="Aptos"/>
                <w:b/>
                <w:color w:val="FFFFFF"/>
                <w:sz w:val="15"/>
              </w:rPr>
              <w:t>Product / capability area</w:t>
            </w:r>
          </w:p>
        </w:tc>
        <w:tc>
          <w:tcPr>
            <w:tcW w:type="dxa" w:w="6120"/>
            <w:vAlign w:val="center"/>
            <w:shd w:fill="1F6B4F"/>
          </w:tcPr>
          <w:p>
            <w:pPr>
              <w:spacing w:after="20"/>
            </w:pPr>
            <w:r/>
            <w:r>
              <w:rPr>
                <w:rFonts w:ascii="Aptos" w:hAnsi="Aptos"/>
                <w:b/>
                <w:color w:val="FFFFFF"/>
                <w:sz w:val="15"/>
              </w:rPr>
              <w:t>Publicly documented capability</w:t>
            </w:r>
          </w:p>
        </w:tc>
        <w:tc>
          <w:tcPr>
            <w:tcW w:type="dxa" w:w="1872"/>
            <w:vAlign w:val="center"/>
            <w:shd w:fill="1F6B4F"/>
          </w:tcPr>
          <w:p>
            <w:pPr>
              <w:spacing w:after="20"/>
            </w:pPr>
            <w:r/>
            <w:r>
              <w:rPr>
                <w:rFonts w:ascii="Aptos" w:hAnsi="Aptos"/>
                <w:b/>
                <w:color w:val="FFFFFF"/>
                <w:sz w:val="15"/>
              </w:rPr>
              <w:t>Primary users</w:t>
            </w:r>
          </w:p>
        </w:tc>
      </w:tr>
      <w:tr>
        <w:tc>
          <w:tcPr>
            <w:tcW w:type="dxa" w:w="2304"/>
            <w:vAlign w:val="center"/>
          </w:tcPr>
          <w:p>
            <w:pPr>
              <w:spacing w:after="20"/>
            </w:pPr>
            <w:r/>
            <w:r>
              <w:rPr>
                <w:rFonts w:ascii="Aptos" w:hAnsi="Aptos"/>
                <w:b w:val="0"/>
                <w:color w:val="263238"/>
                <w:sz w:val="15"/>
              </w:rPr>
              <w:t>Marketplace scale and catalogue</w:t>
            </w:r>
          </w:p>
        </w:tc>
        <w:tc>
          <w:tcPr>
            <w:tcW w:type="dxa" w:w="6120"/>
            <w:vAlign w:val="center"/>
          </w:tcPr>
          <w:p>
            <w:pPr>
              <w:spacing w:after="20"/>
            </w:pPr>
            <w:r/>
            <w:r>
              <w:rPr>
                <w:rFonts w:ascii="Aptos" w:hAnsi="Aptos"/>
                <w:b w:val="0"/>
                <w:color w:val="263238"/>
                <w:sz w:val="15"/>
              </w:rPr>
              <w:t>B2B product discovery across a very large catalogue; product listings span industrial machinery, construction, chemicals, agriculture, healthcare, textiles, electronics, and many other industries.</w:t>
            </w:r>
          </w:p>
        </w:tc>
        <w:tc>
          <w:tcPr>
            <w:tcW w:type="dxa" w:w="1872"/>
            <w:vAlign w:val="center"/>
          </w:tcPr>
          <w:p>
            <w:pPr>
              <w:spacing w:after="20"/>
            </w:pPr>
            <w:r/>
            <w:r>
              <w:rPr>
                <w:rFonts w:ascii="Aptos" w:hAnsi="Aptos"/>
                <w:b w:val="0"/>
                <w:color w:val="263238"/>
                <w:sz w:val="15"/>
              </w:rPr>
              <w:t>Buyers, manufacturers, suppliers, wholesalers, distributors, traders, exporters</w:t>
            </w:r>
          </w:p>
        </w:tc>
      </w:tr>
      <w:tr>
        <w:tc>
          <w:tcPr>
            <w:tcW w:type="dxa" w:w="2304"/>
            <w:vAlign w:val="center"/>
            <w:shd w:fill="F1F7F4"/>
          </w:tcPr>
          <w:p>
            <w:pPr>
              <w:spacing w:after="20"/>
            </w:pPr>
            <w:r/>
            <w:r>
              <w:rPr>
                <w:rFonts w:ascii="Aptos" w:hAnsi="Aptos"/>
                <w:b w:val="0"/>
                <w:color w:val="263238"/>
                <w:sz w:val="15"/>
              </w:rPr>
              <w:t>Registered buyer/supplier network</w:t>
            </w:r>
          </w:p>
        </w:tc>
        <w:tc>
          <w:tcPr>
            <w:tcW w:type="dxa" w:w="6120"/>
            <w:vAlign w:val="center"/>
            <w:shd w:fill="F1F7F4"/>
          </w:tcPr>
          <w:p>
            <w:pPr>
              <w:spacing w:after="20"/>
            </w:pPr>
            <w:r/>
            <w:r>
              <w:rPr>
                <w:rFonts w:ascii="Aptos" w:hAnsi="Aptos"/>
                <w:b w:val="0"/>
                <w:color w:val="263238"/>
                <w:sz w:val="15"/>
              </w:rPr>
              <w:t>Buyer and supplier storefront network; free and paid supplier participation; two-way discovery marketplace.</w:t>
            </w:r>
          </w:p>
        </w:tc>
        <w:tc>
          <w:tcPr>
            <w:tcW w:type="dxa" w:w="1872"/>
            <w:vAlign w:val="center"/>
            <w:shd w:fill="F1F7F4"/>
          </w:tcPr>
          <w:p>
            <w:pPr>
              <w:spacing w:after="20"/>
            </w:pPr>
            <w:r/>
            <w:r>
              <w:rPr>
                <w:rFonts w:ascii="Aptos" w:hAnsi="Aptos"/>
                <w:b w:val="0"/>
                <w:color w:val="263238"/>
                <w:sz w:val="15"/>
              </w:rPr>
              <w:t>Buyers and suppliers</w:t>
            </w:r>
          </w:p>
        </w:tc>
      </w:tr>
      <w:tr>
        <w:tc>
          <w:tcPr>
            <w:tcW w:type="dxa" w:w="2304"/>
            <w:vAlign w:val="center"/>
          </w:tcPr>
          <w:p>
            <w:pPr>
              <w:spacing w:after="20"/>
            </w:pPr>
            <w:r/>
            <w:r>
              <w:rPr>
                <w:rFonts w:ascii="Aptos" w:hAnsi="Aptos"/>
                <w:b w:val="0"/>
                <w:color w:val="263238"/>
                <w:sz w:val="15"/>
              </w:rPr>
              <w:t>Product search and discovery</w:t>
            </w:r>
          </w:p>
        </w:tc>
        <w:tc>
          <w:tcPr>
            <w:tcW w:type="dxa" w:w="6120"/>
            <w:vAlign w:val="center"/>
          </w:tcPr>
          <w:p>
            <w:pPr>
              <w:spacing w:after="20"/>
            </w:pPr>
            <w:r/>
            <w:r>
              <w:rPr>
                <w:rFonts w:ascii="Aptos" w:hAnsi="Aptos"/>
                <w:b w:val="0"/>
                <w:color w:val="263238"/>
                <w:sz w:val="15"/>
              </w:rPr>
              <w:t>Search by product, category, keyword and supplier; discover products and suppliers; product details can include specifications, images, videos and pricing information.</w:t>
            </w:r>
          </w:p>
        </w:tc>
        <w:tc>
          <w:tcPr>
            <w:tcW w:type="dxa" w:w="1872"/>
            <w:vAlign w:val="center"/>
          </w:tcPr>
          <w:p>
            <w:pPr>
              <w:spacing w:after="20"/>
            </w:pPr>
            <w:r/>
            <w:r>
              <w:rPr>
                <w:rFonts w:ascii="Aptos" w:hAnsi="Aptos"/>
                <w:b w:val="0"/>
                <w:color w:val="263238"/>
                <w:sz w:val="15"/>
              </w:rPr>
              <w:t>Buyers</w:t>
            </w:r>
          </w:p>
        </w:tc>
      </w:tr>
      <w:tr>
        <w:tc>
          <w:tcPr>
            <w:tcW w:type="dxa" w:w="2304"/>
            <w:vAlign w:val="center"/>
            <w:shd w:fill="F1F7F4"/>
          </w:tcPr>
          <w:p>
            <w:pPr>
              <w:spacing w:after="20"/>
            </w:pPr>
            <w:r/>
            <w:r>
              <w:rPr>
                <w:rFonts w:ascii="Aptos" w:hAnsi="Aptos"/>
                <w:b w:val="0"/>
                <w:color w:val="263238"/>
                <w:sz w:val="15"/>
              </w:rPr>
              <w:t>Supplier storefronts</w:t>
            </w:r>
          </w:p>
        </w:tc>
        <w:tc>
          <w:tcPr>
            <w:tcW w:type="dxa" w:w="6120"/>
            <w:vAlign w:val="center"/>
            <w:shd w:fill="F1F7F4"/>
          </w:tcPr>
          <w:p>
            <w:pPr>
              <w:spacing w:after="20"/>
            </w:pPr>
            <w:r/>
            <w:r>
              <w:rPr>
                <w:rFonts w:ascii="Aptos" w:hAnsi="Aptos"/>
                <w:b w:val="0"/>
                <w:color w:val="263238"/>
                <w:sz w:val="15"/>
              </w:rPr>
              <w:t>Business storefronts and supplier profiles; product catalogue and business information.</w:t>
            </w:r>
          </w:p>
        </w:tc>
        <w:tc>
          <w:tcPr>
            <w:tcW w:type="dxa" w:w="1872"/>
            <w:vAlign w:val="center"/>
            <w:shd w:fill="F1F7F4"/>
          </w:tcPr>
          <w:p>
            <w:pPr>
              <w:spacing w:after="20"/>
            </w:pPr>
            <w:r/>
            <w:r>
              <w:rPr>
                <w:rFonts w:ascii="Aptos" w:hAnsi="Aptos"/>
                <w:b w:val="0"/>
                <w:color w:val="263238"/>
                <w:sz w:val="15"/>
              </w:rPr>
              <w:t>Suppliers</w:t>
            </w:r>
          </w:p>
        </w:tc>
      </w:tr>
      <w:tr>
        <w:tc>
          <w:tcPr>
            <w:tcW w:type="dxa" w:w="2304"/>
            <w:vAlign w:val="center"/>
          </w:tcPr>
          <w:p>
            <w:pPr>
              <w:spacing w:after="20"/>
            </w:pPr>
            <w:r/>
            <w:r>
              <w:rPr>
                <w:rFonts w:ascii="Aptos" w:hAnsi="Aptos"/>
                <w:b w:val="0"/>
                <w:color w:val="263238"/>
                <w:sz w:val="15"/>
              </w:rPr>
              <w:t>Product catalogue management</w:t>
            </w:r>
          </w:p>
        </w:tc>
        <w:tc>
          <w:tcPr>
            <w:tcW w:type="dxa" w:w="6120"/>
            <w:vAlign w:val="center"/>
          </w:tcPr>
          <w:p>
            <w:pPr>
              <w:spacing w:after="20"/>
            </w:pPr>
            <w:r/>
            <w:r>
              <w:rPr>
                <w:rFonts w:ascii="Aptos" w:hAnsi="Aptos"/>
                <w:b w:val="0"/>
                <w:color w:val="263238"/>
                <w:sz w:val="15"/>
              </w:rPr>
              <w:t>Suppliers can list and manage product information and catalogues through seller tools.</w:t>
            </w:r>
          </w:p>
        </w:tc>
        <w:tc>
          <w:tcPr>
            <w:tcW w:type="dxa" w:w="1872"/>
            <w:vAlign w:val="center"/>
          </w:tcPr>
          <w:p>
            <w:pPr>
              <w:spacing w:after="20"/>
            </w:pPr>
            <w:r/>
            <w:r>
              <w:rPr>
                <w:rFonts w:ascii="Aptos" w:hAnsi="Aptos"/>
                <w:b w:val="0"/>
                <w:color w:val="263238"/>
                <w:sz w:val="15"/>
              </w:rPr>
              <w:t>Suppliers</w:t>
            </w:r>
          </w:p>
        </w:tc>
      </w:tr>
      <w:tr>
        <w:tc>
          <w:tcPr>
            <w:tcW w:type="dxa" w:w="2304"/>
            <w:vAlign w:val="center"/>
            <w:shd w:fill="F1F7F4"/>
          </w:tcPr>
          <w:p>
            <w:pPr>
              <w:spacing w:after="20"/>
            </w:pPr>
            <w:r/>
            <w:r>
              <w:rPr>
                <w:rFonts w:ascii="Aptos" w:hAnsi="Aptos"/>
                <w:b w:val="0"/>
                <w:color w:val="263238"/>
                <w:sz w:val="15"/>
              </w:rPr>
              <w:t>RFQ / BuyLead exchange</w:t>
            </w:r>
          </w:p>
        </w:tc>
        <w:tc>
          <w:tcPr>
            <w:tcW w:type="dxa" w:w="6120"/>
            <w:vAlign w:val="center"/>
            <w:shd w:fill="F1F7F4"/>
          </w:tcPr>
          <w:p>
            <w:pPr>
              <w:spacing w:after="20"/>
            </w:pPr>
            <w:r/>
            <w:r>
              <w:rPr>
                <w:rFonts w:ascii="Aptos" w:hAnsi="Aptos"/>
                <w:b w:val="0"/>
                <w:color w:val="263238"/>
                <w:sz w:val="15"/>
              </w:rPr>
              <w:t>Buyers submit requirements; RFQ/BuyLead matching connects requirements with potentially relevant suppliers.</w:t>
            </w:r>
          </w:p>
        </w:tc>
        <w:tc>
          <w:tcPr>
            <w:tcW w:type="dxa" w:w="1872"/>
            <w:vAlign w:val="center"/>
            <w:shd w:fill="F1F7F4"/>
          </w:tcPr>
          <w:p>
            <w:pPr>
              <w:spacing w:after="20"/>
            </w:pPr>
            <w:r/>
            <w:r>
              <w:rPr>
                <w:rFonts w:ascii="Aptos" w:hAnsi="Aptos"/>
                <w:b w:val="0"/>
                <w:color w:val="263238"/>
                <w:sz w:val="15"/>
              </w:rPr>
              <w:t>Buyers and suppliers</w:t>
            </w:r>
          </w:p>
        </w:tc>
      </w:tr>
      <w:tr>
        <w:tc>
          <w:tcPr>
            <w:tcW w:type="dxa" w:w="2304"/>
            <w:vAlign w:val="center"/>
          </w:tcPr>
          <w:p>
            <w:pPr>
              <w:spacing w:after="20"/>
            </w:pPr>
            <w:r/>
            <w:r>
              <w:rPr>
                <w:rFonts w:ascii="Aptos" w:hAnsi="Aptos"/>
                <w:b w:val="0"/>
                <w:color w:val="263238"/>
                <w:sz w:val="15"/>
              </w:rPr>
              <w:t>Lead and enquiry management</w:t>
            </w:r>
          </w:p>
        </w:tc>
        <w:tc>
          <w:tcPr>
            <w:tcW w:type="dxa" w:w="6120"/>
            <w:vAlign w:val="center"/>
          </w:tcPr>
          <w:p>
            <w:pPr>
              <w:spacing w:after="20"/>
            </w:pPr>
            <w:r/>
            <w:r>
              <w:rPr>
                <w:rFonts w:ascii="Aptos" w:hAnsi="Aptos"/>
                <w:b w:val="0"/>
                <w:color w:val="263238"/>
                <w:sz w:val="15"/>
              </w:rPr>
              <w:t>Enquiries, replies/callbacks, supplier responses and lead-related workflows; paid plans can provide enhanced lead access.</w:t>
            </w:r>
          </w:p>
        </w:tc>
        <w:tc>
          <w:tcPr>
            <w:tcW w:type="dxa" w:w="1872"/>
            <w:vAlign w:val="center"/>
          </w:tcPr>
          <w:p>
            <w:pPr>
              <w:spacing w:after="20"/>
            </w:pPr>
            <w:r/>
            <w:r>
              <w:rPr>
                <w:rFonts w:ascii="Aptos" w:hAnsi="Aptos"/>
                <w:b w:val="0"/>
                <w:color w:val="263238"/>
                <w:sz w:val="15"/>
              </w:rPr>
              <w:t>Suppliers</w:t>
            </w:r>
          </w:p>
        </w:tc>
      </w:tr>
      <w:tr>
        <w:tc>
          <w:tcPr>
            <w:tcW w:type="dxa" w:w="2304"/>
            <w:vAlign w:val="center"/>
            <w:shd w:fill="F1F7F4"/>
          </w:tcPr>
          <w:p>
            <w:pPr>
              <w:spacing w:after="20"/>
            </w:pPr>
            <w:r/>
            <w:r>
              <w:rPr>
                <w:rFonts w:ascii="Aptos" w:hAnsi="Aptos"/>
                <w:b w:val="0"/>
                <w:color w:val="263238"/>
                <w:sz w:val="15"/>
              </w:rPr>
              <w:t>AI-driven matchmaking</w:t>
            </w:r>
          </w:p>
        </w:tc>
        <w:tc>
          <w:tcPr>
            <w:tcW w:type="dxa" w:w="6120"/>
            <w:vAlign w:val="center"/>
            <w:shd w:fill="F1F7F4"/>
          </w:tcPr>
          <w:p>
            <w:pPr>
              <w:spacing w:after="20"/>
            </w:pPr>
            <w:r/>
            <w:r>
              <w:rPr>
                <w:rFonts w:ascii="Aptos" w:hAnsi="Aptos"/>
                <w:b w:val="0"/>
                <w:color w:val="263238"/>
                <w:sz w:val="15"/>
              </w:rPr>
              <w:t>Annual-report materials describe algorithms using buyer requirements and supplier/product data such as product, location and quantity to match enquiries.</w:t>
            </w:r>
          </w:p>
        </w:tc>
        <w:tc>
          <w:tcPr>
            <w:tcW w:type="dxa" w:w="1872"/>
            <w:vAlign w:val="center"/>
            <w:shd w:fill="F1F7F4"/>
          </w:tcPr>
          <w:p>
            <w:pPr>
              <w:spacing w:after="20"/>
            </w:pPr>
            <w:r/>
            <w:r>
              <w:rPr>
                <w:rFonts w:ascii="Aptos" w:hAnsi="Aptos"/>
                <w:b w:val="0"/>
                <w:color w:val="263238"/>
                <w:sz w:val="15"/>
              </w:rPr>
              <w:t>Buyers and suppliers</w:t>
            </w:r>
          </w:p>
        </w:tc>
      </w:tr>
      <w:tr>
        <w:tc>
          <w:tcPr>
            <w:tcW w:type="dxa" w:w="2304"/>
            <w:vAlign w:val="center"/>
          </w:tcPr>
          <w:p>
            <w:pPr>
              <w:spacing w:after="20"/>
            </w:pPr>
            <w:r/>
            <w:r>
              <w:rPr>
                <w:rFonts w:ascii="Aptos" w:hAnsi="Aptos"/>
                <w:b w:val="0"/>
                <w:color w:val="263238"/>
                <w:sz w:val="15"/>
              </w:rPr>
              <w:t>Paid supplier subscriptions</w:t>
            </w:r>
          </w:p>
        </w:tc>
        <w:tc>
          <w:tcPr>
            <w:tcW w:type="dxa" w:w="6120"/>
            <w:vAlign w:val="center"/>
          </w:tcPr>
          <w:p>
            <w:pPr>
              <w:spacing w:after="20"/>
            </w:pPr>
            <w:r/>
            <w:r>
              <w:rPr>
                <w:rFonts w:ascii="Aptos" w:hAnsi="Aptos"/>
                <w:b w:val="0"/>
                <w:color w:val="263238"/>
                <w:sz w:val="15"/>
              </w:rPr>
              <w:t>Subscription packages such as Silver, Gold and Platinum have been described in company materials; paid tiers can provide enhanced visibility and greater RFQ access. Exact current benefits/prices must be checked.</w:t>
            </w:r>
          </w:p>
        </w:tc>
        <w:tc>
          <w:tcPr>
            <w:tcW w:type="dxa" w:w="1872"/>
            <w:vAlign w:val="center"/>
          </w:tcPr>
          <w:p>
            <w:pPr>
              <w:spacing w:after="20"/>
            </w:pPr>
            <w:r/>
            <w:r>
              <w:rPr>
                <w:rFonts w:ascii="Aptos" w:hAnsi="Aptos"/>
                <w:b w:val="0"/>
                <w:color w:val="263238"/>
                <w:sz w:val="15"/>
              </w:rPr>
              <w:t>Suppliers</w:t>
            </w:r>
          </w:p>
        </w:tc>
      </w:tr>
      <w:tr>
        <w:tc>
          <w:tcPr>
            <w:tcW w:type="dxa" w:w="2304"/>
            <w:vAlign w:val="center"/>
            <w:shd w:fill="F1F7F4"/>
          </w:tcPr>
          <w:p>
            <w:pPr>
              <w:spacing w:after="20"/>
            </w:pPr>
            <w:r/>
            <w:r>
              <w:rPr>
                <w:rFonts w:ascii="Aptos" w:hAnsi="Aptos"/>
                <w:b w:val="0"/>
                <w:color w:val="263238"/>
                <w:sz w:val="15"/>
              </w:rPr>
              <w:t>Export-oriented supplier offerings</w:t>
            </w:r>
          </w:p>
        </w:tc>
        <w:tc>
          <w:tcPr>
            <w:tcW w:type="dxa" w:w="6120"/>
            <w:vAlign w:val="center"/>
            <w:shd w:fill="F1F7F4"/>
          </w:tcPr>
          <w:p>
            <w:pPr>
              <w:spacing w:after="20"/>
            </w:pPr>
            <w:r/>
            <w:r>
              <w:rPr>
                <w:rFonts w:ascii="Aptos" w:hAnsi="Aptos"/>
                <w:b w:val="0"/>
                <w:color w:val="263238"/>
                <w:sz w:val="15"/>
              </w:rPr>
              <w:t>Company materials describe export-oriented packages that can provide access to export RFQs.</w:t>
            </w:r>
          </w:p>
        </w:tc>
        <w:tc>
          <w:tcPr>
            <w:tcW w:type="dxa" w:w="1872"/>
            <w:vAlign w:val="center"/>
            <w:shd w:fill="F1F7F4"/>
          </w:tcPr>
          <w:p>
            <w:pPr>
              <w:spacing w:after="20"/>
            </w:pPr>
            <w:r/>
            <w:r>
              <w:rPr>
                <w:rFonts w:ascii="Aptos" w:hAnsi="Aptos"/>
                <w:b w:val="0"/>
                <w:color w:val="263238"/>
                <w:sz w:val="15"/>
              </w:rPr>
              <w:t>Exporters and suppliers</w:t>
            </w:r>
          </w:p>
        </w:tc>
      </w:tr>
      <w:tr>
        <w:tc>
          <w:tcPr>
            <w:tcW w:type="dxa" w:w="2304"/>
            <w:vAlign w:val="center"/>
          </w:tcPr>
          <w:p>
            <w:pPr>
              <w:spacing w:after="20"/>
            </w:pPr>
            <w:r/>
            <w:r>
              <w:rPr>
                <w:rFonts w:ascii="Aptos" w:hAnsi="Aptos"/>
                <w:b w:val="0"/>
                <w:color w:val="263238"/>
                <w:sz w:val="15"/>
              </w:rPr>
              <w:t>Supplier mobile app</w:t>
            </w:r>
          </w:p>
        </w:tc>
        <w:tc>
          <w:tcPr>
            <w:tcW w:type="dxa" w:w="6120"/>
            <w:vAlign w:val="center"/>
          </w:tcPr>
          <w:p>
            <w:pPr>
              <w:spacing w:after="20"/>
            </w:pPr>
            <w:r/>
            <w:r>
              <w:rPr>
                <w:rFonts w:ascii="Aptos" w:hAnsi="Aptos"/>
                <w:b w:val="0"/>
                <w:color w:val="263238"/>
                <w:sz w:val="15"/>
              </w:rPr>
              <w:t>Mobile app supports marketplace discovery and supplier/buyer activity; current features may change by app version.</w:t>
            </w:r>
          </w:p>
        </w:tc>
        <w:tc>
          <w:tcPr>
            <w:tcW w:type="dxa" w:w="1872"/>
            <w:vAlign w:val="center"/>
          </w:tcPr>
          <w:p>
            <w:pPr>
              <w:spacing w:after="20"/>
            </w:pPr>
            <w:r/>
            <w:r>
              <w:rPr>
                <w:rFonts w:ascii="Aptos" w:hAnsi="Aptos"/>
                <w:b w:val="0"/>
                <w:color w:val="263238"/>
                <w:sz w:val="15"/>
              </w:rPr>
              <w:t>Buyers and suppliers</w:t>
            </w:r>
          </w:p>
        </w:tc>
      </w:tr>
      <w:tr>
        <w:tc>
          <w:tcPr>
            <w:tcW w:type="dxa" w:w="2304"/>
            <w:vAlign w:val="center"/>
            <w:shd w:fill="F1F7F4"/>
          </w:tcPr>
          <w:p>
            <w:pPr>
              <w:spacing w:after="20"/>
            </w:pPr>
            <w:r/>
            <w:r>
              <w:rPr>
                <w:rFonts w:ascii="Aptos" w:hAnsi="Aptos"/>
                <w:b w:val="0"/>
                <w:color w:val="263238"/>
                <w:sz w:val="15"/>
              </w:rPr>
              <w:t>Product images, videos and specifications</w:t>
            </w:r>
          </w:p>
        </w:tc>
        <w:tc>
          <w:tcPr>
            <w:tcW w:type="dxa" w:w="6120"/>
            <w:vAlign w:val="center"/>
            <w:shd w:fill="F1F7F4"/>
          </w:tcPr>
          <w:p>
            <w:pPr>
              <w:spacing w:after="20"/>
            </w:pPr>
            <w:r/>
            <w:r>
              <w:rPr>
                <w:rFonts w:ascii="Aptos" w:hAnsi="Aptos"/>
                <w:b w:val="0"/>
                <w:color w:val="263238"/>
                <w:sz w:val="15"/>
              </w:rPr>
              <w:t>Catalogue pages can present visual assets and product specifications to help buyers evaluate offerings.</w:t>
            </w:r>
          </w:p>
        </w:tc>
        <w:tc>
          <w:tcPr>
            <w:tcW w:type="dxa" w:w="1872"/>
            <w:vAlign w:val="center"/>
            <w:shd w:fill="F1F7F4"/>
          </w:tcPr>
          <w:p>
            <w:pPr>
              <w:spacing w:after="20"/>
            </w:pPr>
            <w:r/>
            <w:r>
              <w:rPr>
                <w:rFonts w:ascii="Aptos" w:hAnsi="Aptos"/>
                <w:b w:val="0"/>
                <w:color w:val="263238"/>
                <w:sz w:val="15"/>
              </w:rPr>
              <w:t>Buyers and suppliers</w:t>
            </w:r>
          </w:p>
        </w:tc>
      </w:tr>
      <w:tr>
        <w:tc>
          <w:tcPr>
            <w:tcW w:type="dxa" w:w="2304"/>
            <w:vAlign w:val="center"/>
          </w:tcPr>
          <w:p>
            <w:pPr>
              <w:spacing w:after="20"/>
            </w:pPr>
            <w:r/>
            <w:r>
              <w:rPr>
                <w:rFonts w:ascii="Aptos" w:hAnsi="Aptos"/>
                <w:b w:val="0"/>
                <w:color w:val="263238"/>
                <w:sz w:val="15"/>
              </w:rPr>
              <w:t>Buyer–supplier contact and communication</w:t>
            </w:r>
          </w:p>
        </w:tc>
        <w:tc>
          <w:tcPr>
            <w:tcW w:type="dxa" w:w="6120"/>
            <w:vAlign w:val="center"/>
          </w:tcPr>
          <w:p>
            <w:pPr>
              <w:spacing w:after="20"/>
            </w:pPr>
            <w:r/>
            <w:r>
              <w:rPr>
                <w:rFonts w:ascii="Aptos" w:hAnsi="Aptos"/>
                <w:b w:val="0"/>
                <w:color w:val="263238"/>
                <w:sz w:val="15"/>
              </w:rPr>
              <w:t>Enquiry-driven contact, replies/callbacks and buyer-supplier communication; exact channel availability may vary by workflow.</w:t>
            </w:r>
          </w:p>
        </w:tc>
        <w:tc>
          <w:tcPr>
            <w:tcW w:type="dxa" w:w="1872"/>
            <w:vAlign w:val="center"/>
          </w:tcPr>
          <w:p>
            <w:pPr>
              <w:spacing w:after="20"/>
            </w:pPr>
            <w:r/>
            <w:r>
              <w:rPr>
                <w:rFonts w:ascii="Aptos" w:hAnsi="Aptos"/>
                <w:b w:val="0"/>
                <w:color w:val="263238"/>
                <w:sz w:val="15"/>
              </w:rPr>
              <w:t>Buyers and suppliers</w:t>
            </w:r>
          </w:p>
        </w:tc>
      </w:tr>
      <w:tr>
        <w:tc>
          <w:tcPr>
            <w:tcW w:type="dxa" w:w="2304"/>
            <w:vAlign w:val="center"/>
            <w:shd w:fill="F1F7F4"/>
          </w:tcPr>
          <w:p>
            <w:pPr>
              <w:spacing w:after="20"/>
            </w:pPr>
            <w:r/>
            <w:r>
              <w:rPr>
                <w:rFonts w:ascii="Aptos" w:hAnsi="Aptos"/>
                <w:b w:val="0"/>
                <w:color w:val="263238"/>
                <w:sz w:val="15"/>
              </w:rPr>
              <w:t>Supplier performance / lead tools</w:t>
            </w:r>
          </w:p>
        </w:tc>
        <w:tc>
          <w:tcPr>
            <w:tcW w:type="dxa" w:w="6120"/>
            <w:vAlign w:val="center"/>
            <w:shd w:fill="F1F7F4"/>
          </w:tcPr>
          <w:p>
            <w:pPr>
              <w:spacing w:after="20"/>
            </w:pPr>
            <w:r/>
            <w:r>
              <w:rPr>
                <w:rFonts w:ascii="Aptos" w:hAnsi="Aptos"/>
                <w:b w:val="0"/>
                <w:color w:val="263238"/>
                <w:sz w:val="15"/>
              </w:rPr>
              <w:t>Seller-facing tools include lead and enquiry handling; the wider product positioning emphasizes business opportunities and matchmaking.</w:t>
            </w:r>
          </w:p>
        </w:tc>
        <w:tc>
          <w:tcPr>
            <w:tcW w:type="dxa" w:w="1872"/>
            <w:vAlign w:val="center"/>
            <w:shd w:fill="F1F7F4"/>
          </w:tcPr>
          <w:p>
            <w:pPr>
              <w:spacing w:after="20"/>
            </w:pPr>
            <w:r/>
            <w:r>
              <w:rPr>
                <w:rFonts w:ascii="Aptos" w:hAnsi="Aptos"/>
                <w:b w:val="0"/>
                <w:color w:val="263238"/>
                <w:sz w:val="15"/>
              </w:rPr>
              <w:t>Suppliers</w:t>
            </w:r>
          </w:p>
        </w:tc>
      </w:tr>
      <w:tr>
        <w:tc>
          <w:tcPr>
            <w:tcW w:type="dxa" w:w="2304"/>
            <w:vAlign w:val="center"/>
          </w:tcPr>
          <w:p>
            <w:pPr>
              <w:spacing w:after="20"/>
            </w:pPr>
            <w:r/>
            <w:r>
              <w:rPr>
                <w:rFonts w:ascii="Aptos" w:hAnsi="Aptos"/>
                <w:b w:val="0"/>
                <w:color w:val="263238"/>
                <w:sz w:val="15"/>
              </w:rPr>
              <w:t>Reviews and ratings</w:t>
            </w:r>
          </w:p>
        </w:tc>
        <w:tc>
          <w:tcPr>
            <w:tcW w:type="dxa" w:w="6120"/>
            <w:vAlign w:val="center"/>
          </w:tcPr>
          <w:p>
            <w:pPr>
              <w:spacing w:after="20"/>
            </w:pPr>
            <w:r/>
            <w:r>
              <w:rPr>
                <w:rFonts w:ascii="Aptos" w:hAnsi="Aptos"/>
                <w:b w:val="0"/>
                <w:color w:val="263238"/>
                <w:sz w:val="15"/>
              </w:rPr>
              <w:t>Public app/product materials and company reporting refer to reviews/ratings as part of the marketplace experience.</w:t>
            </w:r>
          </w:p>
        </w:tc>
        <w:tc>
          <w:tcPr>
            <w:tcW w:type="dxa" w:w="1872"/>
            <w:vAlign w:val="center"/>
          </w:tcPr>
          <w:p>
            <w:pPr>
              <w:spacing w:after="20"/>
            </w:pPr>
            <w:r/>
            <w:r>
              <w:rPr>
                <w:rFonts w:ascii="Aptos" w:hAnsi="Aptos"/>
                <w:b w:val="0"/>
                <w:color w:val="263238"/>
                <w:sz w:val="15"/>
              </w:rPr>
              <w:t>Buyers and suppliers</w:t>
            </w:r>
          </w:p>
        </w:tc>
      </w:tr>
      <w:tr>
        <w:tc>
          <w:tcPr>
            <w:tcW w:type="dxa" w:w="2304"/>
            <w:vAlign w:val="center"/>
            <w:shd w:fill="F1F7F4"/>
          </w:tcPr>
          <w:p>
            <w:pPr>
              <w:spacing w:after="20"/>
            </w:pPr>
            <w:r/>
            <w:r>
              <w:rPr>
                <w:rFonts w:ascii="Aptos" w:hAnsi="Aptos"/>
                <w:b w:val="0"/>
                <w:color w:val="263238"/>
                <w:sz w:val="15"/>
              </w:rPr>
              <w:t>Business enablement direction</w:t>
            </w:r>
          </w:p>
        </w:tc>
        <w:tc>
          <w:tcPr>
            <w:tcW w:type="dxa" w:w="6120"/>
            <w:vAlign w:val="center"/>
            <w:shd w:fill="F1F7F4"/>
          </w:tcPr>
          <w:p>
            <w:pPr>
              <w:spacing w:after="20"/>
            </w:pPr>
            <w:r/>
            <w:r>
              <w:rPr>
                <w:rFonts w:ascii="Aptos" w:hAnsi="Aptos"/>
                <w:b w:val="0"/>
                <w:color w:val="263238"/>
                <w:sz w:val="15"/>
              </w:rPr>
              <w:t>Company materials describe a broader move toward tools and services that help suppliers manage and grow their businesses. Exact products and availability should be confirmed from current official product pages.</w:t>
            </w:r>
          </w:p>
        </w:tc>
        <w:tc>
          <w:tcPr>
            <w:tcW w:type="dxa" w:w="1872"/>
            <w:vAlign w:val="center"/>
            <w:shd w:fill="F1F7F4"/>
          </w:tcPr>
          <w:p>
            <w:pPr>
              <w:spacing w:after="20"/>
            </w:pPr>
            <w:r/>
            <w:r>
              <w:rPr>
                <w:rFonts w:ascii="Aptos" w:hAnsi="Aptos"/>
                <w:b w:val="0"/>
                <w:color w:val="263238"/>
                <w:sz w:val="15"/>
              </w:rPr>
              <w:t>Suppliers</w:t>
            </w:r>
          </w:p>
        </w:tc>
      </w:tr>
    </w:tbl>
    <w:p>
      <w:pPr>
        <w:spacing w:after="20"/>
      </w:pPr>
    </w:p>
    <w:p>
      <w:r>
        <w:t>IndiaMART’s FY26 annual report describes its network as 230 million registered buyers, 8.7 million registered suppliers, 220,000 paying suppliers, 129 million product listings, 98,000 categories and 57 industries, with 114 million unique business enquiries during FY26. These metrics demonstrate scale; they do not prove that every enquiry is qualified or converts to a transaction.</w:t>
      </w:r>
    </w:p>
    <w:p>
      <w:pPr>
        <w:pStyle w:val="Heading1"/>
      </w:pPr>
      <w:r>
        <w:t>2. IndiaMART capabilities mapped to VendorVerse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vAlign w:val="center"/>
            <w:shd w:fill="1F6B4F"/>
          </w:tcPr>
          <w:p>
            <w:pPr>
              <w:spacing w:after="20"/>
            </w:pPr>
            <w:r/>
            <w:r>
              <w:rPr>
                <w:rFonts w:ascii="Aptos" w:hAnsi="Aptos"/>
                <w:b/>
                <w:color w:val="FFFFFF"/>
                <w:sz w:val="16"/>
              </w:rPr>
              <w:t>IndiaMART capability</w:t>
            </w:r>
          </w:p>
        </w:tc>
        <w:tc>
          <w:tcPr>
            <w:tcW w:type="dxa" w:w="7632"/>
            <w:vAlign w:val="center"/>
            <w:shd w:fill="1F6B4F"/>
          </w:tcPr>
          <w:p>
            <w:pPr>
              <w:spacing w:after="20"/>
            </w:pPr>
            <w:r/>
            <w:r>
              <w:rPr>
                <w:rFonts w:ascii="Aptos" w:hAnsi="Aptos"/>
                <w:b/>
                <w:color w:val="FFFFFF"/>
                <w:sz w:val="16"/>
              </w:rPr>
              <w:t>VendorVerse target</w:t>
            </w:r>
          </w:p>
        </w:tc>
      </w:tr>
      <w:tr>
        <w:tc>
          <w:tcPr>
            <w:tcW w:type="dxa" w:w="2592"/>
            <w:vAlign w:val="center"/>
          </w:tcPr>
          <w:p>
            <w:pPr>
              <w:spacing w:after="20"/>
            </w:pPr>
            <w:r/>
            <w:r>
              <w:rPr>
                <w:rFonts w:ascii="Aptos" w:hAnsi="Aptos"/>
                <w:b w:val="0"/>
                <w:color w:val="263238"/>
                <w:sz w:val="16"/>
              </w:rPr>
              <w:t>Product/category search</w:t>
            </w:r>
          </w:p>
        </w:tc>
        <w:tc>
          <w:tcPr>
            <w:tcW w:type="dxa" w:w="7632"/>
            <w:vAlign w:val="center"/>
          </w:tcPr>
          <w:p>
            <w:pPr>
              <w:spacing w:after="20"/>
            </w:pPr>
            <w:r/>
            <w:r>
              <w:rPr>
                <w:rFonts w:ascii="Aptos" w:hAnsi="Aptos"/>
                <w:b w:val="0"/>
                <w:color w:val="263238"/>
                <w:sz w:val="16"/>
              </w:rPr>
              <w:t>Global search across products, services, suppliers, industries, keywords and location; category-driven filters.</w:t>
            </w:r>
          </w:p>
        </w:tc>
      </w:tr>
      <w:tr>
        <w:tc>
          <w:tcPr>
            <w:tcW w:type="dxa" w:w="2592"/>
            <w:vAlign w:val="center"/>
            <w:shd w:fill="F1F7F4"/>
          </w:tcPr>
          <w:p>
            <w:pPr>
              <w:spacing w:after="20"/>
            </w:pPr>
            <w:r/>
            <w:r>
              <w:rPr>
                <w:rFonts w:ascii="Aptos" w:hAnsi="Aptos"/>
                <w:b w:val="0"/>
                <w:color w:val="263238"/>
                <w:sz w:val="16"/>
              </w:rPr>
              <w:t>Supplier storefronts</w:t>
            </w:r>
          </w:p>
        </w:tc>
        <w:tc>
          <w:tcPr>
            <w:tcW w:type="dxa" w:w="7632"/>
            <w:vAlign w:val="center"/>
            <w:shd w:fill="F1F7F4"/>
          </w:tcPr>
          <w:p>
            <w:pPr>
              <w:spacing w:after="20"/>
            </w:pPr>
            <w:r/>
            <w:r>
              <w:rPr>
                <w:rFonts w:ascii="Aptos" w:hAnsi="Aptos"/>
                <w:b w:val="0"/>
                <w:color w:val="263238"/>
                <w:sz w:val="16"/>
              </w:rPr>
              <w:t>Vendor profiles, catalogue, portfolio, business information, service/ship coverage and trust evidence.</w:t>
            </w:r>
          </w:p>
        </w:tc>
      </w:tr>
      <w:tr>
        <w:tc>
          <w:tcPr>
            <w:tcW w:type="dxa" w:w="2592"/>
            <w:vAlign w:val="center"/>
          </w:tcPr>
          <w:p>
            <w:pPr>
              <w:spacing w:after="20"/>
            </w:pPr>
            <w:r/>
            <w:r>
              <w:rPr>
                <w:rFonts w:ascii="Aptos" w:hAnsi="Aptos"/>
                <w:b w:val="0"/>
                <w:color w:val="263238"/>
                <w:sz w:val="16"/>
              </w:rPr>
              <w:t>Catalogue management</w:t>
            </w:r>
          </w:p>
        </w:tc>
        <w:tc>
          <w:tcPr>
            <w:tcW w:type="dxa" w:w="7632"/>
            <w:vAlign w:val="center"/>
          </w:tcPr>
          <w:p>
            <w:pPr>
              <w:spacing w:after="20"/>
            </w:pPr>
            <w:r/>
            <w:r>
              <w:rPr>
                <w:rFonts w:ascii="Aptos" w:hAnsi="Aptos"/>
                <w:b w:val="0"/>
                <w:color w:val="263238"/>
                <w:sz w:val="16"/>
              </w:rPr>
              <w:t>Structured attributes, datasheets, images, units, price tiers/MOQ and last-updated indicators.</w:t>
            </w:r>
          </w:p>
        </w:tc>
      </w:tr>
      <w:tr>
        <w:tc>
          <w:tcPr>
            <w:tcW w:type="dxa" w:w="2592"/>
            <w:vAlign w:val="center"/>
            <w:shd w:fill="F1F7F4"/>
          </w:tcPr>
          <w:p>
            <w:pPr>
              <w:spacing w:after="20"/>
            </w:pPr>
            <w:r/>
            <w:r>
              <w:rPr>
                <w:rFonts w:ascii="Aptos" w:hAnsi="Aptos"/>
                <w:b w:val="0"/>
                <w:color w:val="263238"/>
                <w:sz w:val="16"/>
              </w:rPr>
              <w:t>RFQ / BuyLead</w:t>
            </w:r>
          </w:p>
        </w:tc>
        <w:tc>
          <w:tcPr>
            <w:tcW w:type="dxa" w:w="7632"/>
            <w:vAlign w:val="center"/>
            <w:shd w:fill="F1F7F4"/>
          </w:tcPr>
          <w:p>
            <w:pPr>
              <w:spacing w:after="20"/>
            </w:pPr>
            <w:r/>
            <w:r>
              <w:rPr>
                <w:rFonts w:ascii="Aptos" w:hAnsi="Aptos"/>
                <w:b w:val="0"/>
                <w:color w:val="263238"/>
                <w:sz w:val="16"/>
              </w:rPr>
              <w:t>Structured RFQ lifecycle with supplier matching, deadlines, clarification chat, quote revision and status history.</w:t>
            </w:r>
          </w:p>
        </w:tc>
      </w:tr>
      <w:tr>
        <w:tc>
          <w:tcPr>
            <w:tcW w:type="dxa" w:w="2592"/>
            <w:vAlign w:val="center"/>
          </w:tcPr>
          <w:p>
            <w:pPr>
              <w:spacing w:after="20"/>
            </w:pPr>
            <w:r/>
            <w:r>
              <w:rPr>
                <w:rFonts w:ascii="Aptos" w:hAnsi="Aptos"/>
                <w:b w:val="0"/>
                <w:color w:val="263238"/>
                <w:sz w:val="16"/>
              </w:rPr>
              <w:t>Lead handling</w:t>
            </w:r>
          </w:p>
        </w:tc>
        <w:tc>
          <w:tcPr>
            <w:tcW w:type="dxa" w:w="7632"/>
            <w:vAlign w:val="center"/>
          </w:tcPr>
          <w:p>
            <w:pPr>
              <w:spacing w:after="20"/>
            </w:pPr>
            <w:r/>
            <w:r>
              <w:rPr>
                <w:rFonts w:ascii="Aptos" w:hAnsi="Aptos"/>
                <w:b w:val="0"/>
                <w:color w:val="263238"/>
                <w:sz w:val="16"/>
              </w:rPr>
              <w:t>Lead inbox with stages, response deadlines, reminders, duplicate detection, feedback and analytics.</w:t>
            </w:r>
          </w:p>
        </w:tc>
      </w:tr>
      <w:tr>
        <w:tc>
          <w:tcPr>
            <w:tcW w:type="dxa" w:w="2592"/>
            <w:vAlign w:val="center"/>
            <w:shd w:fill="F1F7F4"/>
          </w:tcPr>
          <w:p>
            <w:pPr>
              <w:spacing w:after="20"/>
            </w:pPr>
            <w:r/>
            <w:r>
              <w:rPr>
                <w:rFonts w:ascii="Aptos" w:hAnsi="Aptos"/>
                <w:b w:val="0"/>
                <w:color w:val="263238"/>
                <w:sz w:val="16"/>
              </w:rPr>
              <w:t>Paid subscription</w:t>
            </w:r>
          </w:p>
        </w:tc>
        <w:tc>
          <w:tcPr>
            <w:tcW w:type="dxa" w:w="7632"/>
            <w:vAlign w:val="center"/>
            <w:shd w:fill="F1F7F4"/>
          </w:tcPr>
          <w:p>
            <w:pPr>
              <w:spacing w:after="20"/>
            </w:pPr>
            <w:r/>
            <w:r>
              <w:rPr>
                <w:rFonts w:ascii="Aptos" w:hAnsi="Aptos"/>
                <w:b w:val="0"/>
                <w:color w:val="263238"/>
                <w:sz w:val="16"/>
              </w:rPr>
              <w:t>Clear plan comparison, entitlements, usage meter, renewal/expiry/cancellation policy and existing-record access.</w:t>
            </w:r>
          </w:p>
        </w:tc>
      </w:tr>
      <w:tr>
        <w:tc>
          <w:tcPr>
            <w:tcW w:type="dxa" w:w="2592"/>
            <w:vAlign w:val="center"/>
          </w:tcPr>
          <w:p>
            <w:pPr>
              <w:spacing w:after="20"/>
            </w:pPr>
            <w:r/>
            <w:r>
              <w:rPr>
                <w:rFonts w:ascii="Aptos" w:hAnsi="Aptos"/>
                <w:b w:val="0"/>
                <w:color w:val="263238"/>
                <w:sz w:val="16"/>
              </w:rPr>
              <w:t>AI matchmaking</w:t>
            </w:r>
          </w:p>
        </w:tc>
        <w:tc>
          <w:tcPr>
            <w:tcW w:type="dxa" w:w="7632"/>
            <w:vAlign w:val="center"/>
          </w:tcPr>
          <w:p>
            <w:pPr>
              <w:spacing w:after="20"/>
            </w:pPr>
            <w:r/>
            <w:r>
              <w:rPr>
                <w:rFonts w:ascii="Aptos" w:hAnsi="Aptos"/>
                <w:b w:val="0"/>
                <w:color w:val="263238"/>
                <w:sz w:val="16"/>
              </w:rPr>
              <w:t>Recommendations with transparent match factors; AI assistance only after core search and workflow quality is proven.</w:t>
            </w:r>
          </w:p>
        </w:tc>
      </w:tr>
      <w:tr>
        <w:tc>
          <w:tcPr>
            <w:tcW w:type="dxa" w:w="2592"/>
            <w:vAlign w:val="center"/>
            <w:shd w:fill="F1F7F4"/>
          </w:tcPr>
          <w:p>
            <w:pPr>
              <w:spacing w:after="20"/>
            </w:pPr>
            <w:r/>
            <w:r>
              <w:rPr>
                <w:rFonts w:ascii="Aptos" w:hAnsi="Aptos"/>
                <w:b w:val="0"/>
                <w:color w:val="263238"/>
                <w:sz w:val="16"/>
              </w:rPr>
              <w:t>Reviews / trust</w:t>
            </w:r>
          </w:p>
        </w:tc>
        <w:tc>
          <w:tcPr>
            <w:tcW w:type="dxa" w:w="7632"/>
            <w:vAlign w:val="center"/>
            <w:shd w:fill="F1F7F4"/>
          </w:tcPr>
          <w:p>
            <w:pPr>
              <w:spacing w:after="20"/>
            </w:pPr>
            <w:r/>
            <w:r>
              <w:rPr>
                <w:rFonts w:ascii="Aptos" w:hAnsi="Aptos"/>
                <w:b w:val="0"/>
                <w:color w:val="263238"/>
                <w:sz w:val="16"/>
              </w:rPr>
              <w:t>Eligible-transaction reviews; separate verification levels; badge evidence and expiry; reporting and appeals.</w:t>
            </w:r>
          </w:p>
        </w:tc>
      </w:tr>
      <w:tr>
        <w:tc>
          <w:tcPr>
            <w:tcW w:type="dxa" w:w="2592"/>
            <w:vAlign w:val="center"/>
          </w:tcPr>
          <w:p>
            <w:pPr>
              <w:spacing w:after="20"/>
            </w:pPr>
            <w:r/>
            <w:r>
              <w:rPr>
                <w:rFonts w:ascii="Aptos" w:hAnsi="Aptos"/>
                <w:b w:val="0"/>
                <w:color w:val="263238"/>
                <w:sz w:val="16"/>
              </w:rPr>
              <w:t>Supplier communication</w:t>
            </w:r>
          </w:p>
        </w:tc>
        <w:tc>
          <w:tcPr>
            <w:tcW w:type="dxa" w:w="7632"/>
            <w:vAlign w:val="center"/>
          </w:tcPr>
          <w:p>
            <w:pPr>
              <w:spacing w:after="20"/>
            </w:pPr>
            <w:r/>
            <w:r>
              <w:rPr>
                <w:rFonts w:ascii="Aptos" w:hAnsi="Aptos"/>
                <w:b w:val="0"/>
                <w:color w:val="263238"/>
                <w:sz w:val="16"/>
              </w:rPr>
              <w:t>Conversation records linked to enquiry/RFQ/booking/contract; consent-based contact disclosure.</w:t>
            </w:r>
          </w:p>
        </w:tc>
      </w:tr>
      <w:tr>
        <w:tc>
          <w:tcPr>
            <w:tcW w:type="dxa" w:w="2592"/>
            <w:vAlign w:val="center"/>
            <w:shd w:fill="F1F7F4"/>
          </w:tcPr>
          <w:p>
            <w:pPr>
              <w:spacing w:after="20"/>
            </w:pPr>
            <w:r/>
            <w:r>
              <w:rPr>
                <w:rFonts w:ascii="Aptos" w:hAnsi="Aptos"/>
                <w:b w:val="0"/>
                <w:color w:val="263238"/>
                <w:sz w:val="16"/>
              </w:rPr>
              <w:t>Service workflows</w:t>
            </w:r>
          </w:p>
        </w:tc>
        <w:tc>
          <w:tcPr>
            <w:tcW w:type="dxa" w:w="7632"/>
            <w:vAlign w:val="center"/>
            <w:shd w:fill="F1F7F4"/>
          </w:tcPr>
          <w:p>
            <w:pPr>
              <w:spacing w:after="20"/>
            </w:pPr>
            <w:r/>
            <w:r>
              <w:rPr>
                <w:rFonts w:ascii="Aptos" w:hAnsi="Aptos"/>
                <w:b w:val="0"/>
                <w:color w:val="263238"/>
                <w:sz w:val="16"/>
              </w:rPr>
              <w:t>Instant/scheduled/request-accept/quote/contract booking modes configured by category.</w:t>
            </w:r>
          </w:p>
        </w:tc>
      </w:tr>
      <w:tr>
        <w:tc>
          <w:tcPr>
            <w:tcW w:type="dxa" w:w="2592"/>
            <w:vAlign w:val="center"/>
          </w:tcPr>
          <w:p>
            <w:pPr>
              <w:spacing w:after="20"/>
            </w:pPr>
            <w:r/>
            <w:r>
              <w:rPr>
                <w:rFonts w:ascii="Aptos" w:hAnsi="Aptos"/>
                <w:b w:val="0"/>
                <w:color w:val="263238"/>
                <w:sz w:val="16"/>
              </w:rPr>
              <w:t>Procurement</w:t>
            </w:r>
          </w:p>
        </w:tc>
        <w:tc>
          <w:tcPr>
            <w:tcW w:type="dxa" w:w="7632"/>
            <w:vAlign w:val="center"/>
          </w:tcPr>
          <w:p>
            <w:pPr>
              <w:spacing w:after="20"/>
            </w:pPr>
            <w:r/>
            <w:r>
              <w:rPr>
                <w:rFonts w:ascii="Aptos" w:hAnsi="Aptos"/>
                <w:b w:val="0"/>
                <w:color w:val="263238"/>
                <w:sz w:val="16"/>
              </w:rPr>
              <w:t>Compare quotes, accept agreed terms, convert to a follow-on booking/work order/contract; vendor-to-vendor buying mode.</w:t>
            </w:r>
          </w:p>
        </w:tc>
      </w:tr>
      <w:tr>
        <w:tc>
          <w:tcPr>
            <w:tcW w:type="dxa" w:w="2592"/>
            <w:vAlign w:val="center"/>
            <w:shd w:fill="F1F7F4"/>
          </w:tcPr>
          <w:p>
            <w:pPr>
              <w:spacing w:after="20"/>
            </w:pPr>
            <w:r/>
            <w:r>
              <w:rPr>
                <w:rFonts w:ascii="Aptos" w:hAnsi="Aptos"/>
                <w:b w:val="0"/>
                <w:color w:val="263238"/>
                <w:sz w:val="16"/>
              </w:rPr>
              <w:t>Global readiness</w:t>
            </w:r>
          </w:p>
        </w:tc>
        <w:tc>
          <w:tcPr>
            <w:tcW w:type="dxa" w:w="7632"/>
            <w:vAlign w:val="center"/>
            <w:shd w:fill="F1F7F4"/>
          </w:tcPr>
          <w:p>
            <w:pPr>
              <w:spacing w:after="20"/>
            </w:pPr>
            <w:r/>
            <w:r>
              <w:rPr>
                <w:rFonts w:ascii="Aptos" w:hAnsi="Aptos"/>
                <w:b w:val="0"/>
                <w:color w:val="263238"/>
                <w:sz w:val="16"/>
              </w:rPr>
              <w:t>Country and market configuration, currencies, languages, units, time zones, tax fields and verification rules.</w:t>
            </w:r>
          </w:p>
        </w:tc>
      </w:tr>
      <w:tr>
        <w:tc>
          <w:tcPr>
            <w:tcW w:type="dxa" w:w="2592"/>
            <w:vAlign w:val="center"/>
          </w:tcPr>
          <w:p>
            <w:pPr>
              <w:spacing w:after="20"/>
            </w:pPr>
            <w:r/>
            <w:r>
              <w:rPr>
                <w:rFonts w:ascii="Aptos" w:hAnsi="Aptos"/>
                <w:b w:val="0"/>
                <w:color w:val="263238"/>
                <w:sz w:val="16"/>
              </w:rPr>
              <w:t>Analytics</w:t>
            </w:r>
          </w:p>
        </w:tc>
        <w:tc>
          <w:tcPr>
            <w:tcW w:type="dxa" w:w="7632"/>
            <w:vAlign w:val="center"/>
          </w:tcPr>
          <w:p>
            <w:pPr>
              <w:spacing w:after="20"/>
            </w:pPr>
            <w:r/>
            <w:r>
              <w:rPr>
                <w:rFonts w:ascii="Aptos" w:hAnsi="Aptos"/>
                <w:b w:val="0"/>
                <w:color w:val="263238"/>
                <w:sz w:val="16"/>
              </w:rPr>
              <w:t>Funnel metrics from views to enquiries, qualified leads, quotes, accepted quotes and completion.</w:t>
            </w:r>
          </w:p>
        </w:tc>
      </w:tr>
      <w:tr>
        <w:tc>
          <w:tcPr>
            <w:tcW w:type="dxa" w:w="2592"/>
            <w:vAlign w:val="center"/>
            <w:shd w:fill="F1F7F4"/>
          </w:tcPr>
          <w:p>
            <w:pPr>
              <w:spacing w:after="20"/>
            </w:pPr>
            <w:r/>
            <w:r>
              <w:rPr>
                <w:rFonts w:ascii="Aptos" w:hAnsi="Aptos"/>
                <w:b w:val="0"/>
                <w:color w:val="263238"/>
                <w:sz w:val="16"/>
              </w:rPr>
              <w:t>Governance</w:t>
            </w:r>
          </w:p>
        </w:tc>
        <w:tc>
          <w:tcPr>
            <w:tcW w:type="dxa" w:w="7632"/>
            <w:vAlign w:val="center"/>
            <w:shd w:fill="F1F7F4"/>
          </w:tcPr>
          <w:p>
            <w:pPr>
              <w:spacing w:after="20"/>
            </w:pPr>
            <w:r/>
            <w:r>
              <w:rPr>
                <w:rFonts w:ascii="Aptos" w:hAnsi="Aptos"/>
                <w:b w:val="0"/>
                <w:color w:val="263238"/>
                <w:sz w:val="16"/>
              </w:rPr>
              <w:t>Server-side RBAC, publication gates, dual approval for high-impact actions and append-only audit logs.</w:t>
            </w:r>
          </w:p>
        </w:tc>
      </w:tr>
    </w:tbl>
    <w:p>
      <w:pPr>
        <w:spacing w:after="20"/>
      </w:pPr>
    </w:p>
    <w:p>
      <w:pPr>
        <w:pStyle w:val="Heading1"/>
      </w:pPr>
      <w:r>
        <w:t>3. Limitations and VendorVerse responses</w:t>
      </w:r>
    </w:p>
    <w:p>
      <w:r>
        <w:t>This section distinguishes user-reported concerns and product opportunities from confirmed platform deficiencies. Do not use the following as competitive marketing claims without validating the current IndiaMART product and plan terms.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648"/>
            <w:vAlign w:val="center"/>
            <w:shd w:fill="1F6B4F"/>
          </w:tcPr>
          <w:p>
            <w:pPr>
              <w:spacing w:after="20"/>
            </w:pPr>
            <w:r/>
            <w:r>
              <w:rPr>
                <w:rFonts w:ascii="Aptos" w:hAnsi="Aptos"/>
                <w:b/>
                <w:color w:val="FFFFFF"/>
                <w:sz w:val="14"/>
              </w:rPr>
              <w:t>ID</w:t>
            </w:r>
          </w:p>
        </w:tc>
        <w:tc>
          <w:tcPr>
            <w:tcW w:type="dxa" w:w="3816"/>
            <w:vAlign w:val="center"/>
            <w:shd w:fill="1F6B4F"/>
          </w:tcPr>
          <w:p>
            <w:pPr>
              <w:spacing w:after="20"/>
            </w:pPr>
            <w:r/>
            <w:r>
              <w:rPr>
                <w:rFonts w:ascii="Aptos" w:hAnsi="Aptos"/>
                <w:b/>
                <w:color w:val="FFFFFF"/>
                <w:sz w:val="14"/>
              </w:rPr>
              <w:t>Observed concern / opportunity</w:t>
            </w:r>
          </w:p>
        </w:tc>
        <w:tc>
          <w:tcPr>
            <w:tcW w:type="dxa" w:w="5760"/>
            <w:vAlign w:val="center"/>
            <w:shd w:fill="1F6B4F"/>
          </w:tcPr>
          <w:p>
            <w:pPr>
              <w:spacing w:after="20"/>
            </w:pPr>
            <w:r/>
            <w:r>
              <w:rPr>
                <w:rFonts w:ascii="Aptos" w:hAnsi="Aptos"/>
                <w:b/>
                <w:color w:val="FFFFFF"/>
                <w:sz w:val="14"/>
              </w:rPr>
              <w:t>VendorVerse response</w:t>
            </w:r>
          </w:p>
        </w:tc>
      </w:tr>
      <w:tr>
        <w:tc>
          <w:tcPr>
            <w:tcW w:type="dxa" w:w="648"/>
            <w:vAlign w:val="center"/>
          </w:tcPr>
          <w:p>
            <w:pPr>
              <w:spacing w:after="20"/>
            </w:pPr>
            <w:r/>
            <w:r>
              <w:rPr>
                <w:rFonts w:ascii="Aptos" w:hAnsi="Aptos"/>
                <w:b w:val="0"/>
                <w:color w:val="263238"/>
                <w:sz w:val="14"/>
              </w:rPr>
              <w:t>L1</w:t>
            </w:r>
          </w:p>
        </w:tc>
        <w:tc>
          <w:tcPr>
            <w:tcW w:type="dxa" w:w="3816"/>
            <w:vAlign w:val="center"/>
          </w:tcPr>
          <w:p>
            <w:pPr>
              <w:spacing w:after="20"/>
            </w:pPr>
            <w:r/>
            <w:r>
              <w:rPr>
                <w:rFonts w:ascii="Aptos" w:hAnsi="Aptos"/>
                <w:b w:val="0"/>
                <w:color w:val="263238"/>
                <w:sz w:val="14"/>
              </w:rPr>
              <w:t>Lead intent and relevance can vary; some suppliers publicly report irrelevant or non-converting enquiries.</w:t>
            </w:r>
          </w:p>
        </w:tc>
        <w:tc>
          <w:tcPr>
            <w:tcW w:type="dxa" w:w="5760"/>
            <w:vAlign w:val="center"/>
          </w:tcPr>
          <w:p>
            <w:pPr>
              <w:spacing w:after="20"/>
            </w:pPr>
            <w:r/>
            <w:r>
              <w:rPr>
                <w:rFonts w:ascii="Aptos" w:hAnsi="Aptos"/>
                <w:b w:val="0"/>
                <w:color w:val="263238"/>
                <w:sz w:val="14"/>
              </w:rPr>
              <w:t>Structured RFQs with required fields, buyer-intent confirmation, duplicate/spam controls, feedback on lead quality, and transparent lead status. Never promise a lead will convert.</w:t>
            </w:r>
          </w:p>
        </w:tc>
      </w:tr>
      <w:tr>
        <w:tc>
          <w:tcPr>
            <w:tcW w:type="dxa" w:w="648"/>
            <w:vAlign w:val="center"/>
            <w:shd w:fill="F1F7F4"/>
          </w:tcPr>
          <w:p>
            <w:pPr>
              <w:spacing w:after="20"/>
            </w:pPr>
            <w:r/>
            <w:r>
              <w:rPr>
                <w:rFonts w:ascii="Aptos" w:hAnsi="Aptos"/>
                <w:b w:val="0"/>
                <w:color w:val="263238"/>
                <w:sz w:val="14"/>
              </w:rPr>
              <w:t>L2</w:t>
            </w:r>
          </w:p>
        </w:tc>
        <w:tc>
          <w:tcPr>
            <w:tcW w:type="dxa" w:w="3816"/>
            <w:vAlign w:val="center"/>
            <w:shd w:fill="F1F7F4"/>
          </w:tcPr>
          <w:p>
            <w:pPr>
              <w:spacing w:after="20"/>
            </w:pPr>
            <w:r/>
            <w:r>
              <w:rPr>
                <w:rFonts w:ascii="Aptos" w:hAnsi="Aptos"/>
                <w:b w:val="0"/>
                <w:color w:val="263238"/>
                <w:sz w:val="14"/>
              </w:rPr>
              <w:t>Supplier subscriptions and paid visibility can create uncertainty about expected value for some businesses.</w:t>
            </w:r>
          </w:p>
        </w:tc>
        <w:tc>
          <w:tcPr>
            <w:tcW w:type="dxa" w:w="5760"/>
            <w:vAlign w:val="center"/>
            <w:shd w:fill="F1F7F4"/>
          </w:tcPr>
          <w:p>
            <w:pPr>
              <w:spacing w:after="20"/>
            </w:pPr>
            <w:r/>
            <w:r>
              <w:rPr>
                <w:rFonts w:ascii="Aptos" w:hAnsi="Aptos"/>
                <w:b w:val="0"/>
                <w:color w:val="263238"/>
                <w:sz w:val="14"/>
              </w:rPr>
              <w:t>Publish plan benefits, limits, eligibility, renewal terms and cancellation rules; provide usage and outcome analytics without guaranteeing sales.</w:t>
            </w:r>
          </w:p>
        </w:tc>
      </w:tr>
      <w:tr>
        <w:tc>
          <w:tcPr>
            <w:tcW w:type="dxa" w:w="648"/>
            <w:vAlign w:val="center"/>
          </w:tcPr>
          <w:p>
            <w:pPr>
              <w:spacing w:after="20"/>
            </w:pPr>
            <w:r/>
            <w:r>
              <w:rPr>
                <w:rFonts w:ascii="Aptos" w:hAnsi="Aptos"/>
                <w:b w:val="0"/>
                <w:color w:val="263238"/>
                <w:sz w:val="14"/>
              </w:rPr>
              <w:t>L3</w:t>
            </w:r>
          </w:p>
        </w:tc>
        <w:tc>
          <w:tcPr>
            <w:tcW w:type="dxa" w:w="3816"/>
            <w:vAlign w:val="center"/>
          </w:tcPr>
          <w:p>
            <w:pPr>
              <w:spacing w:after="20"/>
            </w:pPr>
            <w:r/>
            <w:r>
              <w:rPr>
                <w:rFonts w:ascii="Aptos" w:hAnsi="Aptos"/>
                <w:b w:val="0"/>
                <w:color w:val="263238"/>
                <w:sz w:val="14"/>
              </w:rPr>
              <w:t>A discovery/enquiry marketplace does not by itself guarantee an end-to-end transaction workflow for every category.</w:t>
            </w:r>
          </w:p>
        </w:tc>
        <w:tc>
          <w:tcPr>
            <w:tcW w:type="dxa" w:w="5760"/>
            <w:vAlign w:val="center"/>
          </w:tcPr>
          <w:p>
            <w:pPr>
              <w:spacing w:after="20"/>
            </w:pPr>
            <w:r/>
            <w:r>
              <w:rPr>
                <w:rFonts w:ascii="Aptos" w:hAnsi="Aptos"/>
                <w:b w:val="0"/>
                <w:color w:val="263238"/>
                <w:sz w:val="14"/>
              </w:rPr>
              <w:t>Add explicit booking, RFQ, quotation, acceptance, project, completion and issue states where relevant.</w:t>
            </w:r>
          </w:p>
        </w:tc>
      </w:tr>
      <w:tr>
        <w:tc>
          <w:tcPr>
            <w:tcW w:type="dxa" w:w="648"/>
            <w:vAlign w:val="center"/>
            <w:shd w:fill="F1F7F4"/>
          </w:tcPr>
          <w:p>
            <w:pPr>
              <w:spacing w:after="20"/>
            </w:pPr>
            <w:r/>
            <w:r>
              <w:rPr>
                <w:rFonts w:ascii="Aptos" w:hAnsi="Aptos"/>
                <w:b w:val="0"/>
                <w:color w:val="263238"/>
                <w:sz w:val="14"/>
              </w:rPr>
              <w:t>L4</w:t>
            </w:r>
          </w:p>
        </w:tc>
        <w:tc>
          <w:tcPr>
            <w:tcW w:type="dxa" w:w="3816"/>
            <w:vAlign w:val="center"/>
            <w:shd w:fill="F1F7F4"/>
          </w:tcPr>
          <w:p>
            <w:pPr>
              <w:spacing w:after="20"/>
            </w:pPr>
            <w:r/>
            <w:r>
              <w:rPr>
                <w:rFonts w:ascii="Aptos" w:hAnsi="Aptos"/>
                <w:b w:val="0"/>
                <w:color w:val="263238"/>
                <w:sz w:val="14"/>
              </w:rPr>
              <w:t>Buyer contact information can be exposed through enquiry-led workflows; users may experience unwanted follow-up.</w:t>
            </w:r>
          </w:p>
        </w:tc>
        <w:tc>
          <w:tcPr>
            <w:tcW w:type="dxa" w:w="5760"/>
            <w:vAlign w:val="center"/>
            <w:shd w:fill="F1F7F4"/>
          </w:tcPr>
          <w:p>
            <w:pPr>
              <w:spacing w:after="20"/>
            </w:pPr>
            <w:r/>
            <w:r>
              <w:rPr>
                <w:rFonts w:ascii="Aptos" w:hAnsi="Aptos"/>
                <w:b w:val="0"/>
                <w:color w:val="263238"/>
                <w:sz w:val="14"/>
              </w:rPr>
              <w:t>Consent-based contact sharing, in-app messaging first, privacy controls, blocking/reporting and clear contact preferences.</w:t>
            </w:r>
          </w:p>
        </w:tc>
      </w:tr>
      <w:tr>
        <w:tc>
          <w:tcPr>
            <w:tcW w:type="dxa" w:w="648"/>
            <w:vAlign w:val="center"/>
          </w:tcPr>
          <w:p>
            <w:pPr>
              <w:spacing w:after="20"/>
            </w:pPr>
            <w:r/>
            <w:r>
              <w:rPr>
                <w:rFonts w:ascii="Aptos" w:hAnsi="Aptos"/>
                <w:b w:val="0"/>
                <w:color w:val="263238"/>
                <w:sz w:val="14"/>
              </w:rPr>
              <w:t>L5</w:t>
            </w:r>
          </w:p>
        </w:tc>
        <w:tc>
          <w:tcPr>
            <w:tcW w:type="dxa" w:w="3816"/>
            <w:vAlign w:val="center"/>
          </w:tcPr>
          <w:p>
            <w:pPr>
              <w:spacing w:after="20"/>
            </w:pPr>
            <w:r/>
            <w:r>
              <w:rPr>
                <w:rFonts w:ascii="Aptos" w:hAnsi="Aptos"/>
                <w:b w:val="0"/>
                <w:color w:val="263238"/>
                <w:sz w:val="14"/>
              </w:rPr>
              <w:t>Product details and prices may be incomplete or supplied by individual sellers.</w:t>
            </w:r>
          </w:p>
        </w:tc>
        <w:tc>
          <w:tcPr>
            <w:tcW w:type="dxa" w:w="5760"/>
            <w:vAlign w:val="center"/>
          </w:tcPr>
          <w:p>
            <w:pPr>
              <w:spacing w:after="20"/>
            </w:pPr>
            <w:r/>
            <w:r>
              <w:rPr>
                <w:rFonts w:ascii="Aptos" w:hAnsi="Aptos"/>
                <w:b w:val="0"/>
                <w:color w:val="263238"/>
                <w:sz w:val="14"/>
              </w:rPr>
              <w:t>Structured product fields, price basis, MOQ, unit, availability, last-updated date and honest 'not provided' labels.</w:t>
            </w:r>
          </w:p>
        </w:tc>
      </w:tr>
      <w:tr>
        <w:tc>
          <w:tcPr>
            <w:tcW w:type="dxa" w:w="648"/>
            <w:vAlign w:val="center"/>
            <w:shd w:fill="F1F7F4"/>
          </w:tcPr>
          <w:p>
            <w:pPr>
              <w:spacing w:after="20"/>
            </w:pPr>
            <w:r/>
            <w:r>
              <w:rPr>
                <w:rFonts w:ascii="Aptos" w:hAnsi="Aptos"/>
                <w:b w:val="0"/>
                <w:color w:val="263238"/>
                <w:sz w:val="14"/>
              </w:rPr>
              <w:t>L6</w:t>
            </w:r>
          </w:p>
        </w:tc>
        <w:tc>
          <w:tcPr>
            <w:tcW w:type="dxa" w:w="3816"/>
            <w:vAlign w:val="center"/>
            <w:shd w:fill="F1F7F4"/>
          </w:tcPr>
          <w:p>
            <w:pPr>
              <w:spacing w:after="20"/>
            </w:pPr>
            <w:r/>
            <w:r>
              <w:rPr>
                <w:rFonts w:ascii="Aptos" w:hAnsi="Aptos"/>
                <w:b w:val="0"/>
                <w:color w:val="263238"/>
                <w:sz w:val="14"/>
              </w:rPr>
              <w:t>Trust signals do not necessarily establish the quality of every product or fulfilment outcome.</w:t>
            </w:r>
          </w:p>
        </w:tc>
        <w:tc>
          <w:tcPr>
            <w:tcW w:type="dxa" w:w="5760"/>
            <w:vAlign w:val="center"/>
            <w:shd w:fill="F1F7F4"/>
          </w:tcPr>
          <w:p>
            <w:pPr>
              <w:spacing w:after="20"/>
            </w:pPr>
            <w:r/>
            <w:r>
              <w:rPr>
                <w:rFonts w:ascii="Aptos" w:hAnsi="Aptos"/>
                <w:b w:val="0"/>
                <w:color w:val="263238"/>
                <w:sz w:val="14"/>
              </w:rPr>
              <w:t>Separate identity/business/certification verification from reviews and transaction history; show what was checked and when.</w:t>
            </w:r>
          </w:p>
        </w:tc>
      </w:tr>
      <w:tr>
        <w:tc>
          <w:tcPr>
            <w:tcW w:type="dxa" w:w="648"/>
            <w:vAlign w:val="center"/>
          </w:tcPr>
          <w:p>
            <w:pPr>
              <w:spacing w:after="20"/>
            </w:pPr>
            <w:r/>
            <w:r>
              <w:rPr>
                <w:rFonts w:ascii="Aptos" w:hAnsi="Aptos"/>
                <w:b w:val="0"/>
                <w:color w:val="263238"/>
                <w:sz w:val="14"/>
              </w:rPr>
              <w:t>L7</w:t>
            </w:r>
          </w:p>
        </w:tc>
        <w:tc>
          <w:tcPr>
            <w:tcW w:type="dxa" w:w="3816"/>
            <w:vAlign w:val="center"/>
          </w:tcPr>
          <w:p>
            <w:pPr>
              <w:spacing w:after="20"/>
            </w:pPr>
            <w:r/>
            <w:r>
              <w:rPr>
                <w:rFonts w:ascii="Aptos" w:hAnsi="Aptos"/>
                <w:b w:val="0"/>
                <w:color w:val="263238"/>
                <w:sz w:val="14"/>
              </w:rPr>
              <w:t>Large catalogues can contain duplicates, stale information or inconsistent attributes—an inherent scale-management risk.</w:t>
            </w:r>
          </w:p>
        </w:tc>
        <w:tc>
          <w:tcPr>
            <w:tcW w:type="dxa" w:w="5760"/>
            <w:vAlign w:val="center"/>
          </w:tcPr>
          <w:p>
            <w:pPr>
              <w:spacing w:after="20"/>
            </w:pPr>
            <w:r/>
            <w:r>
              <w:rPr>
                <w:rFonts w:ascii="Aptos" w:hAnsi="Aptos"/>
                <w:b w:val="0"/>
                <w:color w:val="263238"/>
                <w:sz w:val="14"/>
              </w:rPr>
              <w:t>Duplicate detection, stale-listing prompts, versioned categories, vendor update reminders and review queues.</w:t>
            </w:r>
          </w:p>
        </w:tc>
      </w:tr>
      <w:tr>
        <w:tc>
          <w:tcPr>
            <w:tcW w:type="dxa" w:w="648"/>
            <w:vAlign w:val="center"/>
            <w:shd w:fill="F1F7F4"/>
          </w:tcPr>
          <w:p>
            <w:pPr>
              <w:spacing w:after="20"/>
            </w:pPr>
            <w:r/>
            <w:r>
              <w:rPr>
                <w:rFonts w:ascii="Aptos" w:hAnsi="Aptos"/>
                <w:b w:val="0"/>
                <w:color w:val="263238"/>
                <w:sz w:val="14"/>
              </w:rPr>
              <w:t>L8</w:t>
            </w:r>
          </w:p>
        </w:tc>
        <w:tc>
          <w:tcPr>
            <w:tcW w:type="dxa" w:w="3816"/>
            <w:vAlign w:val="center"/>
            <w:shd w:fill="F1F7F4"/>
          </w:tcPr>
          <w:p>
            <w:pPr>
              <w:spacing w:after="20"/>
            </w:pPr>
            <w:r/>
            <w:r>
              <w:rPr>
                <w:rFonts w:ascii="Aptos" w:hAnsi="Aptos"/>
                <w:b w:val="0"/>
                <w:color w:val="263238"/>
                <w:sz w:val="14"/>
              </w:rPr>
              <w:t>Public documentation does not establish a universal, structured contract and milestone workflow for every transaction.</w:t>
            </w:r>
          </w:p>
        </w:tc>
        <w:tc>
          <w:tcPr>
            <w:tcW w:type="dxa" w:w="5760"/>
            <w:vAlign w:val="center"/>
            <w:shd w:fill="F1F7F4"/>
          </w:tcPr>
          <w:p>
            <w:pPr>
              <w:spacing w:after="20"/>
            </w:pPr>
            <w:r/>
            <w:r>
              <w:rPr>
                <w:rFonts w:ascii="Aptos" w:hAnsi="Aptos"/>
                <w:b w:val="0"/>
                <w:color w:val="263238"/>
                <w:sz w:val="14"/>
              </w:rPr>
              <w:t>Versioned quotes and contract rooms, milestones, amendments, acceptance timestamps and preserved agreed terms.</w:t>
            </w:r>
          </w:p>
        </w:tc>
      </w:tr>
      <w:tr>
        <w:tc>
          <w:tcPr>
            <w:tcW w:type="dxa" w:w="648"/>
            <w:vAlign w:val="center"/>
          </w:tcPr>
          <w:p>
            <w:pPr>
              <w:spacing w:after="20"/>
            </w:pPr>
            <w:r/>
            <w:r>
              <w:rPr>
                <w:rFonts w:ascii="Aptos" w:hAnsi="Aptos"/>
                <w:b w:val="0"/>
                <w:color w:val="263238"/>
                <w:sz w:val="14"/>
              </w:rPr>
              <w:t>L9</w:t>
            </w:r>
          </w:p>
        </w:tc>
        <w:tc>
          <w:tcPr>
            <w:tcW w:type="dxa" w:w="3816"/>
            <w:vAlign w:val="center"/>
          </w:tcPr>
          <w:p>
            <w:pPr>
              <w:spacing w:after="20"/>
            </w:pPr>
            <w:r/>
            <w:r>
              <w:rPr>
                <w:rFonts w:ascii="Aptos" w:hAnsi="Aptos"/>
                <w:b w:val="0"/>
                <w:color w:val="263238"/>
                <w:sz w:val="14"/>
              </w:rPr>
              <w:t>Multi-supplier project coordination is not established as a universal core workflow in the public materials reviewed.</w:t>
            </w:r>
          </w:p>
        </w:tc>
        <w:tc>
          <w:tcPr>
            <w:tcW w:type="dxa" w:w="5760"/>
            <w:vAlign w:val="center"/>
          </w:tcPr>
          <w:p>
            <w:pPr>
              <w:spacing w:after="20"/>
            </w:pPr>
            <w:r/>
            <w:r>
              <w:rPr>
                <w:rFonts w:ascii="Aptos" w:hAnsi="Aptos"/>
                <w:b w:val="0"/>
                <w:color w:val="263238"/>
                <w:sz w:val="14"/>
              </w:rPr>
              <w:t>A project board grouping multiple vendor requests, tasks, milestones, dependencies and issue tracking.</w:t>
            </w:r>
          </w:p>
        </w:tc>
      </w:tr>
      <w:tr>
        <w:tc>
          <w:tcPr>
            <w:tcW w:type="dxa" w:w="648"/>
            <w:vAlign w:val="center"/>
            <w:shd w:fill="F1F7F4"/>
          </w:tcPr>
          <w:p>
            <w:pPr>
              <w:spacing w:after="20"/>
            </w:pPr>
            <w:r/>
            <w:r>
              <w:rPr>
                <w:rFonts w:ascii="Aptos" w:hAnsi="Aptos"/>
                <w:b w:val="0"/>
                <w:color w:val="263238"/>
                <w:sz w:val="14"/>
              </w:rPr>
              <w:t>L10</w:t>
            </w:r>
          </w:p>
        </w:tc>
        <w:tc>
          <w:tcPr>
            <w:tcW w:type="dxa" w:w="3816"/>
            <w:vAlign w:val="center"/>
            <w:shd w:fill="F1F7F4"/>
          </w:tcPr>
          <w:p>
            <w:pPr>
              <w:spacing w:after="20"/>
            </w:pPr>
            <w:r/>
            <w:r>
              <w:rPr>
                <w:rFonts w:ascii="Aptos" w:hAnsi="Aptos"/>
                <w:b w:val="0"/>
                <w:color w:val="263238"/>
                <w:sz w:val="14"/>
              </w:rPr>
              <w:t>Publicly available evidence does not prove identical workflows across every category, country and platform.</w:t>
            </w:r>
          </w:p>
        </w:tc>
        <w:tc>
          <w:tcPr>
            <w:tcW w:type="dxa" w:w="5760"/>
            <w:vAlign w:val="center"/>
            <w:shd w:fill="F1F7F4"/>
          </w:tcPr>
          <w:p>
            <w:pPr>
              <w:spacing w:after="20"/>
            </w:pPr>
            <w:r/>
            <w:r>
              <w:rPr>
                <w:rFonts w:ascii="Aptos" w:hAnsi="Aptos"/>
                <w:b w:val="0"/>
                <w:color w:val="263238"/>
                <w:sz w:val="14"/>
              </w:rPr>
              <w:t>One API/business-rule layer for web and mobile; category-specific workflow configuration and cross-platform parity tests.</w:t>
            </w:r>
          </w:p>
        </w:tc>
      </w:tr>
      <w:tr>
        <w:tc>
          <w:tcPr>
            <w:tcW w:type="dxa" w:w="648"/>
            <w:vAlign w:val="center"/>
          </w:tcPr>
          <w:p>
            <w:pPr>
              <w:spacing w:after="20"/>
            </w:pPr>
            <w:r/>
            <w:r>
              <w:rPr>
                <w:rFonts w:ascii="Aptos" w:hAnsi="Aptos"/>
                <w:b w:val="0"/>
                <w:color w:val="263238"/>
                <w:sz w:val="14"/>
              </w:rPr>
              <w:t>L11</w:t>
            </w:r>
          </w:p>
        </w:tc>
        <w:tc>
          <w:tcPr>
            <w:tcW w:type="dxa" w:w="3816"/>
            <w:vAlign w:val="center"/>
          </w:tcPr>
          <w:p>
            <w:pPr>
              <w:spacing w:after="20"/>
            </w:pPr>
            <w:r/>
            <w:r>
              <w:rPr>
                <w:rFonts w:ascii="Aptos" w:hAnsi="Aptos"/>
                <w:b w:val="0"/>
                <w:color w:val="263238"/>
                <w:sz w:val="14"/>
              </w:rPr>
              <w:t>International expansion introduces currency, tax, language, regulatory and trade-term complexity.</w:t>
            </w:r>
          </w:p>
        </w:tc>
        <w:tc>
          <w:tcPr>
            <w:tcW w:type="dxa" w:w="5760"/>
            <w:vAlign w:val="center"/>
          </w:tcPr>
          <w:p>
            <w:pPr>
              <w:spacing w:after="20"/>
            </w:pPr>
            <w:r/>
            <w:r>
              <w:rPr>
                <w:rFonts w:ascii="Aptos" w:hAnsi="Aptos"/>
                <w:b w:val="0"/>
                <w:color w:val="263238"/>
                <w:sz w:val="14"/>
              </w:rPr>
              <w:t>Configuration-driven country/market activation, localised categories, currencies, units, time zones, tax fields and country-specific verification.</w:t>
            </w:r>
          </w:p>
        </w:tc>
      </w:tr>
      <w:tr>
        <w:tc>
          <w:tcPr>
            <w:tcW w:type="dxa" w:w="648"/>
            <w:vAlign w:val="center"/>
            <w:shd w:fill="F1F7F4"/>
          </w:tcPr>
          <w:p>
            <w:pPr>
              <w:spacing w:after="20"/>
            </w:pPr>
            <w:r/>
            <w:r>
              <w:rPr>
                <w:rFonts w:ascii="Aptos" w:hAnsi="Aptos"/>
                <w:b w:val="0"/>
                <w:color w:val="263238"/>
                <w:sz w:val="14"/>
              </w:rPr>
              <w:t>L12</w:t>
            </w:r>
          </w:p>
        </w:tc>
        <w:tc>
          <w:tcPr>
            <w:tcW w:type="dxa" w:w="3816"/>
            <w:vAlign w:val="center"/>
            <w:shd w:fill="F1F7F4"/>
          </w:tcPr>
          <w:p>
            <w:pPr>
              <w:spacing w:after="20"/>
            </w:pPr>
            <w:r/>
            <w:r>
              <w:rPr>
                <w:rFonts w:ascii="Aptos" w:hAnsi="Aptos"/>
                <w:b w:val="0"/>
                <w:color w:val="263238"/>
                <w:sz w:val="14"/>
              </w:rPr>
              <w:t>Buyer/supplier review and moderation rules may not answer every trust or dispute scenario.</w:t>
            </w:r>
          </w:p>
        </w:tc>
        <w:tc>
          <w:tcPr>
            <w:tcW w:type="dxa" w:w="5760"/>
            <w:vAlign w:val="center"/>
            <w:shd w:fill="F1F7F4"/>
          </w:tcPr>
          <w:p>
            <w:pPr>
              <w:spacing w:after="20"/>
            </w:pPr>
            <w:r/>
            <w:r>
              <w:rPr>
                <w:rFonts w:ascii="Aptos" w:hAnsi="Aptos"/>
                <w:b w:val="0"/>
                <w:color w:val="263238"/>
                <w:sz w:val="14"/>
              </w:rPr>
              <w:t>Transaction-eligible reviews, evidence-backed reports, moderation queues, appeals and proportionate enforcement.</w:t>
            </w:r>
          </w:p>
        </w:tc>
      </w:tr>
      <w:tr>
        <w:tc>
          <w:tcPr>
            <w:tcW w:type="dxa" w:w="648"/>
            <w:vAlign w:val="center"/>
          </w:tcPr>
          <w:p>
            <w:pPr>
              <w:spacing w:after="20"/>
            </w:pPr>
            <w:r/>
            <w:r>
              <w:rPr>
                <w:rFonts w:ascii="Aptos" w:hAnsi="Aptos"/>
                <w:b w:val="0"/>
                <w:color w:val="263238"/>
                <w:sz w:val="14"/>
              </w:rPr>
              <w:t>L13</w:t>
            </w:r>
          </w:p>
        </w:tc>
        <w:tc>
          <w:tcPr>
            <w:tcW w:type="dxa" w:w="3816"/>
            <w:vAlign w:val="center"/>
          </w:tcPr>
          <w:p>
            <w:pPr>
              <w:spacing w:after="20"/>
            </w:pPr>
            <w:r/>
            <w:r>
              <w:rPr>
                <w:rFonts w:ascii="Aptos" w:hAnsi="Aptos"/>
                <w:b w:val="0"/>
                <w:color w:val="263238"/>
                <w:sz w:val="14"/>
              </w:rPr>
              <w:t>Users may struggle to assess a supplier using only a catalogue listing.</w:t>
            </w:r>
          </w:p>
        </w:tc>
        <w:tc>
          <w:tcPr>
            <w:tcW w:type="dxa" w:w="5760"/>
            <w:vAlign w:val="center"/>
          </w:tcPr>
          <w:p>
            <w:pPr>
              <w:spacing w:after="20"/>
            </w:pPr>
            <w:r/>
            <w:r>
              <w:rPr>
                <w:rFonts w:ascii="Aptos" w:hAnsi="Aptos"/>
                <w:b w:val="0"/>
                <w:color w:val="263238"/>
                <w:sz w:val="14"/>
              </w:rPr>
              <w:t>Supplier comparison for MOQ, capacity, lead time, ships-to countries, certifications, sample policy and trade terms.</w:t>
            </w:r>
          </w:p>
        </w:tc>
      </w:tr>
      <w:tr>
        <w:tc>
          <w:tcPr>
            <w:tcW w:type="dxa" w:w="648"/>
            <w:vAlign w:val="center"/>
            <w:shd w:fill="F1F7F4"/>
          </w:tcPr>
          <w:p>
            <w:pPr>
              <w:spacing w:after="20"/>
            </w:pPr>
            <w:r/>
            <w:r>
              <w:rPr>
                <w:rFonts w:ascii="Aptos" w:hAnsi="Aptos"/>
                <w:b w:val="0"/>
                <w:color w:val="263238"/>
                <w:sz w:val="14"/>
              </w:rPr>
              <w:t>L14</w:t>
            </w:r>
          </w:p>
        </w:tc>
        <w:tc>
          <w:tcPr>
            <w:tcW w:type="dxa" w:w="3816"/>
            <w:vAlign w:val="center"/>
            <w:shd w:fill="F1F7F4"/>
          </w:tcPr>
          <w:p>
            <w:pPr>
              <w:spacing w:after="20"/>
            </w:pPr>
            <w:r/>
            <w:r>
              <w:rPr>
                <w:rFonts w:ascii="Aptos" w:hAnsi="Aptos"/>
                <w:b w:val="0"/>
                <w:color w:val="263238"/>
                <w:sz w:val="14"/>
              </w:rPr>
              <w:t>Analytics may not answer every supplier's ROI questions.</w:t>
            </w:r>
          </w:p>
        </w:tc>
        <w:tc>
          <w:tcPr>
            <w:tcW w:type="dxa" w:w="5760"/>
            <w:vAlign w:val="center"/>
            <w:shd w:fill="F1F7F4"/>
          </w:tcPr>
          <w:p>
            <w:pPr>
              <w:spacing w:after="20"/>
            </w:pPr>
            <w:r/>
            <w:r>
              <w:rPr>
                <w:rFonts w:ascii="Aptos" w:hAnsi="Aptos"/>
                <w:b w:val="0"/>
                <w:color w:val="263238"/>
                <w:sz w:val="14"/>
              </w:rPr>
              <w:t>Views → enquiries → qualified leads → quotes → accepted quotes → completed work funnel, with clear definitions and no fabricated metrics.</w:t>
            </w:r>
          </w:p>
        </w:tc>
      </w:tr>
      <w:tr>
        <w:tc>
          <w:tcPr>
            <w:tcW w:type="dxa" w:w="648"/>
            <w:vAlign w:val="center"/>
          </w:tcPr>
          <w:p>
            <w:pPr>
              <w:spacing w:after="20"/>
            </w:pPr>
            <w:r/>
            <w:r>
              <w:rPr>
                <w:rFonts w:ascii="Aptos" w:hAnsi="Aptos"/>
                <w:b w:val="0"/>
                <w:color w:val="263238"/>
                <w:sz w:val="14"/>
              </w:rPr>
              <w:t>L15</w:t>
            </w:r>
          </w:p>
        </w:tc>
        <w:tc>
          <w:tcPr>
            <w:tcW w:type="dxa" w:w="3816"/>
            <w:vAlign w:val="center"/>
          </w:tcPr>
          <w:p>
            <w:pPr>
              <w:spacing w:after="20"/>
            </w:pPr>
            <w:r/>
            <w:r>
              <w:rPr>
                <w:rFonts w:ascii="Aptos" w:hAnsi="Aptos"/>
                <w:b w:val="0"/>
                <w:color w:val="263238"/>
                <w:sz w:val="14"/>
              </w:rPr>
              <w:t>Subscription expiry can create operational concerns if vendors have active enquiries or accepted commitments.</w:t>
            </w:r>
          </w:p>
        </w:tc>
        <w:tc>
          <w:tcPr>
            <w:tcW w:type="dxa" w:w="5760"/>
            <w:vAlign w:val="center"/>
          </w:tcPr>
          <w:p>
            <w:pPr>
              <w:spacing w:after="20"/>
            </w:pPr>
            <w:r/>
            <w:r>
              <w:rPr>
                <w:rFonts w:ascii="Aptos" w:hAnsi="Aptos"/>
                <w:b w:val="0"/>
                <w:color w:val="263238"/>
                <w:sz w:val="14"/>
              </w:rPr>
              <w:t>Grace/expiry policy that clearly limits new benefits while preserving access to existing bookings, quotes, contracts and records.</w:t>
            </w:r>
          </w:p>
        </w:tc>
      </w:tr>
      <w:tr>
        <w:tc>
          <w:tcPr>
            <w:tcW w:type="dxa" w:w="648"/>
            <w:vAlign w:val="center"/>
            <w:shd w:fill="F1F7F4"/>
          </w:tcPr>
          <w:p>
            <w:pPr>
              <w:spacing w:after="20"/>
            </w:pPr>
            <w:r/>
            <w:r>
              <w:rPr>
                <w:rFonts w:ascii="Aptos" w:hAnsi="Aptos"/>
                <w:b w:val="0"/>
                <w:color w:val="263238"/>
                <w:sz w:val="14"/>
              </w:rPr>
              <w:t>L16</w:t>
            </w:r>
          </w:p>
        </w:tc>
        <w:tc>
          <w:tcPr>
            <w:tcW w:type="dxa" w:w="3816"/>
            <w:vAlign w:val="center"/>
            <w:shd w:fill="F1F7F4"/>
          </w:tcPr>
          <w:p>
            <w:pPr>
              <w:spacing w:after="20"/>
            </w:pPr>
            <w:r/>
            <w:r>
              <w:rPr>
                <w:rFonts w:ascii="Aptos" w:hAnsi="Aptos"/>
                <w:b w:val="0"/>
                <w:color w:val="263238"/>
                <w:sz w:val="14"/>
              </w:rPr>
              <w:t>Support experiences vary; public user reviews include complaints about support, lead quality and subscription outcomes.</w:t>
            </w:r>
          </w:p>
        </w:tc>
        <w:tc>
          <w:tcPr>
            <w:tcW w:type="dxa" w:w="5760"/>
            <w:vAlign w:val="center"/>
            <w:shd w:fill="F1F7F4"/>
          </w:tcPr>
          <w:p>
            <w:pPr>
              <w:spacing w:after="20"/>
            </w:pPr>
            <w:r/>
            <w:r>
              <w:rPr>
                <w:rFonts w:ascii="Aptos" w:hAnsi="Aptos"/>
                <w:b w:val="0"/>
                <w:color w:val="263238"/>
                <w:sz w:val="14"/>
              </w:rPr>
              <w:t>Ticket numbers, case ownership, response targets, evidence attachments, escalation and transparent case status.</w:t>
            </w:r>
          </w:p>
        </w:tc>
      </w:tr>
      <w:tr>
        <w:tc>
          <w:tcPr>
            <w:tcW w:type="dxa" w:w="648"/>
            <w:vAlign w:val="center"/>
          </w:tcPr>
          <w:p>
            <w:pPr>
              <w:spacing w:after="20"/>
            </w:pPr>
            <w:r/>
            <w:r>
              <w:rPr>
                <w:rFonts w:ascii="Aptos" w:hAnsi="Aptos"/>
                <w:b w:val="0"/>
                <w:color w:val="263238"/>
                <w:sz w:val="14"/>
              </w:rPr>
              <w:t>L17</w:t>
            </w:r>
          </w:p>
        </w:tc>
        <w:tc>
          <w:tcPr>
            <w:tcW w:type="dxa" w:w="3816"/>
            <w:vAlign w:val="center"/>
          </w:tcPr>
          <w:p>
            <w:pPr>
              <w:spacing w:after="20"/>
            </w:pPr>
            <w:r/>
            <w:r>
              <w:rPr>
                <w:rFonts w:ascii="Aptos" w:hAnsi="Aptos"/>
                <w:b w:val="0"/>
                <w:color w:val="263238"/>
                <w:sz w:val="14"/>
              </w:rPr>
              <w:t>A B2B product catalogue alone may not fully address service businesses or consumer-facing bookings.</w:t>
            </w:r>
          </w:p>
        </w:tc>
        <w:tc>
          <w:tcPr>
            <w:tcW w:type="dxa" w:w="5760"/>
            <w:vAlign w:val="center"/>
          </w:tcPr>
          <w:p>
            <w:pPr>
              <w:spacing w:after="20"/>
            </w:pPr>
            <w:r/>
            <w:r>
              <w:rPr>
                <w:rFonts w:ascii="Aptos" w:hAnsi="Aptos"/>
                <w:b w:val="0"/>
                <w:color w:val="263238"/>
                <w:sz w:val="14"/>
              </w:rPr>
              <w:t>Unified platform supporting product suppliers and service vendors with category-configured booking and RFQ modes.</w:t>
            </w:r>
          </w:p>
        </w:tc>
      </w:tr>
      <w:tr>
        <w:tc>
          <w:tcPr>
            <w:tcW w:type="dxa" w:w="648"/>
            <w:vAlign w:val="center"/>
            <w:shd w:fill="F1F7F4"/>
          </w:tcPr>
          <w:p>
            <w:pPr>
              <w:spacing w:after="20"/>
            </w:pPr>
            <w:r/>
            <w:r>
              <w:rPr>
                <w:rFonts w:ascii="Aptos" w:hAnsi="Aptos"/>
                <w:b w:val="0"/>
                <w:color w:val="263238"/>
                <w:sz w:val="14"/>
              </w:rPr>
              <w:t>L18</w:t>
            </w:r>
          </w:p>
        </w:tc>
        <w:tc>
          <w:tcPr>
            <w:tcW w:type="dxa" w:w="3816"/>
            <w:vAlign w:val="center"/>
            <w:shd w:fill="F1F7F4"/>
          </w:tcPr>
          <w:p>
            <w:pPr>
              <w:spacing w:after="20"/>
            </w:pPr>
            <w:r/>
            <w:r>
              <w:rPr>
                <w:rFonts w:ascii="Aptos" w:hAnsi="Aptos"/>
                <w:b w:val="0"/>
                <w:color w:val="263238"/>
                <w:sz w:val="14"/>
              </w:rPr>
              <w:t>A paid badge or subscription should not be confused with independently verified trust.</w:t>
            </w:r>
          </w:p>
        </w:tc>
        <w:tc>
          <w:tcPr>
            <w:tcW w:type="dxa" w:w="5760"/>
            <w:vAlign w:val="center"/>
            <w:shd w:fill="F1F7F4"/>
          </w:tcPr>
          <w:p>
            <w:pPr>
              <w:spacing w:after="20"/>
            </w:pPr>
            <w:r/>
            <w:r>
              <w:rPr>
                <w:rFonts w:ascii="Aptos" w:hAnsi="Aptos"/>
                <w:b w:val="0"/>
                <w:color w:val="263238"/>
                <w:sz w:val="14"/>
              </w:rPr>
              <w:t>Verification badges must be evidence-based and never sold as a substitute for verification; sponsored placement is labelled separately.</w:t>
            </w:r>
          </w:p>
        </w:tc>
      </w:tr>
    </w:tbl>
    <w:p>
      <w:pPr>
        <w:spacing w:after="20"/>
      </w:pPr>
    </w:p>
    <w:p>
      <w:pPr>
        <w:pStyle w:val="Heading2"/>
      </w:pPr>
      <w:r>
        <w:t>Evidence note on user feedback</w:t>
      </w:r>
    </w:p>
    <w:p>
      <w:r>
        <w:t>Public App Store and Trustpilot reviews include individual complaints about lead relevance, subscription value, support and cancellation experiences. These are subjective user reports and may not represent the full customer base. IndiaMART also publishes positive product claims and scale metrics. VendorVerse should use these reports as prompts for product safeguards, not as proof of systematic failure.</w:t>
      </w:r>
    </w:p>
    <w:p>
      <w:pPr>
        <w:pStyle w:val="Heading1"/>
      </w:pPr>
      <w:r>
        <w:t>4. VendorVerse features by module</w:t>
      </w:r>
    </w:p>
    <w:p>
      <w:pPr>
        <w:pStyle w:val="Heading2"/>
      </w:pPr>
      <w:r>
        <w:t>3.1 Global marketplace and home</w:t>
      </w:r>
    </w:p>
    <w:p>
      <w:pPr>
        <w:pStyle w:val="ListBullet"/>
        <w:spacing w:after="40"/>
      </w:pPr>
      <w:r>
        <w:t>Country-neutral brand shell and market selector; launch country/city and category coverage must be configured, not assumed.</w:t>
      </w:r>
    </w:p>
    <w:p>
      <w:pPr>
        <w:pStyle w:val="ListBullet"/>
        <w:spacing w:after="40"/>
      </w:pPr>
      <w:r>
        <w:t>Hero search for product, service, supplier/company and location.</w:t>
      </w:r>
    </w:p>
    <w:p>
      <w:pPr>
        <w:pStyle w:val="ListBullet"/>
        <w:spacing w:after="40"/>
      </w:pPr>
      <w:r>
        <w:t>Dynamic category explorer driven by the category tree.</w:t>
      </w:r>
    </w:p>
    <w:p>
      <w:pPr>
        <w:pStyle w:val="ListBullet"/>
        <w:spacing w:after="40"/>
      </w:pPr>
      <w:r>
        <w:t>Clear 'not available in this market' state, waitlist and vendor pre-registration.</w:t>
      </w:r>
    </w:p>
    <w:p>
      <w:pPr>
        <w:pStyle w:val="ListBullet"/>
        <w:spacing w:after="40"/>
      </w:pPr>
      <w:r>
        <w:t>Market landing pages and trust explainer using only verified platform statistics.</w:t>
      </w:r>
    </w:p>
    <w:p>
      <w:pPr>
        <w:pStyle w:val="ListBullet"/>
        <w:spacing w:after="40"/>
      </w:pPr>
      <w:r>
        <w:t>Separate product-sourcing and service-booking entry points while keeping one coherent marketplace.</w:t>
      </w:r>
    </w:p>
    <w:p>
      <w:pPr>
        <w:pStyle w:val="Heading2"/>
      </w:pPr>
      <w:r>
        <w:t>3.2 Dynamic categories and taxonomy</w:t>
      </w:r>
    </w:p>
    <w:p>
      <w:pPr>
        <w:pStyle w:val="ListBullet"/>
        <w:spacing w:after="40"/>
      </w:pPr>
      <w:r>
        <w:t>Admin-managed category hierarchy, configurable to multiple levels.</w:t>
      </w:r>
    </w:p>
    <w:p>
      <w:pPr>
        <w:pStyle w:val="ListBullet"/>
        <w:spacing w:after="40"/>
      </w:pPr>
      <w:r>
        <w:t>Create, edit, reorder, merge and retire categories with Draft, Active, Restricted and Retired states.</w:t>
      </w:r>
    </w:p>
    <w:p>
      <w:pPr>
        <w:pStyle w:val="ListBullet"/>
        <w:spacing w:after="40"/>
      </w:pPr>
      <w:r>
        <w:t>Category-specific product attributes, filters, required documents, RFQ forms and booking modes.</w:t>
      </w:r>
    </w:p>
    <w:p>
      <w:pPr>
        <w:pStyle w:val="ListBullet"/>
        <w:spacing w:after="40"/>
      </w:pPr>
      <w:r>
        <w:t>Localised category names, synonyms and market availability.</w:t>
      </w:r>
    </w:p>
    <w:p>
      <w:pPr>
        <w:pStyle w:val="ListBullet"/>
        <w:spacing w:after="40"/>
      </w:pPr>
      <w:r>
        <w:t>Vendor category suggestions routed to admin review.</w:t>
      </w:r>
    </w:p>
    <w:p>
      <w:pPr>
        <w:pStyle w:val="ListBullet"/>
        <w:spacing w:after="40"/>
      </w:pPr>
      <w:r>
        <w:t>Duplicate detection, redirects, version history and audit logs.</w:t>
      </w:r>
    </w:p>
    <w:p>
      <w:pPr>
        <w:pStyle w:val="ListBullet"/>
        <w:spacing w:after="40"/>
      </w:pPr>
      <w:r>
        <w:t>Import and validate the initial taxonomy; any stated category count must be audited and dated.</w:t>
      </w:r>
    </w:p>
    <w:p>
      <w:pPr>
        <w:pStyle w:val="Heading2"/>
      </w:pPr>
      <w:r>
        <w:t>3.3 Search and discovery</w:t>
      </w:r>
    </w:p>
    <w:p>
      <w:pPr>
        <w:pStyle w:val="ListBullet"/>
        <w:spacing w:after="40"/>
      </w:pPr>
      <w:r>
        <w:t>Search by product, service, vendor, company, industry, keyword and location.</w:t>
      </w:r>
    </w:p>
    <w:p>
      <w:pPr>
        <w:pStyle w:val="ListBullet"/>
        <w:spacing w:after="40"/>
      </w:pPr>
      <w:r>
        <w:t>Country/state/city/locality/postal-code hierarchy; near-me search only with consent.</w:t>
      </w:r>
    </w:p>
    <w:p>
      <w:pPr>
        <w:pStyle w:val="ListBullet"/>
        <w:spacing w:after="40"/>
      </w:pPr>
      <w:r>
        <w:t>Local, remote, national, international and ships-to filters where supported.</w:t>
      </w:r>
    </w:p>
    <w:p>
      <w:pPr>
        <w:pStyle w:val="ListBullet"/>
        <w:spacing w:after="40"/>
      </w:pPr>
      <w:r>
        <w:t>Filters for price, MOQ, vendor type, category attributes, verification level, rating, availability, language and currency.</w:t>
      </w:r>
    </w:p>
    <w:p>
      <w:pPr>
        <w:pStyle w:val="ListBullet"/>
        <w:spacing w:after="40"/>
      </w:pPr>
      <w:r>
        <w:t>Explain why a result matched: location, ships-to, service area, category or attribute.</w:t>
      </w:r>
    </w:p>
    <w:p>
      <w:pPr>
        <w:pStyle w:val="ListBullet"/>
        <w:spacing w:after="40"/>
      </w:pPr>
      <w:r>
        <w:t>Compare up to three suppliers/products; save favourites, searches and alerts.</w:t>
      </w:r>
    </w:p>
    <w:p>
      <w:pPr>
        <w:pStyle w:val="ListBullet"/>
        <w:spacing w:after="40"/>
      </w:pPr>
      <w:r>
        <w:t>Show vendor currency and approximate conversions with exchange-rate date.</w:t>
      </w:r>
    </w:p>
    <w:p>
      <w:pPr>
        <w:pStyle w:val="ListBullet"/>
        <w:spacing w:after="40"/>
      </w:pPr>
      <w:r>
        <w:t>Separate organic relevance from labelled sponsored placements.</w:t>
      </w:r>
    </w:p>
    <w:p>
      <w:pPr>
        <w:pStyle w:val="Heading2"/>
      </w:pPr>
      <w:r>
        <w:t>3.4 Buyer and business profiles</w:t>
      </w:r>
    </w:p>
    <w:p>
      <w:pPr>
        <w:pStyle w:val="ListBullet"/>
        <w:spacing w:after="40"/>
      </w:pPr>
      <w:r>
        <w:t>Individual or business buyer profile with locale, saved locations and contact preferences.</w:t>
      </w:r>
    </w:p>
    <w:p>
      <w:pPr>
        <w:pStyle w:val="ListBullet"/>
        <w:spacing w:after="40"/>
      </w:pPr>
      <w:r>
        <w:t>Business profile fields including legal/trading name and optional tax identifiers, subject to country rules.</w:t>
      </w:r>
    </w:p>
    <w:p>
      <w:pPr>
        <w:pStyle w:val="ListBullet"/>
        <w:spacing w:after="40"/>
      </w:pPr>
      <w:r>
        <w:t>Vendor profile: vendor type, registration country, description, media, language, hours and service/ship coverage.</w:t>
      </w:r>
    </w:p>
    <w:p>
      <w:pPr>
        <w:pStyle w:val="ListBullet"/>
        <w:spacing w:after="40"/>
      </w:pPr>
      <w:r>
        <w:t>Credentials, licences, certifications, portfolio and expiry dates with explicit verification state.</w:t>
      </w:r>
    </w:p>
    <w:p>
      <w:pPr>
        <w:pStyle w:val="ListBullet"/>
        <w:spacing w:after="40"/>
      </w:pPr>
      <w:r>
        <w:t>Commercial terms such as currencies, pricing basis, MOQ, payment terms and cancellation policy.</w:t>
      </w:r>
    </w:p>
    <w:p>
      <w:pPr>
        <w:pStyle w:val="ListBullet"/>
        <w:spacing w:after="40"/>
      </w:pPr>
      <w:r>
        <w:t>Server-enforced visibility: public, counterparty-only or private.</w:t>
      </w:r>
    </w:p>
    <w:p>
      <w:pPr>
        <w:pStyle w:val="ListBullet"/>
        <w:spacing w:after="40"/>
      </w:pPr>
      <w:r>
        <w:t>Data export/deletion request workflows subject to applicable law.</w:t>
      </w:r>
    </w:p>
    <w:p>
      <w:pPr>
        <w:pStyle w:val="Heading2"/>
      </w:pPr>
      <w:r>
        <w:t>3.5 Vendor onboarding, verification and publishing</w:t>
      </w:r>
    </w:p>
    <w:p>
      <w:pPr>
        <w:pStyle w:val="ListBullet"/>
        <w:spacing w:after="40"/>
      </w:pPr>
      <w:r>
        <w:t>Self-service onboarding for manufacturers, suppliers, wholesalers, distributors, exporters, contractors and service providers.</w:t>
      </w:r>
    </w:p>
    <w:p>
      <w:pPr>
        <w:pStyle w:val="ListBullet"/>
        <w:spacing w:after="40"/>
      </w:pPr>
      <w:r>
        <w:t>Category/country-specific profile fields and document requirements.</w:t>
      </w:r>
    </w:p>
    <w:p>
      <w:pPr>
        <w:pStyle w:val="ListBullet"/>
        <w:spacing w:after="40"/>
      </w:pPr>
      <w:r>
        <w:t>Secure evidence upload and malware scanning.</w:t>
      </w:r>
    </w:p>
    <w:p>
      <w:pPr>
        <w:pStyle w:val="ListBullet"/>
        <w:spacing w:after="40"/>
      </w:pPr>
      <w:r>
        <w:t>Verification states: not started, submitted, more information required, approved, rejected, expired and revoked.</w:t>
      </w:r>
    </w:p>
    <w:p>
      <w:pPr>
        <w:pStyle w:val="ListBullet"/>
        <w:spacing w:after="40"/>
      </w:pPr>
      <w:r>
        <w:t>Verification levels describe exactly what evidence was checked and when.</w:t>
      </w:r>
    </w:p>
    <w:p>
      <w:pPr>
        <w:pStyle w:val="ListBullet"/>
        <w:spacing w:after="40"/>
      </w:pPr>
      <w:r>
        <w:t>No self-approval; reviewer cannot approve their own account.</w:t>
      </w:r>
    </w:p>
    <w:p>
      <w:pPr>
        <w:pStyle w:val="ListBullet"/>
        <w:spacing w:after="40"/>
      </w:pPr>
      <w:r>
        <w:t>Publication gate checks account, subscription eligibility, content review, verification, market/category status and active holds.</w:t>
      </w:r>
    </w:p>
    <w:p>
      <w:pPr>
        <w:pStyle w:val="ListBullet"/>
        <w:spacing w:after="40"/>
      </w:pPr>
      <w:r>
        <w:t>Multiple listings/service areas subject to policy; pause, edit and unpublish controls.</w:t>
      </w:r>
    </w:p>
    <w:p>
      <w:pPr>
        <w:pStyle w:val="ListBullet"/>
        <w:spacing w:after="40"/>
      </w:pPr>
      <w:r>
        <w:t>Duplicate listings are flagged for review, not silently merged.</w:t>
      </w:r>
    </w:p>
    <w:p>
      <w:pPr>
        <w:pStyle w:val="Heading2"/>
      </w:pPr>
      <w:r>
        <w:t>3.6 RFQs, BuyLeads and quotations</w:t>
      </w:r>
    </w:p>
    <w:p>
      <w:pPr>
        <w:pStyle w:val="ListBullet"/>
        <w:spacing w:after="40"/>
      </w:pPr>
      <w:r>
        <w:t>Structured RFQ with requirement, quantity, unit, specifications, destination, timeline, budget range and attachments.</w:t>
      </w:r>
    </w:p>
    <w:p>
      <w:pPr>
        <w:pStyle w:val="ListBullet"/>
        <w:spacing w:after="40"/>
      </w:pPr>
      <w:r>
        <w:t>RFQ revisions, deadlines and deadline extensions with audit history.</w:t>
      </w:r>
    </w:p>
    <w:p>
      <w:pPr>
        <w:pStyle w:val="ListBullet"/>
        <w:spacing w:after="40"/>
      </w:pPr>
      <w:r>
        <w:t>Distribution to selected or matched eligible suppliers; explain the matching basis where feasible.</w:t>
      </w:r>
    </w:p>
    <w:p>
      <w:pPr>
        <w:pStyle w:val="ListBullet"/>
        <w:spacing w:after="40"/>
      </w:pPr>
      <w:r>
        <w:t>Clarification chat linked to the RFQ.</w:t>
      </w:r>
    </w:p>
    <w:p>
      <w:pPr>
        <w:pStyle w:val="ListBullet"/>
        <w:spacing w:after="40"/>
      </w:pPr>
      <w:r>
        <w:t>Supplier quote with price, currency, scope, inclusions/exclusions, delivery timeline, validity and trade terms.</w:t>
      </w:r>
    </w:p>
    <w:p>
      <w:pPr>
        <w:pStyle w:val="ListBullet"/>
        <w:spacing w:after="40"/>
      </w:pPr>
      <w:r>
        <w:t>Quote revise, withdraw and expire workflows.</w:t>
      </w:r>
    </w:p>
    <w:p>
      <w:pPr>
        <w:pStyle w:val="ListBullet"/>
        <w:spacing w:after="40"/>
      </w:pPr>
      <w:r>
        <w:t>Side-by-side comparison and negotiation history.</w:t>
      </w:r>
    </w:p>
    <w:p>
      <w:pPr>
        <w:pStyle w:val="ListBullet"/>
        <w:spacing w:after="40"/>
      </w:pPr>
      <w:r>
        <w:t>Accept exactly one quote per RFQ unless the buyer explicitly splits the requirement into separate lots.</w:t>
      </w:r>
    </w:p>
    <w:p>
      <w:pPr>
        <w:pStyle w:val="ListBullet"/>
        <w:spacing w:after="40"/>
      </w:pPr>
      <w:r>
        <w:t>Immutable accepted-terms snapshot and follow-on booking, work order or contract record.</w:t>
      </w:r>
    </w:p>
    <w:p>
      <w:pPr>
        <w:pStyle w:val="ListBullet"/>
        <w:spacing w:after="40"/>
      </w:pPr>
      <w:r>
        <w:t>Vendor-to-vendor sourcing: a vendor can switch to buyer mode and request quotes from suppliers.</w:t>
      </w:r>
    </w:p>
    <w:p>
      <w:pPr>
        <w:pStyle w:val="Heading2"/>
      </w:pPr>
      <w:r>
        <w:t>3.7 Supplier and manufacturer catalogue</w:t>
      </w:r>
    </w:p>
    <w:p>
      <w:pPr>
        <w:pStyle w:val="ListBullet"/>
        <w:spacing w:after="40"/>
      </w:pPr>
      <w:r>
        <w:t>Vendor types include manufacturer, OEM/ODM, wholesaler, distributor, importer/exporter, trader and contractor.</w:t>
      </w:r>
    </w:p>
    <w:p>
      <w:pPr>
        <w:pStyle w:val="ListBullet"/>
        <w:spacing w:after="40"/>
      </w:pPr>
      <w:r>
        <w:t>Product catalogue with structured specifications, images, datasheets and units.</w:t>
      </w:r>
    </w:p>
    <w:p>
      <w:pPr>
        <w:pStyle w:val="ListBullet"/>
        <w:spacing w:after="40"/>
      </w:pPr>
      <w:r>
        <w:t>Quantity-based price tiers or price-on-request; price basis and last-updated timestamp.</w:t>
      </w:r>
    </w:p>
    <w:p>
      <w:pPr>
        <w:pStyle w:val="ListBullet"/>
        <w:spacing w:after="40"/>
      </w:pPr>
      <w:r>
        <w:t>MOQ, lead time, capacity, sample policy, customization, packaging and trade terms.</w:t>
      </w:r>
    </w:p>
    <w:p>
      <w:pPr>
        <w:pStyle w:val="ListBullet"/>
        <w:spacing w:after="40"/>
      </w:pPr>
      <w:r>
        <w:t>Factory/warehouse locations and countries served/shipped to.</w:t>
      </w:r>
    </w:p>
    <w:p>
      <w:pPr>
        <w:pStyle w:val="ListBullet"/>
        <w:spacing w:after="40"/>
      </w:pPr>
      <w:r>
        <w:t>Certification and compliance documents with expiry tracking.</w:t>
      </w:r>
    </w:p>
    <w:p>
      <w:pPr>
        <w:pStyle w:val="ListBullet"/>
        <w:spacing w:after="40"/>
      </w:pPr>
      <w:r>
        <w:t>Verified-manufacturer label only after evidence review.</w:t>
      </w:r>
    </w:p>
    <w:p>
      <w:pPr>
        <w:pStyle w:val="ListBullet"/>
        <w:spacing w:after="40"/>
      </w:pPr>
      <w:r>
        <w:t>Prefilled RFQ from product page and comparable supplier cards.</w:t>
      </w:r>
    </w:p>
    <w:p>
      <w:pPr>
        <w:pStyle w:val="ListBullet"/>
        <w:spacing w:after="40"/>
      </w:pPr>
      <w:r>
        <w:t>Customs/duty/compliance fields can be added by market phase; do not claim legal compliance automatically.</w:t>
      </w:r>
    </w:p>
    <w:p>
      <w:pPr>
        <w:pStyle w:val="Heading2"/>
      </w:pPr>
      <w:r>
        <w:t>3.8 Service booking and project management</w:t>
      </w:r>
    </w:p>
    <w:p>
      <w:pPr>
        <w:pStyle w:val="ListBullet"/>
        <w:spacing w:after="40"/>
      </w:pPr>
      <w:r>
        <w:t>Instant, scheduled, and request-and-accept bookings; quotation- and contract-based modes where category supports them.</w:t>
      </w:r>
    </w:p>
    <w:p>
      <w:pPr>
        <w:pStyle w:val="ListBullet"/>
        <w:spacing w:after="40"/>
      </w:pPr>
      <w:r>
        <w:t>Availability slots, response deadlines, reminders and safe duplicate-submit protection.</w:t>
      </w:r>
    </w:p>
    <w:p>
      <w:pPr>
        <w:pStyle w:val="ListBullet"/>
        <w:spacing w:after="40"/>
      </w:pPr>
      <w:r>
        <w:t>Booking states, policy snapshots, modification requests, cancellations and no-show rules.</w:t>
      </w:r>
    </w:p>
    <w:p>
      <w:pPr>
        <w:pStyle w:val="ListBullet"/>
        <w:spacing w:after="40"/>
      </w:pPr>
      <w:r>
        <w:t>Multi-vendor project board with tasks, milestones, deliverables and separate vendor commitments.</w:t>
      </w:r>
    </w:p>
    <w:p>
      <w:pPr>
        <w:pStyle w:val="ListBullet"/>
        <w:spacing w:after="40"/>
      </w:pPr>
      <w:r>
        <w:t>Completion confirmation window and post-completion issue reporting.</w:t>
      </w:r>
    </w:p>
    <w:p>
      <w:pPr>
        <w:pStyle w:val="ListBullet"/>
        <w:spacing w:after="40"/>
      </w:pPr>
      <w:r>
        <w:t>Accepted terms remain unchanged unless a documented amendment is accepted by the relevant parties.</w:t>
      </w:r>
    </w:p>
    <w:p>
      <w:pPr>
        <w:pStyle w:val="ListBullet"/>
        <w:spacing w:after="40"/>
      </w:pPr>
      <w:r>
        <w:t>Do not enable platform-mediated payments, escrow or payouts in R1.</w:t>
      </w:r>
    </w:p>
    <w:p>
      <w:pPr>
        <w:pStyle w:val="Heading2"/>
      </w:pPr>
      <w:r>
        <w:t>3.9 Messaging and notifications</w:t>
      </w:r>
    </w:p>
    <w:p>
      <w:pPr>
        <w:pStyle w:val="ListBullet"/>
        <w:spacing w:after="40"/>
      </w:pPr>
      <w:r>
        <w:t>In-app chat linked to enquiry, RFQ, booking, quote, contract or project.</w:t>
      </w:r>
    </w:p>
    <w:p>
      <w:pPr>
        <w:pStyle w:val="ListBullet"/>
        <w:spacing w:after="40"/>
      </w:pPr>
      <w:r>
        <w:t>Phone and email protected by default; share only according to consent and policy.</w:t>
      </w:r>
    </w:p>
    <w:p>
      <w:pPr>
        <w:pStyle w:val="ListBullet"/>
        <w:spacing w:after="40"/>
      </w:pPr>
      <w:r>
        <w:t>Secure attachments, scanning, spam limits and abuse reporting.</w:t>
      </w:r>
    </w:p>
    <w:p>
      <w:pPr>
        <w:pStyle w:val="ListBullet"/>
        <w:spacing w:after="40"/>
      </w:pPr>
      <w:r>
        <w:t>In-app/email/push notification preferences.</w:t>
      </w:r>
    </w:p>
    <w:p>
      <w:pPr>
        <w:pStyle w:val="ListBullet"/>
        <w:spacing w:after="40"/>
      </w:pPr>
      <w:r>
        <w:t>Each notification opens the relevant record and respects access control.</w:t>
      </w:r>
    </w:p>
    <w:p>
      <w:pPr>
        <w:pStyle w:val="ListBullet"/>
        <w:spacing w:after="40"/>
      </w:pPr>
      <w:r>
        <w:t>Retry-safe delivery without duplicate notifications; avoid sensitive text on lock screens.</w:t>
      </w:r>
    </w:p>
    <w:p>
      <w:pPr>
        <w:pStyle w:val="Heading2"/>
      </w:pPr>
      <w:r>
        <w:t>3.10 Subscriptions and sponsored visibility</w:t>
      </w:r>
    </w:p>
    <w:p>
      <w:pPr>
        <w:pStyle w:val="ListBullet"/>
        <w:spacing w:after="40"/>
      </w:pPr>
      <w:r>
        <w:t>Configurable vendor plans and entitlements by market and vendor type.</w:t>
      </w:r>
    </w:p>
    <w:p>
      <w:pPr>
        <w:pStyle w:val="ListBullet"/>
        <w:spacing w:after="40"/>
      </w:pPr>
      <w:r>
        <w:t>Lifecycle: activation, renewal reminders, grace period, expiry, cancellation and restoration.</w:t>
      </w:r>
    </w:p>
    <w:p>
      <w:pPr>
        <w:pStyle w:val="ListBullet"/>
        <w:spacing w:after="40"/>
      </w:pPr>
      <w:r>
        <w:t>Lead usage meter and transparent upgrade prompts; plan limits shown before purchase.</w:t>
      </w:r>
    </w:p>
    <w:p>
      <w:pPr>
        <w:pStyle w:val="ListBullet"/>
        <w:spacing w:after="40"/>
      </w:pPr>
      <w:r>
        <w:t>Existing bookings, quotes, contracts and records remain accessible after expiry.</w:t>
      </w:r>
    </w:p>
    <w:p>
      <w:pPr>
        <w:pStyle w:val="ListBullet"/>
        <w:spacing w:after="40"/>
      </w:pPr>
      <w:r>
        <w:t>Sponsored campaigns have dates, delivery records and a visible Sponsored label.</w:t>
      </w:r>
    </w:p>
    <w:p>
      <w:pPr>
        <w:pStyle w:val="ListBullet"/>
        <w:spacing w:after="40"/>
      </w:pPr>
      <w:r>
        <w:t>Organic ranking is not purchased; ranking criteria should be documented and monitored.</w:t>
      </w:r>
    </w:p>
    <w:p>
      <w:pPr>
        <w:pStyle w:val="ListBullet"/>
        <w:spacing w:after="40"/>
      </w:pPr>
      <w:r>
        <w:t>Self-service cancellation, invoices/receipts where supported and support escalation.</w:t>
      </w:r>
    </w:p>
    <w:p>
      <w:pPr>
        <w:pStyle w:val="ListBullet"/>
        <w:spacing w:after="40"/>
      </w:pPr>
      <w:r>
        <w:t>Do not guarantee a fixed number of leads or sales unless a verified contract explicitly defines it.</w:t>
      </w:r>
    </w:p>
    <w:p>
      <w:pPr>
        <w:pStyle w:val="Heading2"/>
      </w:pPr>
      <w:r>
        <w:t>3.11 Reviews, moderation, disputes and support</w:t>
      </w:r>
    </w:p>
    <w:p>
      <w:pPr>
        <w:pStyle w:val="ListBullet"/>
        <w:spacing w:after="40"/>
      </w:pPr>
      <w:r>
        <w:t>Reviews only from eligible recorded interactions such as completed bookings or accepted/completed commercial milestones.</w:t>
      </w:r>
    </w:p>
    <w:p>
      <w:pPr>
        <w:pStyle w:val="ListBullet"/>
        <w:spacing w:after="40"/>
      </w:pPr>
      <w:r>
        <w:t>Overall rating plus configurable dimensions; vendor response and report controls.</w:t>
      </w:r>
    </w:p>
    <w:p>
      <w:pPr>
        <w:pStyle w:val="ListBullet"/>
        <w:spacing w:after="40"/>
      </w:pPr>
      <w:r>
        <w:t>Report vendor, listing, message or review with evidence.</w:t>
      </w:r>
    </w:p>
    <w:p>
      <w:pPr>
        <w:pStyle w:val="ListBullet"/>
        <w:spacing w:after="40"/>
      </w:pPr>
      <w:r>
        <w:t>Moderation queue with severity, owner, response target and appeal.</w:t>
      </w:r>
    </w:p>
    <w:p>
      <w:pPr>
        <w:pStyle w:val="ListBullet"/>
        <w:spacing w:after="40"/>
      </w:pPr>
      <w:r>
        <w:t>Proportionate enforcement: warning, restriction, suspension or removal.</w:t>
      </w:r>
    </w:p>
    <w:p>
      <w:pPr>
        <w:pStyle w:val="ListBullet"/>
        <w:spacing w:after="40"/>
      </w:pPr>
      <w:r>
        <w:t>Support cases with case number, deadlines, notes, evidence and escalation.</w:t>
      </w:r>
    </w:p>
    <w:p>
      <w:pPr>
        <w:pStyle w:val="ListBullet"/>
        <w:spacing w:after="40"/>
      </w:pPr>
      <w:r>
        <w:t>Non-financial dispute handling in R1; no implication that VendorVerse holds or returns funds.</w:t>
      </w:r>
    </w:p>
    <w:p>
      <w:pPr>
        <w:pStyle w:val="Heading2"/>
      </w:pPr>
      <w:r>
        <w:t>3.12 Dashboards, analytics and administration</w:t>
      </w:r>
    </w:p>
    <w:p>
      <w:pPr>
        <w:pStyle w:val="ListBullet"/>
        <w:spacing w:after="40"/>
      </w:pPr>
      <w:r>
        <w:t>Customer dashboard: enquiries, RFQs, quotes, bookings, projects, messages, favourites, reviews and cases.</w:t>
      </w:r>
    </w:p>
    <w:p>
      <w:pPr>
        <w:pStyle w:val="ListBullet"/>
        <w:spacing w:after="40"/>
      </w:pPr>
      <w:r>
        <w:t>Vendor dashboard: listings, verification/expiry, subscription, leads, RFQs, quotes, calendar, commitments and reviews.</w:t>
      </w:r>
    </w:p>
    <w:p>
      <w:pPr>
        <w:pStyle w:val="ListBullet"/>
        <w:spacing w:after="40"/>
      </w:pPr>
      <w:r>
        <w:t>Sales Agent dashboard: assigned onboarding leads, follow-ups, notes and conversion tracking.</w:t>
      </w:r>
    </w:p>
    <w:p>
      <w:pPr>
        <w:pStyle w:val="ListBullet"/>
        <w:spacing w:after="40"/>
      </w:pPr>
      <w:r>
        <w:t>Admin queues for categories, verification, listings, reports, reviews, subscriptions, market activation and support.</w:t>
      </w:r>
    </w:p>
    <w:p>
      <w:pPr>
        <w:pStyle w:val="ListBullet"/>
        <w:spacing w:after="40"/>
      </w:pPr>
      <w:r>
        <w:t>Analytics funnel: views, enquiries, qualified leads, quotes, accepted quotes and completion where recorded.</w:t>
      </w:r>
    </w:p>
    <w:p>
      <w:pPr>
        <w:pStyle w:val="ListBullet"/>
        <w:spacing w:after="40"/>
      </w:pPr>
      <w:r>
        <w:t>Country/city/category filters and append-only audit search.</w:t>
      </w:r>
    </w:p>
    <w:p>
      <w:pPr>
        <w:pStyle w:val="ListBullet"/>
        <w:spacing w:after="40"/>
      </w:pPr>
      <w:r>
        <w:t>Do not display mock/demo values as real operational metrics.</w:t>
      </w:r>
    </w:p>
    <w:p>
      <w:pPr>
        <w:pStyle w:val="Heading2"/>
      </w:pPr>
      <w:r>
        <w:t>3.13 Security, quality and platform</w:t>
      </w:r>
    </w:p>
    <w:p>
      <w:pPr>
        <w:pStyle w:val="ListBullet"/>
        <w:spacing w:after="40"/>
      </w:pPr>
      <w:r>
        <w:t>Deny by default; enforce role, ownership, assignment and workflow state on the server.</w:t>
      </w:r>
    </w:p>
    <w:p>
      <w:pPr>
        <w:pStyle w:val="ListBullet"/>
        <w:spacing w:after="40"/>
      </w:pPr>
      <w:r>
        <w:t>MFA and short-lived sessions for privileged roles; individual Super Admin accounts.</w:t>
      </w:r>
    </w:p>
    <w:p>
      <w:pPr>
        <w:pStyle w:val="ListBullet"/>
        <w:spacing w:after="40"/>
      </w:pPr>
      <w:r>
        <w:t>Private document storage, tenant/data isolation where applicable and secure upload access.</w:t>
      </w:r>
    </w:p>
    <w:p>
      <w:pPr>
        <w:pStyle w:val="ListBullet"/>
        <w:spacing w:after="40"/>
      </w:pPr>
      <w:r>
        <w:t>Rate limits, abuse controls, idempotency for critical actions and safe retries.</w:t>
      </w:r>
    </w:p>
    <w:p>
      <w:pPr>
        <w:pStyle w:val="ListBullet"/>
        <w:spacing w:after="40"/>
      </w:pPr>
      <w:r>
        <w:t>Money represented in minor units with currency codes; timestamps stored consistently with explicit time zones.</w:t>
      </w:r>
    </w:p>
    <w:p>
      <w:pPr>
        <w:pStyle w:val="ListBullet"/>
        <w:spacing w:after="40"/>
      </w:pPr>
      <w:r>
        <w:t>One business-rule/API layer across web, Android and iOS.</w:t>
      </w:r>
    </w:p>
    <w:p>
      <w:pPr>
        <w:pStyle w:val="ListBullet"/>
        <w:spacing w:after="40"/>
      </w:pPr>
      <w:r>
        <w:t>Responsive accessible layouts, localization and right-to-left readiness where required.</w:t>
      </w:r>
    </w:p>
    <w:p>
      <w:pPr>
        <w:pStyle w:val="ListBullet"/>
        <w:spacing w:after="40"/>
      </w:pPr>
      <w:r>
        <w:t>Add AI matching, RFQ drafting and recommendations only after reliable core workflows; clearly label AI-generated suggestions.</w:t>
      </w:r>
    </w:p>
    <w:p>
      <w:pPr>
        <w:pStyle w:val="Heading1"/>
      </w:pPr>
      <w:r>
        <w:t>5. Role-wise feature access</w:t>
      </w:r>
    </w:p>
    <w:p>
      <w:r>
        <w:t>One identity may switch between customer and vendor modes. Switching modes must not expand server permissions; every action is checked against role, ownership, assignment and workflow state.</w:t>
      </w:r>
    </w:p>
    <w:p>
      <w:pPr>
        <w:pStyle w:val="Heading2"/>
      </w:pPr>
      <w:r>
        <w:t>Customer / business buyer</w:t>
      </w:r>
    </w:p>
    <w:p>
      <w:pPr>
        <w:pStyle w:val="ListBullet"/>
        <w:spacing w:after="40"/>
      </w:pPr>
      <w:r>
        <w:t>Search products, services and suppliers; filter by market, location, MOQ, category attributes and vendor evidence.</w:t>
      </w:r>
    </w:p>
    <w:p>
      <w:pPr>
        <w:pStyle w:val="ListBullet"/>
        <w:spacing w:after="40"/>
      </w:pPr>
      <w:r>
        <w:t>Compare suppliers/products, save searches and favourites, and see why results match.</w:t>
      </w:r>
    </w:p>
    <w:p>
      <w:pPr>
        <w:pStyle w:val="ListBullet"/>
        <w:spacing w:after="40"/>
      </w:pPr>
      <w:r>
        <w:t>Create enquiries and RFQs, communicate with vendors, compare/revise quotes and accept one quote per RFQ/lot.</w:t>
      </w:r>
    </w:p>
    <w:p>
      <w:pPr>
        <w:pStyle w:val="ListBullet"/>
        <w:spacing w:after="40"/>
      </w:pPr>
      <w:r>
        <w:t>Book eligible services, track milestones, manage project requests and report issues.</w:t>
      </w:r>
    </w:p>
    <w:p>
      <w:pPr>
        <w:pStyle w:val="ListBullet"/>
        <w:spacing w:after="40"/>
      </w:pPr>
      <w:r>
        <w:t>Access own records, manage consent/preferences and submit data requests.</w:t>
      </w:r>
    </w:p>
    <w:p>
      <w:pPr>
        <w:pStyle w:val="ListBullet"/>
        <w:spacing w:after="40"/>
      </w:pPr>
      <w:r>
        <w:t>Cannot edit vendor listings, see other buyers' private records or change verification/subscription status.</w:t>
      </w:r>
    </w:p>
    <w:p>
      <w:pPr>
        <w:pStyle w:val="Heading2"/>
      </w:pPr>
      <w:r>
        <w:t>Vendor: service provider / contractor</w:t>
      </w:r>
    </w:p>
    <w:p>
      <w:pPr>
        <w:pStyle w:val="ListBullet"/>
        <w:spacing w:after="40"/>
      </w:pPr>
      <w:r>
        <w:t>Register, complete category-specific onboarding and submit verification evidence.</w:t>
      </w:r>
    </w:p>
    <w:p>
      <w:pPr>
        <w:pStyle w:val="ListBullet"/>
        <w:spacing w:after="40"/>
      </w:pPr>
      <w:r>
        <w:t>Manage service listings, coverage, availability and booking policies within plan limits.</w:t>
      </w:r>
    </w:p>
    <w:p>
      <w:pPr>
        <w:pStyle w:val="ListBullet"/>
        <w:spacing w:after="40"/>
      </w:pPr>
      <w:r>
        <w:t>Respond to enquiries and bookings, send quotes, manage contract terms and update milestones.</w:t>
      </w:r>
    </w:p>
    <w:p>
      <w:pPr>
        <w:pStyle w:val="ListBullet"/>
        <w:spacing w:after="40"/>
      </w:pPr>
      <w:r>
        <w:t>Manage lead pipeline, notes, reminders, subscription usage and analytics.</w:t>
      </w:r>
    </w:p>
    <w:p>
      <w:pPr>
        <w:pStyle w:val="ListBullet"/>
        <w:spacing w:after="40"/>
      </w:pPr>
      <w:r>
        <w:t>Respond to eligible reviews, report abuse and track support cases.</w:t>
      </w:r>
    </w:p>
    <w:p>
      <w:pPr>
        <w:pStyle w:val="ListBullet"/>
        <w:spacing w:after="40"/>
      </w:pPr>
      <w:r>
        <w:t>Cannot approve own verification, extend own subscription, bypass publication gates or create/approve categories.</w:t>
      </w:r>
    </w:p>
    <w:p>
      <w:pPr>
        <w:pStyle w:val="Heading2"/>
      </w:pPr>
      <w:r>
        <w:t>Vendor: manufacturer / supplier / wholesaler / distributor</w:t>
      </w:r>
    </w:p>
    <w:p>
      <w:pPr>
        <w:pStyle w:val="ListBullet"/>
        <w:spacing w:after="40"/>
      </w:pPr>
      <w:r>
        <w:t>Manage structured product catalogue, specifications, images, datasheets, MOQ, price tiers and trade terms.</w:t>
      </w:r>
    </w:p>
    <w:p>
      <w:pPr>
        <w:pStyle w:val="ListBullet"/>
        <w:spacing w:after="40"/>
      </w:pPr>
      <w:r>
        <w:t>State lead time, capacity, sample policy, factory/warehouse location, ships-to countries and verified credentials.</w:t>
      </w:r>
    </w:p>
    <w:p>
      <w:pPr>
        <w:pStyle w:val="ListBullet"/>
        <w:spacing w:after="40"/>
      </w:pPr>
      <w:r>
        <w:t>Receive RFQs, clarify requirements, submit and revise quotes, and manage purchase-order/commitment status where in scope.</w:t>
      </w:r>
    </w:p>
    <w:p>
      <w:pPr>
        <w:pStyle w:val="ListBullet"/>
        <w:spacing w:after="40"/>
      </w:pPr>
      <w:r>
        <w:t>Switch to buyer mode to source from other suppliers, while keeping buying and selling records distinct.</w:t>
      </w:r>
    </w:p>
    <w:p>
      <w:pPr>
        <w:pStyle w:val="ListBullet"/>
        <w:spacing w:after="40"/>
      </w:pPr>
      <w:r>
        <w:t>Vendor staff sub-accounts are excluded from R1.</w:t>
      </w:r>
    </w:p>
    <w:p>
      <w:pPr>
        <w:pStyle w:val="Heading2"/>
      </w:pPr>
      <w:r>
        <w:t>Sales Agent</w:t>
      </w:r>
    </w:p>
    <w:p>
      <w:pPr>
        <w:pStyle w:val="ListBullet"/>
        <w:spacing w:after="40"/>
      </w:pPr>
      <w:r>
        <w:t>View assigned prospects and onboarding pipeline; record contact attempts, tasks, notes and follow-ups.</w:t>
      </w:r>
    </w:p>
    <w:p>
      <w:pPr>
        <w:pStyle w:val="ListBullet"/>
        <w:spacing w:after="40"/>
      </w:pPr>
      <w:r>
        <w:t>Assist a vendor with onboarding only with recorded consent.</w:t>
      </w:r>
    </w:p>
    <w:p>
      <w:pPr>
        <w:pStyle w:val="ListBullet"/>
        <w:spacing w:after="40"/>
      </w:pPr>
      <w:r>
        <w:t>Track subscription conversion and assigned performance.</w:t>
      </w:r>
    </w:p>
    <w:p>
      <w:pPr>
        <w:pStyle w:val="ListBullet"/>
        <w:spacing w:after="40"/>
      </w:pPr>
      <w:r>
        <w:t>Cannot approve verification, override billing/entitlements, publish as a vendor or view unassigned private records.</w:t>
      </w:r>
    </w:p>
    <w:p>
      <w:pPr>
        <w:pStyle w:val="Heading2"/>
      </w:pPr>
      <w:r>
        <w:t>Super Admin</w:t>
      </w:r>
    </w:p>
    <w:p>
      <w:pPr>
        <w:pStyle w:val="ListBullet"/>
        <w:spacing w:after="40"/>
      </w:pPr>
      <w:r>
        <w:t>Manage categories, custom fields, market availability and taxonomy changes.</w:t>
      </w:r>
    </w:p>
    <w:p>
      <w:pPr>
        <w:pStyle w:val="ListBullet"/>
        <w:spacing w:after="40"/>
      </w:pPr>
      <w:r>
        <w:t>Review vendor evidence and approve/reject/request information with reasons.</w:t>
      </w:r>
    </w:p>
    <w:p>
      <w:pPr>
        <w:pStyle w:val="ListBullet"/>
        <w:spacing w:after="40"/>
      </w:pPr>
      <w:r>
        <w:t>Moderate listings, reviews and reports; manage appeals, support and issue queues.</w:t>
      </w:r>
    </w:p>
    <w:p>
      <w:pPr>
        <w:pStyle w:val="ListBullet"/>
        <w:spacing w:after="40"/>
      </w:pPr>
      <w:r>
        <w:t>Configure plans, entitlements and sponsored campaigns with auditability.</w:t>
      </w:r>
    </w:p>
    <w:p>
      <w:pPr>
        <w:pStyle w:val="ListBullet"/>
        <w:spacing w:after="40"/>
      </w:pPr>
      <w:r>
        <w:t>Manage market activation using dual approval for high-impact changes.</w:t>
      </w:r>
    </w:p>
    <w:p>
      <w:pPr>
        <w:pStyle w:val="ListBullet"/>
        <w:spacing w:after="40"/>
      </w:pPr>
      <w:r>
        <w:t>Access global analytics and append-only audit logs; MFA required.</w:t>
      </w:r>
    </w:p>
    <w:p>
      <w:pPr>
        <w:pStyle w:val="ListBullet"/>
        <w:spacing w:after="40"/>
      </w:pPr>
      <w:r>
        <w:t>Do not browse private conversations without an authorized support/safety case.</w:t>
      </w:r>
    </w:p>
    <w:p>
      <w:pPr>
        <w:pStyle w:val="Heading2"/>
      </w:pPr>
      <w:r>
        <w:t>Role permissions summary</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448"/>
            <w:vAlign w:val="center"/>
            <w:shd w:fill="1F6B4F"/>
          </w:tcPr>
          <w:p>
            <w:pPr>
              <w:spacing w:after="20"/>
            </w:pPr>
            <w:r/>
            <w:r>
              <w:rPr>
                <w:rFonts w:ascii="Aptos" w:hAnsi="Aptos"/>
                <w:b/>
                <w:color w:val="FFFFFF"/>
                <w:sz w:val="15"/>
              </w:rPr>
              <w:t>Capability</w:t>
            </w:r>
          </w:p>
        </w:tc>
        <w:tc>
          <w:tcPr>
            <w:tcW w:type="dxa" w:w="1800"/>
            <w:vAlign w:val="center"/>
            <w:shd w:fill="1F6B4F"/>
          </w:tcPr>
          <w:p>
            <w:pPr>
              <w:spacing w:after="20"/>
            </w:pPr>
            <w:r/>
            <w:r>
              <w:rPr>
                <w:rFonts w:ascii="Aptos" w:hAnsi="Aptos"/>
                <w:b/>
                <w:color w:val="FFFFFF"/>
                <w:sz w:val="15"/>
              </w:rPr>
              <w:t>Customer / buyer</w:t>
            </w:r>
          </w:p>
        </w:tc>
        <w:tc>
          <w:tcPr>
            <w:tcW w:type="dxa" w:w="1800"/>
            <w:vAlign w:val="center"/>
            <w:shd w:fill="1F6B4F"/>
          </w:tcPr>
          <w:p>
            <w:pPr>
              <w:spacing w:after="20"/>
            </w:pPr>
            <w:r/>
            <w:r>
              <w:rPr>
                <w:rFonts w:ascii="Aptos" w:hAnsi="Aptos"/>
                <w:b/>
                <w:color w:val="FFFFFF"/>
                <w:sz w:val="15"/>
              </w:rPr>
              <w:t>Vendor</w:t>
            </w:r>
          </w:p>
        </w:tc>
        <w:tc>
          <w:tcPr>
            <w:tcW w:type="dxa" w:w="1800"/>
            <w:vAlign w:val="center"/>
            <w:shd w:fill="1F6B4F"/>
          </w:tcPr>
          <w:p>
            <w:pPr>
              <w:spacing w:after="20"/>
            </w:pPr>
            <w:r/>
            <w:r>
              <w:rPr>
                <w:rFonts w:ascii="Aptos" w:hAnsi="Aptos"/>
                <w:b/>
                <w:color w:val="FFFFFF"/>
                <w:sz w:val="15"/>
              </w:rPr>
              <w:t>Sales Agent</w:t>
            </w:r>
          </w:p>
        </w:tc>
        <w:tc>
          <w:tcPr>
            <w:tcW w:type="dxa" w:w="2232"/>
            <w:vAlign w:val="center"/>
            <w:shd w:fill="1F6B4F"/>
          </w:tcPr>
          <w:p>
            <w:pPr>
              <w:spacing w:after="20"/>
            </w:pPr>
            <w:r/>
            <w:r>
              <w:rPr>
                <w:rFonts w:ascii="Aptos" w:hAnsi="Aptos"/>
                <w:b/>
                <w:color w:val="FFFFFF"/>
                <w:sz w:val="15"/>
              </w:rPr>
              <w:t>Super Admin</w:t>
            </w:r>
          </w:p>
        </w:tc>
      </w:tr>
      <w:tr>
        <w:tc>
          <w:tcPr>
            <w:tcW w:type="dxa" w:w="2448"/>
            <w:vAlign w:val="center"/>
          </w:tcPr>
          <w:p>
            <w:pPr>
              <w:spacing w:after="20"/>
            </w:pPr>
            <w:r/>
            <w:r>
              <w:rPr>
                <w:rFonts w:ascii="Aptos" w:hAnsi="Aptos"/>
                <w:b w:val="0"/>
                <w:color w:val="263238"/>
                <w:sz w:val="15"/>
              </w:rPr>
              <w:t>Search / compare</w:t>
            </w:r>
          </w:p>
        </w:tc>
        <w:tc>
          <w:tcPr>
            <w:tcW w:type="dxa" w:w="1800"/>
            <w:vAlign w:val="center"/>
          </w:tcPr>
          <w:p>
            <w:pPr>
              <w:spacing w:after="20"/>
            </w:pPr>
            <w:r/>
            <w:r>
              <w:rPr>
                <w:rFonts w:ascii="Aptos" w:hAnsi="Aptos"/>
                <w:b w:val="0"/>
                <w:color w:val="263238"/>
                <w:sz w:val="15"/>
              </w:rPr>
              <w:t>Yes</w:t>
            </w:r>
          </w:p>
        </w:tc>
        <w:tc>
          <w:tcPr>
            <w:tcW w:type="dxa" w:w="1800"/>
            <w:vAlign w:val="center"/>
          </w:tcPr>
          <w:p>
            <w:pPr>
              <w:spacing w:after="20"/>
            </w:pPr>
            <w:r/>
            <w:r>
              <w:rPr>
                <w:rFonts w:ascii="Aptos" w:hAnsi="Aptos"/>
                <w:b w:val="0"/>
                <w:color w:val="263238"/>
                <w:sz w:val="15"/>
              </w:rPr>
              <w:t>Yes</w:t>
            </w:r>
          </w:p>
        </w:tc>
        <w:tc>
          <w:tcPr>
            <w:tcW w:type="dxa" w:w="1800"/>
            <w:vAlign w:val="center"/>
          </w:tcPr>
          <w:p>
            <w:pPr>
              <w:spacing w:after="20"/>
            </w:pPr>
            <w:r/>
            <w:r>
              <w:rPr>
                <w:rFonts w:ascii="Aptos" w:hAnsi="Aptos"/>
                <w:b w:val="0"/>
                <w:color w:val="263238"/>
                <w:sz w:val="15"/>
              </w:rPr>
              <w:t>Limited</w:t>
            </w:r>
          </w:p>
        </w:tc>
        <w:tc>
          <w:tcPr>
            <w:tcW w:type="dxa" w:w="2232"/>
            <w:vAlign w:val="center"/>
          </w:tcPr>
          <w:p>
            <w:pPr>
              <w:spacing w:after="20"/>
            </w:pPr>
            <w:r/>
            <w:r>
              <w:rPr>
                <w:rFonts w:ascii="Aptos" w:hAnsi="Aptos"/>
                <w:b w:val="0"/>
                <w:color w:val="263238"/>
                <w:sz w:val="15"/>
              </w:rPr>
              <w:t>Oversight</w:t>
            </w:r>
          </w:p>
        </w:tc>
      </w:tr>
      <w:tr>
        <w:tc>
          <w:tcPr>
            <w:tcW w:type="dxa" w:w="2448"/>
            <w:vAlign w:val="center"/>
            <w:shd w:fill="F1F7F4"/>
          </w:tcPr>
          <w:p>
            <w:pPr>
              <w:spacing w:after="20"/>
            </w:pPr>
            <w:r/>
            <w:r>
              <w:rPr>
                <w:rFonts w:ascii="Aptos" w:hAnsi="Aptos"/>
                <w:b w:val="0"/>
                <w:color w:val="263238"/>
                <w:sz w:val="15"/>
              </w:rPr>
              <w:t>Create RFQ / booking</w:t>
            </w:r>
          </w:p>
        </w:tc>
        <w:tc>
          <w:tcPr>
            <w:tcW w:type="dxa" w:w="1800"/>
            <w:vAlign w:val="center"/>
            <w:shd w:fill="F1F7F4"/>
          </w:tcPr>
          <w:p>
            <w:pPr>
              <w:spacing w:after="20"/>
            </w:pPr>
            <w:r/>
            <w:r>
              <w:rPr>
                <w:rFonts w:ascii="Aptos" w:hAnsi="Aptos"/>
                <w:b w:val="0"/>
                <w:color w:val="263238"/>
                <w:sz w:val="15"/>
              </w:rPr>
              <w:t>Yes</w:t>
            </w:r>
          </w:p>
        </w:tc>
        <w:tc>
          <w:tcPr>
            <w:tcW w:type="dxa" w:w="1800"/>
            <w:vAlign w:val="center"/>
            <w:shd w:fill="F1F7F4"/>
          </w:tcPr>
          <w:p>
            <w:pPr>
              <w:spacing w:after="20"/>
            </w:pPr>
            <w:r/>
            <w:r>
              <w:rPr>
                <w:rFonts w:ascii="Aptos" w:hAnsi="Aptos"/>
                <w:b w:val="0"/>
                <w:color w:val="263238"/>
                <w:sz w:val="15"/>
              </w:rPr>
              <w:t>Yes in buyer mode</w:t>
            </w:r>
          </w:p>
        </w:tc>
        <w:tc>
          <w:tcPr>
            <w:tcW w:type="dxa" w:w="1800"/>
            <w:vAlign w:val="center"/>
            <w:shd w:fill="F1F7F4"/>
          </w:tcPr>
          <w:p>
            <w:pPr>
              <w:spacing w:after="20"/>
            </w:pPr>
            <w:r/>
            <w:r>
              <w:rPr>
                <w:rFonts w:ascii="Aptos" w:hAnsi="Aptos"/>
                <w:b w:val="0"/>
                <w:color w:val="263238"/>
                <w:sz w:val="15"/>
              </w:rPr>
              <w:t>No</w:t>
            </w:r>
          </w:p>
        </w:tc>
        <w:tc>
          <w:tcPr>
            <w:tcW w:type="dxa" w:w="2232"/>
            <w:vAlign w:val="center"/>
            <w:shd w:fill="F1F7F4"/>
          </w:tcPr>
          <w:p>
            <w:pPr>
              <w:spacing w:after="20"/>
            </w:pPr>
            <w:r/>
            <w:r>
              <w:rPr>
                <w:rFonts w:ascii="Aptos" w:hAnsi="Aptos"/>
                <w:b w:val="0"/>
                <w:color w:val="263238"/>
                <w:sz w:val="15"/>
              </w:rPr>
              <w:t>No routine action</w:t>
            </w:r>
          </w:p>
        </w:tc>
      </w:tr>
      <w:tr>
        <w:tc>
          <w:tcPr>
            <w:tcW w:type="dxa" w:w="2448"/>
            <w:vAlign w:val="center"/>
          </w:tcPr>
          <w:p>
            <w:pPr>
              <w:spacing w:after="20"/>
            </w:pPr>
            <w:r/>
            <w:r>
              <w:rPr>
                <w:rFonts w:ascii="Aptos" w:hAnsi="Aptos"/>
                <w:b w:val="0"/>
                <w:color w:val="263238"/>
                <w:sz w:val="15"/>
              </w:rPr>
              <w:t>Respond to RFQ / booking</w:t>
            </w:r>
          </w:p>
        </w:tc>
        <w:tc>
          <w:tcPr>
            <w:tcW w:type="dxa" w:w="1800"/>
            <w:vAlign w:val="center"/>
          </w:tcPr>
          <w:p>
            <w:pPr>
              <w:spacing w:after="20"/>
            </w:pPr>
            <w:r/>
            <w:r>
              <w:rPr>
                <w:rFonts w:ascii="Aptos" w:hAnsi="Aptos"/>
                <w:b w:val="0"/>
                <w:color w:val="263238"/>
                <w:sz w:val="15"/>
              </w:rPr>
              <w:t>No</w:t>
            </w:r>
          </w:p>
        </w:tc>
        <w:tc>
          <w:tcPr>
            <w:tcW w:type="dxa" w:w="1800"/>
            <w:vAlign w:val="center"/>
          </w:tcPr>
          <w:p>
            <w:pPr>
              <w:spacing w:after="20"/>
            </w:pPr>
            <w:r/>
            <w:r>
              <w:rPr>
                <w:rFonts w:ascii="Aptos" w:hAnsi="Aptos"/>
                <w:b w:val="0"/>
                <w:color w:val="263238"/>
                <w:sz w:val="15"/>
              </w:rPr>
              <w:t>Yes</w:t>
            </w:r>
          </w:p>
        </w:tc>
        <w:tc>
          <w:tcPr>
            <w:tcW w:type="dxa" w:w="1800"/>
            <w:vAlign w:val="center"/>
          </w:tcPr>
          <w:p>
            <w:pPr>
              <w:spacing w:after="20"/>
            </w:pPr>
            <w:r/>
            <w:r>
              <w:rPr>
                <w:rFonts w:ascii="Aptos" w:hAnsi="Aptos"/>
                <w:b w:val="0"/>
                <w:color w:val="263238"/>
                <w:sz w:val="15"/>
              </w:rPr>
              <w:t>No</w:t>
            </w:r>
          </w:p>
        </w:tc>
        <w:tc>
          <w:tcPr>
            <w:tcW w:type="dxa" w:w="2232"/>
            <w:vAlign w:val="center"/>
          </w:tcPr>
          <w:p>
            <w:pPr>
              <w:spacing w:after="20"/>
            </w:pPr>
            <w:r/>
            <w:r>
              <w:rPr>
                <w:rFonts w:ascii="Aptos" w:hAnsi="Aptos"/>
                <w:b w:val="0"/>
                <w:color w:val="263238"/>
                <w:sz w:val="15"/>
              </w:rPr>
              <w:t>Audited support only</w:t>
            </w:r>
          </w:p>
        </w:tc>
      </w:tr>
      <w:tr>
        <w:tc>
          <w:tcPr>
            <w:tcW w:type="dxa" w:w="2448"/>
            <w:vAlign w:val="center"/>
            <w:shd w:fill="F1F7F4"/>
          </w:tcPr>
          <w:p>
            <w:pPr>
              <w:spacing w:after="20"/>
            </w:pPr>
            <w:r/>
            <w:r>
              <w:rPr>
                <w:rFonts w:ascii="Aptos" w:hAnsi="Aptos"/>
                <w:b w:val="0"/>
                <w:color w:val="263238"/>
                <w:sz w:val="15"/>
              </w:rPr>
              <w:t>Manage catalogue/listings</w:t>
            </w:r>
          </w:p>
        </w:tc>
        <w:tc>
          <w:tcPr>
            <w:tcW w:type="dxa" w:w="1800"/>
            <w:vAlign w:val="center"/>
            <w:shd w:fill="F1F7F4"/>
          </w:tcPr>
          <w:p>
            <w:pPr>
              <w:spacing w:after="20"/>
            </w:pPr>
            <w:r/>
            <w:r>
              <w:rPr>
                <w:rFonts w:ascii="Aptos" w:hAnsi="Aptos"/>
                <w:b w:val="0"/>
                <w:color w:val="263238"/>
                <w:sz w:val="15"/>
              </w:rPr>
              <w:t>No</w:t>
            </w:r>
          </w:p>
        </w:tc>
        <w:tc>
          <w:tcPr>
            <w:tcW w:type="dxa" w:w="1800"/>
            <w:vAlign w:val="center"/>
            <w:shd w:fill="F1F7F4"/>
          </w:tcPr>
          <w:p>
            <w:pPr>
              <w:spacing w:after="20"/>
            </w:pPr>
            <w:r/>
            <w:r>
              <w:rPr>
                <w:rFonts w:ascii="Aptos" w:hAnsi="Aptos"/>
                <w:b w:val="0"/>
                <w:color w:val="263238"/>
                <w:sz w:val="15"/>
              </w:rPr>
              <w:t>Own records</w:t>
            </w:r>
          </w:p>
        </w:tc>
        <w:tc>
          <w:tcPr>
            <w:tcW w:type="dxa" w:w="1800"/>
            <w:vAlign w:val="center"/>
            <w:shd w:fill="F1F7F4"/>
          </w:tcPr>
          <w:p>
            <w:pPr>
              <w:spacing w:after="20"/>
            </w:pPr>
            <w:r/>
            <w:r>
              <w:rPr>
                <w:rFonts w:ascii="Aptos" w:hAnsi="Aptos"/>
                <w:b w:val="0"/>
                <w:color w:val="263238"/>
                <w:sz w:val="15"/>
              </w:rPr>
              <w:t>Assist with consent</w:t>
            </w:r>
          </w:p>
        </w:tc>
        <w:tc>
          <w:tcPr>
            <w:tcW w:type="dxa" w:w="2232"/>
            <w:vAlign w:val="center"/>
            <w:shd w:fill="F1F7F4"/>
          </w:tcPr>
          <w:p>
            <w:pPr>
              <w:spacing w:after="20"/>
            </w:pPr>
            <w:r/>
            <w:r>
              <w:rPr>
                <w:rFonts w:ascii="Aptos" w:hAnsi="Aptos"/>
                <w:b w:val="0"/>
                <w:color w:val="263238"/>
                <w:sz w:val="15"/>
              </w:rPr>
              <w:t>Audited exceptions</w:t>
            </w:r>
          </w:p>
        </w:tc>
      </w:tr>
      <w:tr>
        <w:tc>
          <w:tcPr>
            <w:tcW w:type="dxa" w:w="2448"/>
            <w:vAlign w:val="center"/>
          </w:tcPr>
          <w:p>
            <w:pPr>
              <w:spacing w:after="20"/>
            </w:pPr>
            <w:r/>
            <w:r>
              <w:rPr>
                <w:rFonts w:ascii="Aptos" w:hAnsi="Aptos"/>
                <w:b w:val="0"/>
                <w:color w:val="263238"/>
                <w:sz w:val="15"/>
              </w:rPr>
              <w:t>Submit verification evidence</w:t>
            </w:r>
          </w:p>
        </w:tc>
        <w:tc>
          <w:tcPr>
            <w:tcW w:type="dxa" w:w="1800"/>
            <w:vAlign w:val="center"/>
          </w:tcPr>
          <w:p>
            <w:pPr>
              <w:spacing w:after="20"/>
            </w:pPr>
            <w:r/>
            <w:r>
              <w:rPr>
                <w:rFonts w:ascii="Aptos" w:hAnsi="Aptos"/>
                <w:b w:val="0"/>
                <w:color w:val="263238"/>
                <w:sz w:val="15"/>
              </w:rPr>
              <w:t>No</w:t>
            </w:r>
          </w:p>
        </w:tc>
        <w:tc>
          <w:tcPr>
            <w:tcW w:type="dxa" w:w="1800"/>
            <w:vAlign w:val="center"/>
          </w:tcPr>
          <w:p>
            <w:pPr>
              <w:spacing w:after="20"/>
            </w:pPr>
            <w:r/>
            <w:r>
              <w:rPr>
                <w:rFonts w:ascii="Aptos" w:hAnsi="Aptos"/>
                <w:b w:val="0"/>
                <w:color w:val="263238"/>
                <w:sz w:val="15"/>
              </w:rPr>
              <w:t>Own business</w:t>
            </w:r>
          </w:p>
        </w:tc>
        <w:tc>
          <w:tcPr>
            <w:tcW w:type="dxa" w:w="1800"/>
            <w:vAlign w:val="center"/>
          </w:tcPr>
          <w:p>
            <w:pPr>
              <w:spacing w:after="20"/>
            </w:pPr>
            <w:r/>
            <w:r>
              <w:rPr>
                <w:rFonts w:ascii="Aptos" w:hAnsi="Aptos"/>
                <w:b w:val="0"/>
                <w:color w:val="263238"/>
                <w:sz w:val="15"/>
              </w:rPr>
              <w:t>With recorded consent</w:t>
            </w:r>
          </w:p>
        </w:tc>
        <w:tc>
          <w:tcPr>
            <w:tcW w:type="dxa" w:w="2232"/>
            <w:vAlign w:val="center"/>
          </w:tcPr>
          <w:p>
            <w:pPr>
              <w:spacing w:after="20"/>
            </w:pPr>
            <w:r/>
            <w:r>
              <w:rPr>
                <w:rFonts w:ascii="Aptos" w:hAnsi="Aptos"/>
                <w:b w:val="0"/>
                <w:color w:val="263238"/>
                <w:sz w:val="15"/>
              </w:rPr>
              <w:t>Reviews only</w:t>
            </w:r>
          </w:p>
        </w:tc>
      </w:tr>
      <w:tr>
        <w:tc>
          <w:tcPr>
            <w:tcW w:type="dxa" w:w="2448"/>
            <w:vAlign w:val="center"/>
            <w:shd w:fill="F1F7F4"/>
          </w:tcPr>
          <w:p>
            <w:pPr>
              <w:spacing w:after="20"/>
            </w:pPr>
            <w:r/>
            <w:r>
              <w:rPr>
                <w:rFonts w:ascii="Aptos" w:hAnsi="Aptos"/>
                <w:b w:val="0"/>
                <w:color w:val="263238"/>
                <w:sz w:val="15"/>
              </w:rPr>
              <w:t>Approve verification</w:t>
            </w:r>
          </w:p>
        </w:tc>
        <w:tc>
          <w:tcPr>
            <w:tcW w:type="dxa" w:w="1800"/>
            <w:vAlign w:val="center"/>
            <w:shd w:fill="F1F7F4"/>
          </w:tcPr>
          <w:p>
            <w:pPr>
              <w:spacing w:after="20"/>
            </w:pPr>
            <w:r/>
            <w:r>
              <w:rPr>
                <w:rFonts w:ascii="Aptos" w:hAnsi="Aptos"/>
                <w:b w:val="0"/>
                <w:color w:val="263238"/>
                <w:sz w:val="15"/>
              </w:rPr>
              <w:t>No</w:t>
            </w:r>
          </w:p>
        </w:tc>
        <w:tc>
          <w:tcPr>
            <w:tcW w:type="dxa" w:w="1800"/>
            <w:vAlign w:val="center"/>
            <w:shd w:fill="F1F7F4"/>
          </w:tcPr>
          <w:p>
            <w:pPr>
              <w:spacing w:after="20"/>
            </w:pPr>
            <w:r/>
            <w:r>
              <w:rPr>
                <w:rFonts w:ascii="Aptos" w:hAnsi="Aptos"/>
                <w:b w:val="0"/>
                <w:color w:val="263238"/>
                <w:sz w:val="15"/>
              </w:rPr>
              <w:t>Never own</w:t>
            </w:r>
          </w:p>
        </w:tc>
        <w:tc>
          <w:tcPr>
            <w:tcW w:type="dxa" w:w="1800"/>
            <w:vAlign w:val="center"/>
            <w:shd w:fill="F1F7F4"/>
          </w:tcPr>
          <w:p>
            <w:pPr>
              <w:spacing w:after="20"/>
            </w:pPr>
            <w:r/>
            <w:r>
              <w:rPr>
                <w:rFonts w:ascii="Aptos" w:hAnsi="Aptos"/>
                <w:b w:val="0"/>
                <w:color w:val="263238"/>
                <w:sz w:val="15"/>
              </w:rPr>
              <w:t>No</w:t>
            </w:r>
          </w:p>
        </w:tc>
        <w:tc>
          <w:tcPr>
            <w:tcW w:type="dxa" w:w="2232"/>
            <w:vAlign w:val="center"/>
            <w:shd w:fill="F1F7F4"/>
          </w:tcPr>
          <w:p>
            <w:pPr>
              <w:spacing w:after="20"/>
            </w:pPr>
            <w:r/>
            <w:r>
              <w:rPr>
                <w:rFonts w:ascii="Aptos" w:hAnsi="Aptos"/>
                <w:b w:val="0"/>
                <w:color w:val="263238"/>
                <w:sz w:val="15"/>
              </w:rPr>
              <w:t>Yes, not own account</w:t>
            </w:r>
          </w:p>
        </w:tc>
      </w:tr>
      <w:tr>
        <w:tc>
          <w:tcPr>
            <w:tcW w:type="dxa" w:w="2448"/>
            <w:vAlign w:val="center"/>
          </w:tcPr>
          <w:p>
            <w:pPr>
              <w:spacing w:after="20"/>
            </w:pPr>
            <w:r/>
            <w:r>
              <w:rPr>
                <w:rFonts w:ascii="Aptos" w:hAnsi="Aptos"/>
                <w:b w:val="0"/>
                <w:color w:val="263238"/>
                <w:sz w:val="15"/>
              </w:rPr>
              <w:t>Manage subscription</w:t>
            </w:r>
          </w:p>
        </w:tc>
        <w:tc>
          <w:tcPr>
            <w:tcW w:type="dxa" w:w="1800"/>
            <w:vAlign w:val="center"/>
          </w:tcPr>
          <w:p>
            <w:pPr>
              <w:spacing w:after="20"/>
            </w:pPr>
            <w:r/>
            <w:r>
              <w:rPr>
                <w:rFonts w:ascii="Aptos" w:hAnsi="Aptos"/>
                <w:b w:val="0"/>
                <w:color w:val="263238"/>
                <w:sz w:val="15"/>
              </w:rPr>
              <w:t>No</w:t>
            </w:r>
          </w:p>
        </w:tc>
        <w:tc>
          <w:tcPr>
            <w:tcW w:type="dxa" w:w="1800"/>
            <w:vAlign w:val="center"/>
          </w:tcPr>
          <w:p>
            <w:pPr>
              <w:spacing w:after="20"/>
            </w:pPr>
            <w:r/>
            <w:r>
              <w:rPr>
                <w:rFonts w:ascii="Aptos" w:hAnsi="Aptos"/>
                <w:b w:val="0"/>
                <w:color w:val="263238"/>
                <w:sz w:val="15"/>
              </w:rPr>
              <w:t>Own plan</w:t>
            </w:r>
          </w:p>
        </w:tc>
        <w:tc>
          <w:tcPr>
            <w:tcW w:type="dxa" w:w="1800"/>
            <w:vAlign w:val="center"/>
          </w:tcPr>
          <w:p>
            <w:pPr>
              <w:spacing w:after="20"/>
            </w:pPr>
            <w:r/>
            <w:r>
              <w:rPr>
                <w:rFonts w:ascii="Aptos" w:hAnsi="Aptos"/>
                <w:b w:val="0"/>
                <w:color w:val="263238"/>
                <w:sz w:val="15"/>
              </w:rPr>
              <w:t>Track conversion only</w:t>
            </w:r>
          </w:p>
        </w:tc>
        <w:tc>
          <w:tcPr>
            <w:tcW w:type="dxa" w:w="2232"/>
            <w:vAlign w:val="center"/>
          </w:tcPr>
          <w:p>
            <w:pPr>
              <w:spacing w:after="20"/>
            </w:pPr>
            <w:r/>
            <w:r>
              <w:rPr>
                <w:rFonts w:ascii="Aptos" w:hAnsi="Aptos"/>
                <w:b w:val="0"/>
                <w:color w:val="263238"/>
                <w:sz w:val="15"/>
              </w:rPr>
              <w:t>Oversight/corrections</w:t>
            </w:r>
          </w:p>
        </w:tc>
      </w:tr>
      <w:tr>
        <w:tc>
          <w:tcPr>
            <w:tcW w:type="dxa" w:w="2448"/>
            <w:vAlign w:val="center"/>
            <w:shd w:fill="F1F7F4"/>
          </w:tcPr>
          <w:p>
            <w:pPr>
              <w:spacing w:after="20"/>
            </w:pPr>
            <w:r/>
            <w:r>
              <w:rPr>
                <w:rFonts w:ascii="Aptos" w:hAnsi="Aptos"/>
                <w:b w:val="0"/>
                <w:color w:val="263238"/>
                <w:sz w:val="15"/>
              </w:rPr>
              <w:t>Moderate content</w:t>
            </w:r>
          </w:p>
        </w:tc>
        <w:tc>
          <w:tcPr>
            <w:tcW w:type="dxa" w:w="1800"/>
            <w:vAlign w:val="center"/>
            <w:shd w:fill="F1F7F4"/>
          </w:tcPr>
          <w:p>
            <w:pPr>
              <w:spacing w:after="20"/>
            </w:pPr>
            <w:r/>
            <w:r>
              <w:rPr>
                <w:rFonts w:ascii="Aptos" w:hAnsi="Aptos"/>
                <w:b w:val="0"/>
                <w:color w:val="263238"/>
                <w:sz w:val="15"/>
              </w:rPr>
              <w:t>Report</w:t>
            </w:r>
          </w:p>
        </w:tc>
        <w:tc>
          <w:tcPr>
            <w:tcW w:type="dxa" w:w="1800"/>
            <w:vAlign w:val="center"/>
            <w:shd w:fill="F1F7F4"/>
          </w:tcPr>
          <w:p>
            <w:pPr>
              <w:spacing w:after="20"/>
            </w:pPr>
            <w:r/>
            <w:r>
              <w:rPr>
                <w:rFonts w:ascii="Aptos" w:hAnsi="Aptos"/>
                <w:b w:val="0"/>
                <w:color w:val="263238"/>
                <w:sz w:val="15"/>
              </w:rPr>
              <w:t>Respond/report</w:t>
            </w:r>
          </w:p>
        </w:tc>
        <w:tc>
          <w:tcPr>
            <w:tcW w:type="dxa" w:w="1800"/>
            <w:vAlign w:val="center"/>
            <w:shd w:fill="F1F7F4"/>
          </w:tcPr>
          <w:p>
            <w:pPr>
              <w:spacing w:after="20"/>
            </w:pPr>
            <w:r/>
            <w:r>
              <w:rPr>
                <w:rFonts w:ascii="Aptos" w:hAnsi="Aptos"/>
                <w:b w:val="0"/>
                <w:color w:val="263238"/>
                <w:sz w:val="15"/>
              </w:rPr>
              <w:t>No</w:t>
            </w:r>
          </w:p>
        </w:tc>
        <w:tc>
          <w:tcPr>
            <w:tcW w:type="dxa" w:w="2232"/>
            <w:vAlign w:val="center"/>
            <w:shd w:fill="F1F7F4"/>
          </w:tcPr>
          <w:p>
            <w:pPr>
              <w:spacing w:after="20"/>
            </w:pPr>
            <w:r/>
            <w:r>
              <w:rPr>
                <w:rFonts w:ascii="Aptos" w:hAnsi="Aptos"/>
                <w:b w:val="0"/>
                <w:color w:val="263238"/>
                <w:sz w:val="15"/>
              </w:rPr>
              <w:t>Yes</w:t>
            </w:r>
          </w:p>
        </w:tc>
      </w:tr>
      <w:tr>
        <w:tc>
          <w:tcPr>
            <w:tcW w:type="dxa" w:w="2448"/>
            <w:vAlign w:val="center"/>
          </w:tcPr>
          <w:p>
            <w:pPr>
              <w:spacing w:after="20"/>
            </w:pPr>
            <w:r/>
            <w:r>
              <w:rPr>
                <w:rFonts w:ascii="Aptos" w:hAnsi="Aptos"/>
                <w:b w:val="0"/>
                <w:color w:val="263238"/>
                <w:sz w:val="15"/>
              </w:rPr>
              <w:t>Manage categories/markets</w:t>
            </w:r>
          </w:p>
        </w:tc>
        <w:tc>
          <w:tcPr>
            <w:tcW w:type="dxa" w:w="1800"/>
            <w:vAlign w:val="center"/>
          </w:tcPr>
          <w:p>
            <w:pPr>
              <w:spacing w:after="20"/>
            </w:pPr>
            <w:r/>
            <w:r>
              <w:rPr>
                <w:rFonts w:ascii="Aptos" w:hAnsi="Aptos"/>
                <w:b w:val="0"/>
                <w:color w:val="263238"/>
                <w:sz w:val="15"/>
              </w:rPr>
              <w:t>No</w:t>
            </w:r>
          </w:p>
        </w:tc>
        <w:tc>
          <w:tcPr>
            <w:tcW w:type="dxa" w:w="1800"/>
            <w:vAlign w:val="center"/>
          </w:tcPr>
          <w:p>
            <w:pPr>
              <w:spacing w:after="20"/>
            </w:pPr>
            <w:r/>
            <w:r>
              <w:rPr>
                <w:rFonts w:ascii="Aptos" w:hAnsi="Aptos"/>
                <w:b w:val="0"/>
                <w:color w:val="263238"/>
                <w:sz w:val="15"/>
              </w:rPr>
              <w:t>Suggest category</w:t>
            </w:r>
          </w:p>
        </w:tc>
        <w:tc>
          <w:tcPr>
            <w:tcW w:type="dxa" w:w="1800"/>
            <w:vAlign w:val="center"/>
          </w:tcPr>
          <w:p>
            <w:pPr>
              <w:spacing w:after="20"/>
            </w:pPr>
            <w:r/>
            <w:r>
              <w:rPr>
                <w:rFonts w:ascii="Aptos" w:hAnsi="Aptos"/>
                <w:b w:val="0"/>
                <w:color w:val="263238"/>
                <w:sz w:val="15"/>
              </w:rPr>
              <w:t>No</w:t>
            </w:r>
          </w:p>
        </w:tc>
        <w:tc>
          <w:tcPr>
            <w:tcW w:type="dxa" w:w="2232"/>
            <w:vAlign w:val="center"/>
          </w:tcPr>
          <w:p>
            <w:pPr>
              <w:spacing w:after="20"/>
            </w:pPr>
            <w:r/>
            <w:r>
              <w:rPr>
                <w:rFonts w:ascii="Aptos" w:hAnsi="Aptos"/>
                <w:b w:val="0"/>
                <w:color w:val="263238"/>
                <w:sz w:val="15"/>
              </w:rPr>
              <w:t>Yes</w:t>
            </w:r>
          </w:p>
        </w:tc>
      </w:tr>
      <w:tr>
        <w:tc>
          <w:tcPr>
            <w:tcW w:type="dxa" w:w="2448"/>
            <w:vAlign w:val="center"/>
            <w:shd w:fill="F1F7F4"/>
          </w:tcPr>
          <w:p>
            <w:pPr>
              <w:spacing w:after="20"/>
            </w:pPr>
            <w:r/>
            <w:r>
              <w:rPr>
                <w:rFonts w:ascii="Aptos" w:hAnsi="Aptos"/>
                <w:b w:val="0"/>
                <w:color w:val="263238"/>
                <w:sz w:val="15"/>
              </w:rPr>
              <w:t>Read audit logs</w:t>
            </w:r>
          </w:p>
        </w:tc>
        <w:tc>
          <w:tcPr>
            <w:tcW w:type="dxa" w:w="1800"/>
            <w:vAlign w:val="center"/>
            <w:shd w:fill="F1F7F4"/>
          </w:tcPr>
          <w:p>
            <w:pPr>
              <w:spacing w:after="20"/>
            </w:pPr>
            <w:r/>
            <w:r>
              <w:rPr>
                <w:rFonts w:ascii="Aptos" w:hAnsi="Aptos"/>
                <w:b w:val="0"/>
                <w:color w:val="263238"/>
                <w:sz w:val="15"/>
              </w:rPr>
              <w:t>Own activity</w:t>
            </w:r>
          </w:p>
        </w:tc>
        <w:tc>
          <w:tcPr>
            <w:tcW w:type="dxa" w:w="1800"/>
            <w:vAlign w:val="center"/>
            <w:shd w:fill="F1F7F4"/>
          </w:tcPr>
          <w:p>
            <w:pPr>
              <w:spacing w:after="20"/>
            </w:pPr>
            <w:r/>
            <w:r>
              <w:rPr>
                <w:rFonts w:ascii="Aptos" w:hAnsi="Aptos"/>
                <w:b w:val="0"/>
                <w:color w:val="263238"/>
                <w:sz w:val="15"/>
              </w:rPr>
              <w:t>Own activity</w:t>
            </w:r>
          </w:p>
        </w:tc>
        <w:tc>
          <w:tcPr>
            <w:tcW w:type="dxa" w:w="1800"/>
            <w:vAlign w:val="center"/>
            <w:shd w:fill="F1F7F4"/>
          </w:tcPr>
          <w:p>
            <w:pPr>
              <w:spacing w:after="20"/>
            </w:pPr>
            <w:r/>
            <w:r>
              <w:rPr>
                <w:rFonts w:ascii="Aptos" w:hAnsi="Aptos"/>
                <w:b w:val="0"/>
                <w:color w:val="263238"/>
                <w:sz w:val="15"/>
              </w:rPr>
              <w:t>Assigned activity</w:t>
            </w:r>
          </w:p>
        </w:tc>
        <w:tc>
          <w:tcPr>
            <w:tcW w:type="dxa" w:w="2232"/>
            <w:vAlign w:val="center"/>
            <w:shd w:fill="F1F7F4"/>
          </w:tcPr>
          <w:p>
            <w:pPr>
              <w:spacing w:after="20"/>
            </w:pPr>
            <w:r/>
            <w:r>
              <w:rPr>
                <w:rFonts w:ascii="Aptos" w:hAnsi="Aptos"/>
                <w:b w:val="0"/>
                <w:color w:val="263238"/>
                <w:sz w:val="15"/>
              </w:rPr>
              <w:t>Global with safeguards</w:t>
            </w:r>
          </w:p>
        </w:tc>
      </w:tr>
    </w:tbl>
    <w:p>
      <w:pPr>
        <w:spacing w:after="20"/>
      </w:pPr>
    </w:p>
    <w:p>
      <w:pPr>
        <w:pStyle w:val="Heading1"/>
      </w:pPr>
      <w:r>
        <w:t>6. R1 boundaries and decisions to close</w:t>
      </w:r>
    </w:p>
    <w:p>
      <w:pPr>
        <w:pStyle w:val="Heading2"/>
      </w:pPr>
      <w:r>
        <w:t>Mandatory R1 restrictions</w:t>
      </w:r>
    </w:p>
    <w:p>
      <w:pPr>
        <w:pStyle w:val="ListBullet"/>
        <w:spacing w:after="40"/>
      </w:pPr>
      <w:r>
        <w:t>No platform-mediated customer-to-vendor service payments, escrow or vendor payouts.</w:t>
      </w:r>
    </w:p>
    <w:p>
      <w:pPr>
        <w:pStyle w:val="ListBullet"/>
        <w:spacing w:after="40"/>
      </w:pPr>
      <w:r>
        <w:t>Vendor subscriptions and clearly labelled sponsored visibility are permitted monetization models.</w:t>
      </w:r>
    </w:p>
    <w:p>
      <w:pPr>
        <w:pStyle w:val="ListBullet"/>
        <w:spacing w:after="40"/>
      </w:pPr>
      <w:r>
        <w:t>Vendor staff accounts are excluded from R1.</w:t>
      </w:r>
    </w:p>
    <w:p>
      <w:pPr>
        <w:pStyle w:val="ListBullet"/>
        <w:spacing w:after="40"/>
      </w:pPr>
      <w:r>
        <w:t>Enterprise procurement approval chains are excluded from R1.</w:t>
      </w:r>
    </w:p>
    <w:p>
      <w:pPr>
        <w:pStyle w:val="ListBullet"/>
        <w:spacing w:after="40"/>
      </w:pPr>
      <w:r>
        <w:t>AI workflows, price prediction, advanced analytics and GPS/offline field workflows are future scope unless explicitly approved.</w:t>
      </w:r>
    </w:p>
    <w:p>
      <w:pPr>
        <w:pStyle w:val="ListBullet"/>
        <w:spacing w:after="40"/>
      </w:pPr>
      <w:r>
        <w:t>Payment-related future extension points must not simulate successful payments or suggest funds are protected.</w:t>
      </w:r>
    </w:p>
    <w:p>
      <w:pPr>
        <w:pStyle w:val="Heading2"/>
      </w:pPr>
      <w:r>
        <w:t>Product decisions to finalize</w:t>
      </w:r>
    </w:p>
    <w:p>
      <w:pPr>
        <w:pStyle w:val="ListBullet"/>
        <w:spacing w:after="40"/>
      </w:pPr>
      <w:r>
        <w:t>R1 payments: keep platform-mediated customer-to-vendor payments, escrow and payouts disabled. Direct/offline payment terms may be recorded as informational contract fields only if approved by product/legal.</w:t>
      </w:r>
    </w:p>
    <w:p>
      <w:pPr>
        <w:pStyle w:val="ListBullet"/>
        <w:spacing w:after="40"/>
      </w:pPr>
      <w:r>
        <w:t>R1 exclusions: vendor staff accounts, enterprise procurement approval chains, advanced AI workflows, price prediction, advanced analytics and GPS/offline field operations are future scope.</w:t>
      </w:r>
    </w:p>
    <w:p>
      <w:pPr>
        <w:pStyle w:val="ListBullet"/>
        <w:spacing w:after="40"/>
      </w:pPr>
      <w:r>
        <w:t>Confirm whether purchase-order tracking is included in R1 or deferred; do not confuse RFQ/quote acceptance with a completed purchase order.</w:t>
      </w:r>
    </w:p>
    <w:p>
      <w:pPr>
        <w:pStyle w:val="ListBullet"/>
        <w:spacing w:after="40"/>
      </w:pPr>
      <w:r>
        <w:t>Define initial launch countries/cities, categories, languages and vendor types.</w:t>
      </w:r>
    </w:p>
    <w:p>
      <w:pPr>
        <w:pStyle w:val="ListBullet"/>
        <w:spacing w:after="40"/>
      </w:pPr>
      <w:r>
        <w:t>Set subscription plan names, prices, entitlements, grace period, expiry behaviour and cancellation rules.</w:t>
      </w:r>
    </w:p>
    <w:p>
      <w:pPr>
        <w:pStyle w:val="ListBullet"/>
        <w:spacing w:after="40"/>
      </w:pPr>
      <w:r>
        <w:t>Approve verification matrix by country and category, including document retention and expiry.</w:t>
      </w:r>
    </w:p>
    <w:p>
      <w:pPr>
        <w:pStyle w:val="ListBullet"/>
        <w:spacing w:after="40"/>
      </w:pPr>
      <w:r>
        <w:t>Define booking cancellation/no-show policy and completion confirmation window.</w:t>
      </w:r>
    </w:p>
    <w:p>
      <w:pPr>
        <w:pStyle w:val="ListBullet"/>
        <w:spacing w:after="40"/>
      </w:pPr>
      <w:r>
        <w:t>Define sponsored placement disclosure and organic ranking rules.</w:t>
      </w:r>
    </w:p>
    <w:p>
      <w:pPr>
        <w:pStyle w:val="ListBullet"/>
        <w:spacing w:after="40"/>
      </w:pPr>
      <w:r>
        <w:t>Define review eligibility, moderation, appeal and dispute policy.</w:t>
      </w:r>
    </w:p>
    <w:p>
      <w:pPr>
        <w:pStyle w:val="ListBullet"/>
        <w:spacing w:after="40"/>
      </w:pPr>
      <w:r>
        <w:t>Confirm supplier vs manufacturer as vendor types or distinct role types; keep permissions explicit.</w:t>
      </w:r>
    </w:p>
    <w:p>
      <w:pPr>
        <w:pStyle w:val="ListBullet"/>
        <w:spacing w:after="40"/>
      </w:pPr>
      <w:r>
        <w:t>Set performance targets only after load testing and operational measurement.</w:t>
      </w:r>
    </w:p>
    <w:p>
      <w:pPr>
        <w:pStyle w:val="ListBullet"/>
        <w:spacing w:after="40"/>
      </w:pPr>
      <w:r>
        <w:t>Audit and validate any category count before publishing it; do not infer a count from menu items.</w:t>
      </w:r>
    </w:p>
    <w:p>
      <w:pPr>
        <w:pStyle w:val="Heading2"/>
      </w:pPr>
      <w:r>
        <w:t>Recommended phased delivery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vAlign w:val="center"/>
            <w:shd w:fill="1F6B4F"/>
          </w:tcPr>
          <w:p>
            <w:pPr>
              <w:spacing w:after="20"/>
            </w:pPr>
            <w:r/>
            <w:r>
              <w:rPr>
                <w:rFonts w:ascii="Aptos" w:hAnsi="Aptos"/>
                <w:b/>
                <w:color w:val="FFFFFF"/>
                <w:sz w:val="15"/>
              </w:rPr>
              <w:t>Phase</w:t>
            </w:r>
          </w:p>
        </w:tc>
        <w:tc>
          <w:tcPr>
            <w:tcW w:type="dxa" w:w="4608"/>
            <w:vAlign w:val="center"/>
            <w:shd w:fill="1F6B4F"/>
          </w:tcPr>
          <w:p>
            <w:pPr>
              <w:spacing w:after="20"/>
            </w:pPr>
            <w:r/>
            <w:r>
              <w:rPr>
                <w:rFonts w:ascii="Aptos" w:hAnsi="Aptos"/>
                <w:b/>
                <w:color w:val="FFFFFF"/>
                <w:sz w:val="15"/>
              </w:rPr>
              <w:t>Focus</w:t>
            </w:r>
          </w:p>
        </w:tc>
        <w:tc>
          <w:tcPr>
            <w:tcW w:type="dxa" w:w="3456"/>
            <w:vAlign w:val="center"/>
            <w:shd w:fill="1F6B4F"/>
          </w:tcPr>
          <w:p>
            <w:pPr>
              <w:spacing w:after="20"/>
            </w:pPr>
            <w:r/>
            <w:r>
              <w:rPr>
                <w:rFonts w:ascii="Aptos" w:hAnsi="Aptos"/>
                <w:b/>
                <w:color w:val="FFFFFF"/>
                <w:sz w:val="15"/>
              </w:rPr>
              <w:t>Completion signal</w:t>
            </w:r>
          </w:p>
        </w:tc>
      </w:tr>
      <w:tr>
        <w:tc>
          <w:tcPr>
            <w:tcW w:type="dxa" w:w="2160"/>
            <w:vAlign w:val="center"/>
          </w:tcPr>
          <w:p>
            <w:pPr>
              <w:spacing w:after="20"/>
            </w:pPr>
            <w:r/>
            <w:r>
              <w:rPr>
                <w:rFonts w:ascii="Aptos" w:hAnsi="Aptos"/>
                <w:b w:val="0"/>
                <w:color w:val="263238"/>
                <w:sz w:val="15"/>
              </w:rPr>
              <w:t>Phase 1 — Foundation</w:t>
            </w:r>
          </w:p>
        </w:tc>
        <w:tc>
          <w:tcPr>
            <w:tcW w:type="dxa" w:w="4608"/>
            <w:vAlign w:val="center"/>
          </w:tcPr>
          <w:p>
            <w:pPr>
              <w:spacing w:after="20"/>
            </w:pPr>
            <w:r/>
            <w:r>
              <w:rPr>
                <w:rFonts w:ascii="Aptos" w:hAnsi="Aptos"/>
                <w:b w:val="0"/>
                <w:color w:val="263238"/>
                <w:sz w:val="15"/>
              </w:rPr>
              <w:t>Categories, listings, search, onboarding, verification gates, roles, lead inbox and subscription transparency.</w:t>
            </w:r>
          </w:p>
        </w:tc>
        <w:tc>
          <w:tcPr>
            <w:tcW w:type="dxa" w:w="3456"/>
            <w:vAlign w:val="center"/>
          </w:tcPr>
          <w:p>
            <w:pPr>
              <w:spacing w:after="20"/>
            </w:pPr>
            <w:r/>
            <w:r>
              <w:rPr>
                <w:rFonts w:ascii="Aptos" w:hAnsi="Aptos"/>
                <w:b w:val="0"/>
                <w:color w:val="263238"/>
                <w:sz w:val="15"/>
              </w:rPr>
              <w:t>End-to-end flows persist to the backend and pass authorization and regression tests.</w:t>
            </w:r>
          </w:p>
        </w:tc>
      </w:tr>
      <w:tr>
        <w:tc>
          <w:tcPr>
            <w:tcW w:type="dxa" w:w="2160"/>
            <w:vAlign w:val="center"/>
            <w:shd w:fill="F1F7F4"/>
          </w:tcPr>
          <w:p>
            <w:pPr>
              <w:spacing w:after="20"/>
            </w:pPr>
            <w:r/>
            <w:r>
              <w:rPr>
                <w:rFonts w:ascii="Aptos" w:hAnsi="Aptos"/>
                <w:b w:val="0"/>
                <w:color w:val="263238"/>
                <w:sz w:val="15"/>
              </w:rPr>
              <w:t>Phase 2 — Business workflows</w:t>
            </w:r>
          </w:p>
        </w:tc>
        <w:tc>
          <w:tcPr>
            <w:tcW w:type="dxa" w:w="4608"/>
            <w:vAlign w:val="center"/>
            <w:shd w:fill="F1F7F4"/>
          </w:tcPr>
          <w:p>
            <w:pPr>
              <w:spacing w:after="20"/>
            </w:pPr>
            <w:r/>
            <w:r>
              <w:rPr>
                <w:rFonts w:ascii="Aptos" w:hAnsi="Aptos"/>
                <w:b w:val="0"/>
                <w:color w:val="263238"/>
                <w:sz w:val="15"/>
              </w:rPr>
              <w:t>RFQs, quote revisions/comparison, acceptance snapshots, messaging, service booking and issue cases.</w:t>
            </w:r>
          </w:p>
        </w:tc>
        <w:tc>
          <w:tcPr>
            <w:tcW w:type="dxa" w:w="3456"/>
            <w:vAlign w:val="center"/>
            <w:shd w:fill="F1F7F4"/>
          </w:tcPr>
          <w:p>
            <w:pPr>
              <w:spacing w:after="20"/>
            </w:pPr>
            <w:r/>
            <w:r>
              <w:rPr>
                <w:rFonts w:ascii="Aptos" w:hAnsi="Aptos"/>
                <w:b w:val="0"/>
                <w:color w:val="263238"/>
                <w:sz w:val="15"/>
              </w:rPr>
              <w:t>Each workflow has defined states, negative tests and auditable transitions.</w:t>
            </w:r>
          </w:p>
        </w:tc>
      </w:tr>
      <w:tr>
        <w:tc>
          <w:tcPr>
            <w:tcW w:type="dxa" w:w="2160"/>
            <w:vAlign w:val="center"/>
          </w:tcPr>
          <w:p>
            <w:pPr>
              <w:spacing w:after="20"/>
            </w:pPr>
            <w:r/>
            <w:r>
              <w:rPr>
                <w:rFonts w:ascii="Aptos" w:hAnsi="Aptos"/>
                <w:b w:val="0"/>
                <w:color w:val="263238"/>
                <w:sz w:val="15"/>
              </w:rPr>
              <w:t>Phase 3 — Differentiation</w:t>
            </w:r>
          </w:p>
        </w:tc>
        <w:tc>
          <w:tcPr>
            <w:tcW w:type="dxa" w:w="4608"/>
            <w:vAlign w:val="center"/>
          </w:tcPr>
          <w:p>
            <w:pPr>
              <w:spacing w:after="20"/>
            </w:pPr>
            <w:r/>
            <w:r>
              <w:rPr>
                <w:rFonts w:ascii="Aptos" w:hAnsi="Aptos"/>
                <w:b w:val="0"/>
                <w:color w:val="263238"/>
                <w:sz w:val="15"/>
              </w:rPr>
              <w:t>Multi-vendor project boards, advanced comparison, international configuration and vendor analytics.</w:t>
            </w:r>
          </w:p>
        </w:tc>
        <w:tc>
          <w:tcPr>
            <w:tcW w:type="dxa" w:w="3456"/>
            <w:vAlign w:val="center"/>
          </w:tcPr>
          <w:p>
            <w:pPr>
              <w:spacing w:after="20"/>
            </w:pPr>
            <w:r/>
            <w:r>
              <w:rPr>
                <w:rFonts w:ascii="Aptos" w:hAnsi="Aptos"/>
                <w:b w:val="0"/>
                <w:color w:val="263238"/>
                <w:sz w:val="15"/>
              </w:rPr>
              <w:t>Operational metrics have definitions and no mock values are shown as real.</w:t>
            </w:r>
          </w:p>
        </w:tc>
      </w:tr>
      <w:tr>
        <w:tc>
          <w:tcPr>
            <w:tcW w:type="dxa" w:w="2160"/>
            <w:vAlign w:val="center"/>
            <w:shd w:fill="F1F7F4"/>
          </w:tcPr>
          <w:p>
            <w:pPr>
              <w:spacing w:after="20"/>
            </w:pPr>
            <w:r/>
            <w:r>
              <w:rPr>
                <w:rFonts w:ascii="Aptos" w:hAnsi="Aptos"/>
                <w:b w:val="0"/>
                <w:color w:val="263238"/>
                <w:sz w:val="15"/>
              </w:rPr>
              <w:t>Future</w:t>
            </w:r>
          </w:p>
        </w:tc>
        <w:tc>
          <w:tcPr>
            <w:tcW w:type="dxa" w:w="4608"/>
            <w:vAlign w:val="center"/>
            <w:shd w:fill="F1F7F4"/>
          </w:tcPr>
          <w:p>
            <w:pPr>
              <w:spacing w:after="20"/>
            </w:pPr>
            <w:r/>
            <w:r>
              <w:rPr>
                <w:rFonts w:ascii="Aptos" w:hAnsi="Aptos"/>
                <w:b w:val="0"/>
                <w:color w:val="263238"/>
                <w:sz w:val="15"/>
              </w:rPr>
              <w:t>AI workflows, advanced analytics, enterprise procurement, staff accounts and payment-related integrations.</w:t>
            </w:r>
          </w:p>
        </w:tc>
        <w:tc>
          <w:tcPr>
            <w:tcW w:type="dxa" w:w="3456"/>
            <w:vAlign w:val="center"/>
            <w:shd w:fill="F1F7F4"/>
          </w:tcPr>
          <w:p>
            <w:pPr>
              <w:spacing w:after="20"/>
            </w:pPr>
            <w:r/>
            <w:r>
              <w:rPr>
                <w:rFonts w:ascii="Aptos" w:hAnsi="Aptos"/>
                <w:b w:val="0"/>
                <w:color w:val="263238"/>
                <w:sz w:val="15"/>
              </w:rPr>
              <w:t>Separate product, legal, security and operational approval.</w:t>
            </w:r>
          </w:p>
        </w:tc>
      </w:tr>
    </w:tbl>
    <w:p>
      <w:pPr>
        <w:spacing w:after="20"/>
      </w:pPr>
    </w:p>
    <w:p>
      <w:pPr>
        <w:pStyle w:val="Heading1"/>
      </w:pPr>
      <w:r>
        <w:t>7. Sources and research notes</w:t>
      </w:r>
    </w:p>
    <w:p>
      <w:r>
        <w:t>Research cutoff: 29 October 2026. Prioritize official company filings for scale metrics. Product availability and plan-specific details can change; verify current official product pages before implementation or publication.</w:t>
      </w:r>
    </w:p>
    <w:p>
      <w:pPr>
        <w:pStyle w:val="ListBullet"/>
        <w:spacing w:after="60"/>
      </w:pPr>
      <w:r>
        <w:rPr>
          <w:b/>
        </w:rPr>
        <w:t xml:space="preserve">IndiaMART Integrated Annual Report FY 2025–26 (NSE filing): </w:t>
      </w:r>
      <w:r>
        <w:t>https://nsearchives.nseindia.com/corporate/INDIAMART_02062026160515_Submission_of_AGM_Notice_and_AR.pdf</w:t>
      </w:r>
    </w:p>
    <w:p>
      <w:pPr>
        <w:pStyle w:val="ListBullet"/>
        <w:spacing w:after="60"/>
      </w:pPr>
      <w:r>
        <w:rPr>
          <w:b/>
        </w:rPr>
        <w:t xml:space="preserve">IndiaMART Annual Report FY 2024–25 (NSE archive): </w:t>
      </w:r>
      <w:r>
        <w:t>https://nsearchives.nseindia.com/annual_reports/AR_26442_INDIAMART_2024_2025_A_20052025192331.pdf</w:t>
      </w:r>
    </w:p>
    <w:p>
      <w:pPr>
        <w:pStyle w:val="ListBullet"/>
        <w:spacing w:after="60"/>
      </w:pPr>
      <w:r>
        <w:rPr>
          <w:b/>
        </w:rPr>
        <w:t xml:space="preserve">IndiaMART app listing and user reviews (Apple App Store): </w:t>
      </w:r>
      <w:r>
        <w:t>https://apps.apple.com/in/app/indiamart-b2b-marketplace-app/id668561641?see-all=reviews</w:t>
      </w:r>
    </w:p>
    <w:p>
      <w:pPr>
        <w:pStyle w:val="ListBullet"/>
        <w:spacing w:after="60"/>
      </w:pPr>
      <w:r>
        <w:rPr>
          <w:b/>
        </w:rPr>
        <w:t xml:space="preserve">IndiaMART app listing (Google Play PDF listing): </w:t>
      </w:r>
      <w:r>
        <w:t>https://5.imimg.com/data5/IOS/Doc/2025/10/549971814/YH/VM/IT/35398108/indiamart-b2b-marketplace-app-apps-on-google-play-pdf.pdf</w:t>
      </w:r>
    </w:p>
    <w:p>
      <w:pPr>
        <w:pStyle w:val="ListBullet"/>
        <w:spacing w:after="60"/>
      </w:pPr>
      <w:r>
        <w:rPr>
          <w:b/>
        </w:rPr>
        <w:t xml:space="preserve">IndiaMART customer reviews (Trustpilot): </w:t>
      </w:r>
      <w:r>
        <w:t>https://www.trustpilot.com/review/m.indiamart.com?page=2</w:t>
      </w:r>
    </w:p>
    <w:p>
      <w:pPr>
        <w:pStyle w:val="ListBullet"/>
        <w:spacing w:after="60"/>
      </w:pPr>
      <w:r>
        <w:rPr>
          <w:b/>
        </w:rPr>
        <w:t xml:space="preserve">IndiaMART company annual report summary (FinancialFilings): </w:t>
      </w:r>
      <w:r>
        <w:t>https://financialfilings.com/filings/indiamart-intermesh-limited/annual-report/2026/57346817/</w:t>
      </w:r>
    </w:p>
    <w:p>
      <w:pPr>
        <w:pStyle w:val="Heading2"/>
      </w:pPr>
      <w:r>
        <w:t>Metric and comparison caveats</w:t>
      </w:r>
    </w:p>
    <w:p>
      <w:pPr>
        <w:pStyle w:val="ListBullet"/>
        <w:spacing w:after="40"/>
      </w:pPr>
      <w:r>
        <w:t>Registered buyers are not the same as active buyers or completed purchasing customers.</w:t>
      </w:r>
    </w:p>
    <w:p>
      <w:pPr>
        <w:pStyle w:val="ListBullet"/>
        <w:spacing w:after="40"/>
      </w:pPr>
      <w:r>
        <w:t>Registered suppliers are not the same as paying suppliers or unique active vendors.</w:t>
      </w:r>
    </w:p>
    <w:p>
      <w:pPr>
        <w:pStyle w:val="ListBullet"/>
        <w:spacing w:after="40"/>
      </w:pPr>
      <w:r>
        <w:t>Product listings are not unique categories, unique suppliers or inventory guarantees.</w:t>
      </w:r>
    </w:p>
    <w:p>
      <w:pPr>
        <w:pStyle w:val="ListBullet"/>
        <w:spacing w:after="40"/>
      </w:pPr>
      <w:r>
        <w:t>Business enquiries are not completed orders, revenue or conversion.</w:t>
      </w:r>
    </w:p>
    <w:p>
      <w:pPr>
        <w:pStyle w:val="ListBullet"/>
        <w:spacing w:after="40"/>
      </w:pPr>
      <w:r>
        <w:t>Anecdotal reviews do not establish platform-wide prevalence.</w:t>
      </w:r>
    </w:p>
    <w:p>
      <w:pPr>
        <w:pStyle w:val="ListBullet"/>
        <w:spacing w:after="40"/>
      </w:pPr>
      <w:r>
        <w:t>IndiaMART product capabilities can differ by app version, package, geography and eligibility.</w:t>
      </w:r>
    </w:p>
    <w:p>
      <w:pPr>
        <w:pStyle w:val="ListBullet"/>
        <w:spacing w:after="40"/>
      </w:pPr>
      <w:r>
        <w:t>VendorVerse requirements described here are proposals; implementation status must be audited in the codebase.</w:t>
      </w:r>
    </w:p>
    <w:sectPr w:rsidR="00FC693F" w:rsidRPr="0006063C" w:rsidSect="00034616">
      <w:headerReference w:type="default" r:id="rId9"/>
      <w:footerReference w:type="default" r:id="rId10"/>
      <w:pgSz w:w="12240" w:h="15840"/>
      <w:pgMar w:top="979"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6E"/>
        <w:sz w:val="16"/>
      </w:rPr>
      <w:t>Product strategy working document • Research cutoff: 29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F6B4F"/>
        <w:sz w:val="16"/>
      </w:rPr>
      <w:t>VENDORVERSE  |  INDIAMART CAPABILITY &amp; GAP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A343E"/>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352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6B4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7674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352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