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3557"/>
          <w:sz w:val="40"/>
          <w:szCs w:val="40"/>
        </w:rPr>
        <w:t xml:space="preserve">Factory-to-Customer Shipping Route Efficiency</w:t>
      </w:r>
    </w:p>
    <w:p>
      <w:pPr>
        <w:spacing w:after="40"/>
        <w:jc w:val="center"/>
      </w:pPr>
      <w:r>
        <w:rPr>
          <w:b/>
          <w:bCs/>
          <w:color w:val="457B9D"/>
          <w:sz w:val="26"/>
          <w:szCs w:val="26"/>
        </w:rPr>
        <w:t xml:space="preserve">EXECUTIVE SUMMARY</w:t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Nassau Candy Distributor  ·  Prepared June 2026  ·  Analysis period: Jan 2024 – Dec 2025</w:t>
      </w:r>
    </w:p>
    <w:p>
      <w:pPr>
        <w:pStyle w:val="Heading1"/>
      </w:pPr>
      <w:r>
        <w:t xml:space="preserve">Purpose</w:t>
      </w:r>
    </w:p>
    <w:p>
      <w:pPr>
        <w:spacing w:after="140" w:line="270"/>
      </w:pPr>
      <w:r>
        <w:rPr>
          <w:sz w:val="21"/>
          <w:szCs w:val="21"/>
        </w:rPr>
        <w:t xml:space="preserve">Nassau Candy Distributor ships confectionery products from five factories to customers nationwide. This analysis converts two years of order and shipment records into route-level operational intelligence — identifying which factory-to-region pathways perform well, where bottlenecks concentrate geographically, and what to prioritize first.</w:t>
      </w:r>
    </w:p>
    <w:p>
      <w:pPr>
        <w:pStyle w:val="Heading1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D3557"/>
                <w:sz w:val="32"/>
                <w:szCs w:val="32"/>
              </w:rPr>
              <w:t xml:space="preserve">10,194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Shipments Analyzed</w:t>
            </w:r>
          </w:p>
        </w:tc>
        <w:tc>
          <w:tcPr>
            <w:tcW w:type="dxa" w:w="234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457B9D"/>
                <w:sz w:val="32"/>
                <w:szCs w:val="32"/>
              </w:rPr>
              <w:t xml:space="preserve">$141.8K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D3557"/>
                <w:sz w:val="32"/>
                <w:szCs w:val="32"/>
              </w:rPr>
              <w:t xml:space="preserve">66.5%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Avg. Margin</w:t>
            </w:r>
          </w:p>
        </w:tc>
        <w:tc>
          <w:tcPr>
            <w:tcW w:type="dxa" w:w="2340"/>
            <w:tcBorders>
              <w:top w:val="single" w:color="E5E9EF" w:sz="4"/>
              <w:left w:val="single" w:color="E5E9EF" w:sz="4"/>
              <w:bottom w:val="single" w:color="E5E9EF" w:sz="4"/>
              <w:right w:val="single" w:color="E5E9EF" w:sz="4"/>
            </w:tcBorders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C0392B"/>
                <w:sz w:val="32"/>
                <w:szCs w:val="32"/>
              </w:rPr>
              <w:t xml:space="preserve">60.0%</w:t>
            </w:r>
          </w:p>
          <w:p>
            <w:pPr>
              <w:jc w:val="center"/>
            </w:pPr>
            <w:r>
              <w:rPr>
                <w:color w:val="666666"/>
                <w:sz w:val="16"/>
                <w:szCs w:val="16"/>
              </w:rPr>
              <w:t xml:space="preserve">Standard Class Share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Standard Class (the slowest service tier) accounts for 60% of all shipments network-wide; only 20.6% of shipments use an expedited tier (Same Day or First Class).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Tennessee, Pennsylvania, Michigan, and Texas combine high shipment volume with above-average reliance on Standard Class — the clearest geographic bottleneck candidates, since improvements here affect the most shipments.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The Lot's O' Nuts → Ohio route (262 shipments) is the strongest example of a fast, high-volume route in the network and may offer a replicable model.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Cross-border shipments to Canada (2% of volume) skew toward slower service and appear disproportionately among the lowest-scoring routes — likely reflecting cost-driven carrier choices for distant, lower-volume markets rather than a service failure.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A data quality issue was identified: Order Date and Ship Date are not reliably linked in the source system, so a day-level “shipping lead time” cannot be calculated. Ship Mode was used as a reliable substitute proxy for delivery speed throughout this analysis.</w:t>
      </w:r>
    </w:p>
    <w:p>
      <w:pPr>
        <w:pStyle w:val="Heading1"/>
      </w:pPr>
      <w: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 service-tier mix in Tennessee, Pennsylvania, Michigan, and Texas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Highest combined volume + Standard-Class share; biggest impact per improvement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 the Lot's O' Nuts → Ohio route as a model 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Only top-10-efficiency route with both high volume and meaningful expedited share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Don't over-correct on remote/low-volume routes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Standard-Class use in places like Vermont or Quebec is likely cost-rational, not broken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 the Order Date / Ship Date data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Required before any future SLA or true lead-time tracking initiative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Grow sample size for Sugar Shack, Secret Factory, and The Other Factory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 volumes (33–217 shipments) are too thin for confident route-level conclusions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Research paper — full EDA, methodology, and data quality documentation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Interactive Streamlit dashboard — filterable route efficiency, geographic map, ship-mode comparison, and route drill-down views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sz w:val="21"/>
          <w:szCs w:val="21"/>
        </w:rPr>
        <w:t xml:space="preserve">This executive summary</w:t>
      </w:r>
    </w:p>
    <w:p>
      <w:pPr>
        <w:spacing w:before="220"/>
      </w:pPr>
    </w:p>
    <w:p>
      <w:pPr>
        <w:pBdr>
          <w:top w:val="single" w:color="DDDDDD" w:sz="4" w:space="8"/>
        </w:pBdr>
        <w:spacing w:before="100"/>
      </w:pPr>
      <w:r>
        <w:rPr>
          <w:i/>
          <w:iCs/>
          <w:color w:val="777777"/>
          <w:sz w:val="17"/>
          <w:szCs w:val="17"/>
        </w:rPr>
        <w:t xml:space="preserve">Full methodology, complete data tables, and all data quality caveats are documented in the accompanying research paper.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999999"/>
        <w:sz w:val="15"/>
        <w:szCs w:val="15"/>
      </w:rPr>
      <w:t xml:space="preserve">Nassau Candy Distributor</w:t>
    </w:r>
    <w:r>
      <w:rPr>
        <w:color w:val="999999"/>
        <w:sz w:val="15"/>
        <w:szCs w:val="15"/>
      </w:rPr>
      <w:t xml:space="preserve">	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3557" w:sz="8" w:space="4"/>
      </w:pBdr>
      <w:spacing w:after="160" w:before="280"/>
      <w:outlineLvl w:val="0"/>
    </w:pPr>
    <w:rPr>
      <w:rFonts w:ascii="Arial" w:cs="Arial" w:eastAsia="Arial" w:hAnsi="Arial"/>
      <w:b/>
      <w:bCs/>
      <w:color w:val="1D35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457B9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2026-06-21T07:36:51.553Z</dcterms:created>
  <dcterms:modified xsi:type="dcterms:W3CDTF">2026-06-21T07:36:51.553Z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