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2563EB"/>
          <w:sz w:val="40"/>
          <w:szCs w:val="40"/>
        </w:rPr>
        <w:t xml:space="preserve">Executive Summary</w:t>
      </w:r>
    </w:p>
    <w:p>
      <w:pPr>
        <w:spacing w:after="400"/>
      </w:pPr>
      <w:r>
        <w:rPr>
          <w:color w:val="64748B"/>
          <w:sz w:val="24"/>
          <w:szCs w:val="24"/>
        </w:rPr>
        <w:t xml:space="preserve">Instructor &amp; Course Quality Evaluation — EduPro Online Platform</w:t>
      </w:r>
    </w:p>
    <w:p>
      <w:pPr>
        <w:pStyle w:val="Heading1"/>
      </w:pPr>
      <w:r>
        <w:t xml:space="preserve">Purpose</w:t>
      </w:r>
    </w:p>
    <w:p>
      <w:pPr>
        <w:spacing w:after="160"/>
      </w:pPr>
      <w:r>
        <w:t xml:space="preserve">EduPro commissioned a data-driven review of instructor effectiveness and course quality, covering 60 instructors, 60 courses, and 10,000 learner enrollment transactions. The goal is to give stakeholders an objective basis for instructor support, course quality assurance, and platform credibility decisions.</w:t>
      </w:r>
    </w:p>
    <w:p>
      <w:pPr>
        <w:pStyle w:val="Heading1"/>
      </w:pPr>
      <w:r>
        <w:t xml:space="preserve">Headline Findings</w:t>
      </w:r>
    </w:p>
    <w:p>
      <w:pPr>
        <w:pStyle w:val="ListParagraph"/>
        <w:numPr>
          <w:ilvl w:val="0"/>
          <w:numId w:val="2"/>
        </w:numPr>
        <w:spacing w:after="80"/>
      </w:pPr>
      <w:r>
        <w:t xml:space="preserve">Instructor rating quality is uneven: the average TeacherRating is 3.13/5, ranging from 1.05 to 4.97 — a wide spread that signals real variability in teaching quality, not measurement noise.</w:t>
      </w:r>
    </w:p>
    <w:p>
      <w:pPr>
        <w:pStyle w:val="ListParagraph"/>
        <w:numPr>
          <w:ilvl w:val="0"/>
          <w:numId w:val="2"/>
        </w:numPr>
        <w:spacing w:after="80"/>
      </w:pPr>
      <w:r>
        <w:t xml:space="preserve">Experience helps, up to a point: instructors with 8+ years of experience average ~3.9 rating versus ~2.5 for those with under 3 years. Gains taper off after roughly 8–10 years.</w:t>
      </w:r>
    </w:p>
    <w:p>
      <w:pPr>
        <w:pStyle w:val="ListParagraph"/>
        <w:numPr>
          <w:ilvl w:val="0"/>
          <w:numId w:val="2"/>
        </w:numPr>
        <w:spacing w:after="80"/>
      </w:pPr>
      <w:r>
        <w:t xml:space="preserve">Instructor reputation does not predict course rating: the correlation between TeacherRating and CourseRating is essentially zero (r = -0.03), meaning course design and content matter as much as, or more than, the instructor's track record.</w:t>
      </w:r>
    </w:p>
    <w:p>
      <w:pPr>
        <w:pStyle w:val="ListParagraph"/>
        <w:numPr>
          <w:ilvl w:val="0"/>
          <w:numId w:val="2"/>
        </w:numPr>
        <w:spacing w:after="80"/>
      </w:pPr>
      <w:r>
        <w:t xml:space="preserve">Reputation drives demand: highly rated instructors attract roughly 5x more enrollments than mid-tier instructors, even though their courses are not rated proportionally higher.</w:t>
      </w:r>
    </w:p>
    <w:p>
      <w:pPr>
        <w:pStyle w:val="ListParagraph"/>
        <w:numPr>
          <w:ilvl w:val="0"/>
          <w:numId w:val="2"/>
        </w:numPr>
        <w:spacing w:after="80"/>
      </w:pPr>
      <w:r>
        <w:t xml:space="preserve">Quality gaps cluster by subject: Marketing and Digital Marketing courses are the highest-rated categories; Machine Learning and Business courses lag, including in cases taught by well-rated instructors.</w:t>
      </w:r>
    </w:p>
    <w:p>
      <w:pPr>
        <w:pStyle w:val="Heading1"/>
      </w:pPr>
      <w:r>
        <w:t xml:space="preserve">KPI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KPI</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Current Value</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What it means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Average Teacher Rating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3.13 / 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Platform-wide teaching quality benchmark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Average Course Rating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≈3.10 / 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Content effectiveness benchmark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Rating Consistency Index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≈0.70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Higher = more even quality across instructors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Experience Impact Score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0.60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Moderate positive link between tenure and rating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Enrollment Influence Ratio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High-rated instructors out-enroll mid-tier peers</w:t>
            </w:r>
          </w:p>
        </w:tc>
      </w:tr>
    </w:tbl>
    <w:p>
      <w:pPr>
        <w:pStyle w:val="Heading1"/>
      </w:pPr>
      <w:r>
        <w:t xml:space="preserve">Recommendations</w:t>
      </w:r>
    </w:p>
    <w:p>
      <w:pPr>
        <w:pStyle w:val="ListParagraph"/>
        <w:numPr>
          <w:ilvl w:val="0"/>
          <w:numId w:val="2"/>
        </w:numPr>
        <w:spacing w:after="80"/>
      </w:pPr>
      <w:r>
        <w:t xml:space="preserve">Launch a mentorship track for instructors with under 3 years of experience — the steepest improvement opportunity in the data.</w:t>
      </w:r>
    </w:p>
    <w:p>
      <w:pPr>
        <w:pStyle w:val="ListParagraph"/>
        <w:numPr>
          <w:ilvl w:val="0"/>
          <w:numId w:val="2"/>
        </w:numPr>
        <w:spacing w:after="80"/>
      </w:pPr>
      <w:r>
        <w:t xml:space="preserve">Run a course-content audit for Machine Learning and Business categories, where ratings under-perform independent of instructor quality.</w:t>
      </w:r>
    </w:p>
    <w:p>
      <w:pPr>
        <w:pStyle w:val="ListParagraph"/>
        <w:numPr>
          <w:ilvl w:val="0"/>
          <w:numId w:val="2"/>
        </w:numPr>
        <w:spacing w:after="80"/>
      </w:pPr>
      <w:r>
        <w:t xml:space="preserve">Track instructor and course quality as two separate KPIs going forward; they do not move together and should not be managed as one metric.</w:t>
      </w:r>
    </w:p>
    <w:p>
      <w:pPr>
        <w:pStyle w:val="ListParagraph"/>
        <w:numPr>
          <w:ilvl w:val="0"/>
          <w:numId w:val="2"/>
        </w:numPr>
        <w:spacing w:after="80"/>
      </w:pPr>
      <w:r>
        <w:t xml:space="preserve">Use the accompanying Streamlit dashboard for ongoing, self-service monitoring of these KPIs by category, expertise, and instructor tier.</w:t>
      </w:r>
    </w:p>
    <w:p>
      <w:pPr>
        <w:pStyle w:val="Heading1"/>
      </w:pPr>
      <w:r>
        <w:t xml:space="preserve">Deliverables Provided</w:t>
      </w:r>
    </w:p>
    <w:p>
      <w:pPr>
        <w:pStyle w:val="ListParagraph"/>
        <w:numPr>
          <w:ilvl w:val="0"/>
          <w:numId w:val="2"/>
        </w:numPr>
        <w:spacing w:after="80"/>
      </w:pPr>
      <w:r>
        <w:t xml:space="preserve">Full research paper with detailed exploratory data analysis, charts, and methodology.</w:t>
      </w:r>
    </w:p>
    <w:p>
      <w:pPr>
        <w:pStyle w:val="ListParagraph"/>
        <w:numPr>
          <w:ilvl w:val="0"/>
          <w:numId w:val="2"/>
        </w:numPr>
        <w:spacing w:after="80"/>
      </w:pPr>
      <w:r>
        <w:t xml:space="preserve">Live Streamlit analytics dashboard with instructor leaderboard, experience-vs-rating views, course quality heatmaps, and expertise comparisons.</w:t>
      </w:r>
    </w:p>
    <w:p>
      <w:pPr>
        <w:pStyle w:val="ListParagraph"/>
        <w:numPr>
          <w:ilvl w:val="0"/>
          <w:numId w:val="2"/>
        </w:numPr>
        <w:spacing w:after="80"/>
      </w:pPr>
      <w:r>
        <w:t xml:space="preserve">This executive summary, for stakeholder briefing.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Prepared for Government Stakeholders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EduPro Online Platform —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2563E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2026-06-20T16:53:31.429Z</dcterms:created>
  <dcterms:modified xsi:type="dcterms:W3CDTF">2026-06-20T16:53:31.429Z</dcterms:modified>
</cp:coreProperties>
</file>

<file path=docProps/custom.xml><?xml version="1.0" encoding="utf-8"?>
<Properties xmlns="http://schemas.openxmlformats.org/officeDocument/2006/custom-properties" xmlns:vt="http://schemas.openxmlformats.org/officeDocument/2006/docPropsVTypes"/>
</file>