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a9jjmeuimz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Employee Attrition Prediction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9y6zj98ax56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Observations &amp;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fadedltj1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High-Risk Attrition Factors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Young employees (28-32) have highest attrition rates (25%+)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Conditions</w:t>
      </w:r>
      <w:r w:rsidDel="00000000" w:rsidR="00000000" w:rsidRPr="00000000">
        <w:rPr>
          <w:rtl w:val="0"/>
        </w:rPr>
        <w:t xml:space="preserve">: Overtime is a major factor (30.5% vs 10.4%)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Roles</w:t>
      </w:r>
      <w:r w:rsidDel="00000000" w:rsidR="00000000" w:rsidRPr="00000000">
        <w:rPr>
          <w:rtl w:val="0"/>
        </w:rPr>
        <w:t xml:space="preserve">: Sales Representatives (39.8%) and Lab Technicians (23.9%) leave most frequently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Factors</w:t>
      </w:r>
      <w:r w:rsidDel="00000000" w:rsidR="00000000" w:rsidRPr="00000000">
        <w:rPr>
          <w:rtl w:val="0"/>
        </w:rPr>
        <w:t xml:space="preserve">: Single employees (25.5%) leave more than married (12.5%)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Impact</w:t>
      </w:r>
      <w:r w:rsidDel="00000000" w:rsidR="00000000" w:rsidRPr="00000000">
        <w:rPr>
          <w:rtl w:val="0"/>
        </w:rPr>
        <w:t xml:space="preserve">: Frequent travelers show 24.9% attrition vs 8.0% for non-travelers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e0hms3nux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Model Insights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 models (SVM, Logistic Regression) outperform complex models (AUC 0.818)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attrition predictors: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Overtime (2.9x higher risk)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Department (R&amp;D and Sales)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travel frequency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income (strongest for younger employees)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Job satisfaction and work-life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qyvpze8s1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Challenges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Significant class imbalance (16% attrition / 84% retention)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interrelated factors requiring careful feature engineering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Customized threshold needed for practical application (0.35 vs standard 0.5)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level calibration to prioritize interventions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lp43mq8tb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Conclusions &amp; Business Value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Accuracy</w:t>
      </w:r>
      <w:r w:rsidDel="00000000" w:rsidR="00000000" w:rsidRPr="00000000">
        <w:rPr>
          <w:rtl w:val="0"/>
        </w:rPr>
        <w:t xml:space="preserve">: Model identifies high-risk employees with 82% AUC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overtime policies (highest impact opportunity)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targeted career paths for Sales and Lab Technician roles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compensation for younger, high-skill employees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work-life balance initiatives for frequent travelers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early warning system based on satisfaction metrics decline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Strategy</w:t>
      </w:r>
      <w:r w:rsidDel="00000000" w:rsidR="00000000" w:rsidRPr="00000000">
        <w:rPr>
          <w:rtl w:val="0"/>
        </w:rPr>
        <w:t xml:space="preserve">: 3-tier risk categorization enables prioritized retention efforts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