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3A63"/>
          <w:sz w:val="48"/>
        </w:rPr>
        <w:t>The Baseline Model (Component A)</w:t>
      </w:r>
    </w:p>
    <w:p>
      <w:pPr>
        <w:spacing w:after="80"/>
      </w:pPr>
      <w:r>
        <w:rPr>
          <w:i/>
          <w:color w:val="555F6D"/>
          <w:sz w:val="24"/>
        </w:rPr>
        <w:t>How the Retail Intelligence Platform works out what a promotion would have sold if we had not run it, the one number no client can ever give us</w:t>
      </w:r>
    </w:p>
    <w:p>
      <w:pPr>
        <w:spacing w:after="280"/>
      </w:pPr>
      <w:r>
        <w:rPr>
          <w:color w:val="555F6D"/>
          <w:sz w:val="18"/>
        </w:rPr>
        <w:t>Trade Promotion Optimisation  |  15 October 2026  |  Implements TPO_Algorithm_Workflow.pdf, Step 2, Option 2</w:t>
      </w:r>
    </w:p>
    <w:p>
      <w:pPr>
        <w:pStyle w:val="Heading1"/>
      </w:pPr>
      <w:r>
        <w:t>1. The problem in one page</w:t>
      </w:r>
    </w:p>
    <w:p>
      <w:r>
        <w:rPr>
          <w:b w:val="0"/>
          <w:i w:val="0"/>
        </w:rPr>
        <w:t>A client uploads three files: their sales, their products and their stores. Every column in those files is something a real system recorded, such as units sold, the price on the shelf, the price actually charged and the cost of the goods.</w:t>
      </w:r>
    </w:p>
    <w:p>
      <w:r>
        <w:rPr>
          <w:b w:val="0"/>
          <w:i w:val="0"/>
        </w:rPr>
        <w:t xml:space="preserve">There is exactly one number the platform needs that is not in any of them, and never can be: </w:t>
      </w:r>
      <w:r>
        <w:rPr>
          <w:b/>
          <w:i w:val="0"/>
        </w:rPr>
        <w:t>what each promoted week would have sold if the promotion had not run.</w:t>
      </w:r>
    </w:p>
    <w:p>
      <w:r>
        <w:rPr>
          <w:b w:val="0"/>
          <w:i w:val="0"/>
        </w:rPr>
        <w:t>That number did not happen. It is a counterfactual, an alternative history. No till, no ERP and no retailer portal records it, because there is nothing to record. And yet almost everything the platform reports is a difference from it:</w:t>
      </w:r>
    </w:p>
    <w:tbl>
      <w:tblPr>
        <w:tblStyle w:val="LightGrid-Accent1"/>
        <w:tblW w:type="auto" w:w="0"/>
        <w:jc w:val="center"/>
        <w:tblLook w:firstColumn="1" w:firstRow="1" w:lastColumn="0" w:lastRow="0" w:noHBand="0" w:noVBand="1" w:val="04A0"/>
      </w:tblPr>
      <w:tblGrid>
        <w:gridCol w:w="4320"/>
        <w:gridCol w:w="4320"/>
      </w:tblGrid>
      <w:tr>
        <w:tc>
          <w:tcPr>
            <w:tcW w:type="dxa" w:w="3024"/>
          </w:tcPr>
          <w:p>
            <w:r/>
            <w:r>
              <w:rPr>
                <w:b/>
                <w:sz w:val="19"/>
              </w:rPr>
              <w:t>What we report</w:t>
            </w:r>
          </w:p>
        </w:tc>
        <w:tc>
          <w:tcPr>
            <w:tcW w:type="dxa" w:w="6192"/>
          </w:tcPr>
          <w:p>
            <w:r/>
            <w:r>
              <w:rPr>
                <w:b/>
                <w:sz w:val="19"/>
              </w:rPr>
              <w:t>How it is calculated</w:t>
            </w:r>
          </w:p>
        </w:tc>
      </w:tr>
      <w:tr>
        <w:tc>
          <w:tcPr>
            <w:tcW w:type="dxa" w:w="3024"/>
          </w:tcPr>
          <w:p>
            <w:r/>
            <w:r>
              <w:rPr>
                <w:b/>
                <w:sz w:val="19"/>
              </w:rPr>
              <w:t>Incremental units</w:t>
            </w:r>
          </w:p>
        </w:tc>
        <w:tc>
          <w:tcPr>
            <w:tcW w:type="dxa" w:w="6192"/>
          </w:tcPr>
          <w:p>
            <w:r/>
            <w:r>
              <w:rPr>
                <w:sz w:val="19"/>
              </w:rPr>
              <w:t>actual units minus BASELINE units</w:t>
            </w:r>
          </w:p>
        </w:tc>
      </w:tr>
      <w:tr>
        <w:tc>
          <w:tcPr>
            <w:tcW w:type="dxa" w:w="3024"/>
          </w:tcPr>
          <w:p>
            <w:r/>
            <w:r>
              <w:rPr>
                <w:b/>
                <w:sz w:val="19"/>
              </w:rPr>
              <w:t>Incremental sales</w:t>
            </w:r>
          </w:p>
        </w:tc>
        <w:tc>
          <w:tcPr>
            <w:tcW w:type="dxa" w:w="6192"/>
          </w:tcPr>
          <w:p>
            <w:r/>
            <w:r>
              <w:rPr>
                <w:sz w:val="19"/>
              </w:rPr>
              <w:t>those incremental units times the price actually paid</w:t>
            </w:r>
          </w:p>
        </w:tc>
      </w:tr>
      <w:tr>
        <w:tc>
          <w:tcPr>
            <w:tcW w:type="dxa" w:w="3024"/>
          </w:tcPr>
          <w:p>
            <w:r/>
            <w:r>
              <w:rPr>
                <w:b/>
                <w:sz w:val="19"/>
              </w:rPr>
              <w:t>Promotion ROI</w:t>
            </w:r>
          </w:p>
        </w:tc>
        <w:tc>
          <w:tcPr>
            <w:tcW w:type="dxa" w:w="6192"/>
          </w:tcPr>
          <w:p>
            <w:r/>
            <w:r>
              <w:rPr>
                <w:sz w:val="19"/>
              </w:rPr>
              <w:t>incremental sales divided by trade spend</w:t>
            </w:r>
          </w:p>
        </w:tc>
      </w:tr>
      <w:tr>
        <w:tc>
          <w:tcPr>
            <w:tcW w:type="dxa" w:w="3024"/>
          </w:tcPr>
          <w:p>
            <w:r/>
            <w:r>
              <w:rPr>
                <w:b/>
                <w:sz w:val="19"/>
              </w:rPr>
              <w:t>PEI</w:t>
            </w:r>
          </w:p>
        </w:tc>
        <w:tc>
          <w:tcPr>
            <w:tcW w:type="dxa" w:w="6192"/>
          </w:tcPr>
          <w:p>
            <w:r/>
            <w:r>
              <w:rPr>
                <w:sz w:val="19"/>
              </w:rPr>
              <w:t>built from ROI, incremental quantity % and gross margin %</w:t>
            </w:r>
          </w:p>
        </w:tc>
      </w:tr>
      <w:tr>
        <w:tc>
          <w:tcPr>
            <w:tcW w:type="dxa" w:w="3024"/>
          </w:tcPr>
          <w:p>
            <w:r/>
            <w:r>
              <w:rPr>
                <w:b/>
                <w:sz w:val="19"/>
              </w:rPr>
              <w:t>Cannibalisation</w:t>
            </w:r>
          </w:p>
        </w:tc>
        <w:tc>
          <w:tcPr>
            <w:tcW w:type="dxa" w:w="6192"/>
          </w:tcPr>
          <w:p>
            <w:r/>
            <w:r>
              <w:rPr>
                <w:sz w:val="19"/>
              </w:rPr>
              <w:t>the neighbouring pack's loss against ITS baseline</w:t>
            </w:r>
          </w:p>
        </w:tc>
      </w:tr>
    </w:tbl>
    <w:p>
      <w:pPr>
        <w:spacing w:after="240"/>
      </w:pPr>
      <w:r>
        <w:rPr>
          <w:b w:val="0"/>
          <w:i/>
          <w:color w:val="555F6D"/>
          <w:sz w:val="17"/>
        </w:rPr>
        <w:t>The baseline is the first link in the chain. Every figure downstream inherits its error.</w:t>
      </w:r>
    </w:p>
    <w:p>
      <w:r>
        <w:rPr>
          <w:b w:val="0"/>
          <w:i w:val="0"/>
        </w:rPr>
        <w:t xml:space="preserve">So the baseline is not one metric among many. It is the foundation the whole measurement chain stands on, and it is </w:t>
      </w:r>
      <w:r>
        <w:rPr>
          <w:b/>
          <w:i w:val="0"/>
        </w:rPr>
        <w:t>estimated, never read</w:t>
      </w:r>
      <w:r>
        <w:rPr>
          <w:b w:val="0"/>
          <w:i w:val="0"/>
        </w:rPr>
        <w:t>.</w:t>
      </w:r>
    </w:p>
    <w:p>
      <w:r>
        <w:rPr>
          <w:b w:val="0"/>
          <w:i w:val="0"/>
        </w:rPr>
        <w:t>This document explains how we now estimate it, how accurate it is, how we know, and what it cannot do.</w:t>
      </w:r>
    </w:p>
    <w:p>
      <w:pPr>
        <w:pStyle w:val="Heading1"/>
      </w:pPr>
      <w:r>
        <w:t>2. How we did it before, and why that had to change</w:t>
      </w:r>
    </w:p>
    <w:p>
      <w:r>
        <w:rPr>
          <w:b w:val="0"/>
          <w:i w:val="0"/>
        </w:rPr>
        <w:t>Until now the platform measured a promoted week against the nearest non-promoted weeks of the same product in the same channel: the average of up to four clean weeks either side. Call it the local-mean method. It is simple, it needs no training, and you can explain it to a finance director in one sentence, which genuinely matters when ROI is the number that justifies the spend.</w:t>
      </w:r>
    </w:p>
    <w:p>
      <w:r>
        <w:rPr>
          <w:b w:val="0"/>
          <w:i w:val="0"/>
        </w:rPr>
        <w:t>It has three limits, and all three start to bite the moment a client's own data arrives week after week rather than as one historical extract:</w:t>
      </w:r>
    </w:p>
    <w:p>
      <w:pPr>
        <w:pStyle w:val="ListBullet"/>
      </w:pPr>
      <w:r>
        <w:rPr>
          <w:b/>
          <w:i w:val="0"/>
        </w:rPr>
        <w:t xml:space="preserve">No clean neighbours, no answer. </w:t>
      </w:r>
      <w:r>
        <w:rPr>
          <w:b w:val="0"/>
          <w:i w:val="0"/>
        </w:rPr>
        <w:t>A product-store promoted in most weeks has no ordinary week nearby, so the engine simply skipped it. Those are exactly the heavily promoted lines a trade team cares most about.</w:t>
      </w:r>
    </w:p>
    <w:p>
      <w:pPr>
        <w:pStyle w:val="ListBullet"/>
      </w:pPr>
      <w:r>
        <w:rPr>
          <w:b/>
          <w:i w:val="0"/>
        </w:rPr>
        <w:t xml:space="preserve">The weeks next to a promotion are not ordinary weeks. </w:t>
      </w:r>
      <w:r>
        <w:rPr>
          <w:b w:val="0"/>
          <w:i w:val="0"/>
        </w:rPr>
        <w:t>Shoppers stock up during an offer and buy nothing the week after. A sister pack's promotion steals volume in the same week. Both push the neighbouring weeks DOWN, which pushes the baseline down, and a baseline that is too low overstates every lift and every ROI figure we report.</w:t>
      </w:r>
    </w:p>
    <w:p>
      <w:pPr>
        <w:pStyle w:val="ListBullet"/>
      </w:pPr>
      <w:r>
        <w:rPr>
          <w:b/>
          <w:i w:val="0"/>
        </w:rPr>
        <w:t xml:space="preserve">It cannot answer for a week that has not happened. </w:t>
      </w:r>
      <w:r>
        <w:rPr>
          <w:b w:val="0"/>
          <w:i w:val="0"/>
        </w:rPr>
        <w:t>Planning next quarter's calendar in Simulation Studio needs a baseline for weeks nobody has traded yet. An average of neighbouring weeks has no neighbours to average.</w:t>
      </w:r>
    </w:p>
    <w:p>
      <w:pPr>
        <w:pStyle w:val="Heading1"/>
      </w:pPr>
      <w:r>
        <w:t>3. What we built</w:t>
      </w:r>
    </w:p>
    <w:p>
      <w:r>
        <w:rPr>
          <w:b w:val="0"/>
          <w:i w:val="0"/>
        </w:rPr>
        <w:t>TPO_Algorithm_Workflow.pdf specifies the replacement in Step 2. It offers two options and we have now implemented the second:</w:t>
      </w:r>
    </w:p>
    <w:p>
      <w:pPr>
        <w:spacing w:after="200"/>
        <w:ind w:left="432"/>
      </w:pPr>
      <w:r>
        <w:rPr>
          <w:i/>
          <w:color w:val="555F6D"/>
        </w:rPr>
        <w:t>Option 2: train LightGBM on non-promoted rows only, then predict for promoted weeks. That also gives a baseline for weeks never promoted, which the Studio needs for future windows.</w:t>
      </w:r>
    </w:p>
    <w:p>
      <w:pPr>
        <w:pStyle w:val="Heading2"/>
      </w:pPr>
      <w:r>
        <w:t>3.1 The idea, in plain words</w:t>
      </w:r>
    </w:p>
    <w:p>
      <w:r>
        <w:rPr>
          <w:b w:val="0"/>
          <w:i w:val="0"/>
        </w:rPr>
        <w:t>Take every week in which a product-store ran no promotion. Those weeks are ordinary trading, and we know what they sold. Train a model to predict that: given this product, this store, this channel, this week of the year, and how the cell has been trading lately, how many units should an ordinary week sell?</w:t>
      </w:r>
    </w:p>
    <w:p>
      <w:r>
        <w:rPr>
          <w:b w:val="0"/>
          <w:i w:val="0"/>
        </w:rPr>
        <w:t>Then point that trained model at the promoted weeks and ask the same question. It has never seen a promoted week, so it cannot know a promotion happened. Its answer is therefore an estimate of ordinary trading for a week that was not ordinary, which is precisely the counterfactual we need.</w:t>
      </w:r>
    </w:p>
    <w:p>
      <w:pPr>
        <w:pStyle w:val="Heading2"/>
      </w:pPr>
      <w:r>
        <w:t>3.2 Why LightGBM and not something simpler</w:t>
      </w:r>
    </w:p>
    <w:p>
      <w:r>
        <w:rPr>
          <w:b w:val="0"/>
          <w:i w:val="0"/>
        </w:rPr>
        <w:t>LightGBM is gradient-boosted decision trees: it builds hundreds of small trees, each correcting the errors of the ones before it. It suits this problem because the drivers of ordinary sales are categorical and interacting. A 250 ml pack in modern trade in the North in week 42 behaves unlike the same pack in general trade in week 12, and trees capture that without anyone having to specify the interactions.</w:t>
      </w:r>
    </w:p>
    <w:p>
      <w:pPr>
        <w:pStyle w:val="Heading2"/>
      </w:pPr>
      <w:r>
        <w:t>3.3 Three quantile models, not one</w:t>
      </w:r>
    </w:p>
    <w:p>
      <w:r>
        <w:rPr>
          <w:b w:val="0"/>
          <w:i w:val="0"/>
        </w:rPr>
        <w:t>The PDF asks for quantile loss at 0.1, 0.5 and 0.9, which means fitting three separate models. The middle one (P50) is the baseline the KPIs use. The outer two give a range: ordinary trading here was probably between 980 and 1,210 units. That band is what lets Simulation Studio show a believable spread on a forecast instead of a single falsely precise number.</w:t>
      </w:r>
    </w:p>
    <w:p>
      <w:pPr>
        <w:pStyle w:val="Heading1"/>
      </w:pPr>
      <w:r>
        <w:t>4. The three things we added beyond the PDF</w:t>
      </w:r>
    </w:p>
    <w:p>
      <w:r>
        <w:rPr>
          <w:b w:val="0"/>
          <w:i w:val="0"/>
        </w:rPr>
        <w:t>The PDF specifies the target, the features, the loss and the validation. Three failure modes it does not address would have made a straight implementation worse than the method it replaces, so we added a defence for each. These are the engineering decisions worth knowing about.</w:t>
      </w:r>
    </w:p>
    <w:p>
      <w:pPr>
        <w:pStyle w:val="Heading2"/>
      </w:pPr>
      <w:r>
        <w:t>4.1 Adjacency masking: do not learn the dip as normality</w:t>
      </w:r>
    </w:p>
    <w:p>
      <w:r>
        <w:rPr>
          <w:b w:val="0"/>
          <w:i w:val="0"/>
        </w:rPr>
        <w:t>The week after a promotion is depressed, because shoppers already bought. If we train on those weeks as though they were ordinary, the model learns a lower idea of normal, and every lift we report grows. So a non-promoted week within one week of a promotion, for the same product-store, is excluded from TRAINING. It is still predicted for; we just do not let it teach the model.</w:t>
      </w:r>
    </w:p>
    <w:p>
      <w:r>
        <w:rPr>
          <w:b w:val="0"/>
          <w:i/>
          <w:color w:val="555F6D"/>
          <w:sz w:val="19"/>
        </w:rPr>
        <w:t>On the shipped dataset that removes about 75,000 of the 269,670 non-promoted weeks, leaving 194,750 clean weeks to learn from, which is still ample.</w:t>
      </w:r>
    </w:p>
    <w:p>
      <w:pPr>
        <w:pStyle w:val="Heading2"/>
      </w:pPr>
      <w:r>
        <w:t>4.2 Giving the model the old answer as an input</w:t>
      </w:r>
    </w:p>
    <w:p>
      <w:r>
        <w:rPr>
          <w:b w:val="0"/>
          <w:i w:val="0"/>
        </w:rPr>
        <w:t xml:space="preserve">This is the most important design decision in the module, and the one that makes replacing the old method safe. </w:t>
      </w:r>
      <w:r>
        <w:rPr>
          <w:b/>
          <w:i w:val="0"/>
        </w:rPr>
        <w:t>We hand the local-mean estimate to the model as one of its input columns.</w:t>
      </w:r>
    </w:p>
    <w:p>
      <w:r>
        <w:rPr>
          <w:b w:val="0"/>
          <w:i w:val="0"/>
        </w:rPr>
        <w:t>The reason is a genuine weakness of tree models: they cannot extrapolate. A tree can only predict values it saw in training. Take a product growing 30% year on year. The model would predict it flat at the top of its observed range, the baseline would be too low, and the lift would be inflated. That is the worst direction to be wrong in, because it flatters every promotion.</w:t>
      </w:r>
    </w:p>
    <w:p>
      <w:r>
        <w:rPr>
          <w:b w:val="0"/>
          <w:i w:val="0"/>
        </w:rPr>
        <w:t>Feeding the local level in as a feature means the model never has to learn the level at all. It starts from the old method's answer and learns only the correction to it: when to trust it, and which way it is biased. It also removes the usual pooling problem, where a model quietly drags a high-volume line toward the average of everything.</w:t>
      </w:r>
    </w:p>
    <w:p>
      <w:pPr>
        <w:pStyle w:val="Heading2"/>
      </w:pPr>
      <w:r>
        <w:t>4.3 Leakage-safe lags</w:t>
      </w:r>
    </w:p>
    <w:p>
      <w:r>
        <w:rPr>
          <w:b w:val="0"/>
          <w:i w:val="0"/>
        </w:rPr>
        <w:t>The PDF asks for lagged sales at 4 and 52 weeks, a month ago and the same week last year. But if that earlier week was itself promoted, its inflated units would be fed in as though they were ordinary, teaching the model that promotions are normal. So a lag is read only when the week it points at was itself a clean non-promoted week, and is left blank otherwise. LightGBM handles missing values natively, treating we-do-not-know as its own case rather than guessing a zero.</w:t>
      </w:r>
    </w:p>
    <w:p>
      <w:pPr>
        <w:pStyle w:val="Heading1"/>
      </w:pPr>
      <w:r>
        <w:t>5. What the model is given to work with</w:t>
      </w:r>
    </w:p>
    <w:tbl>
      <w:tblPr>
        <w:tblStyle w:val="LightGrid-Accent1"/>
        <w:tblW w:type="auto" w:w="0"/>
        <w:jc w:val="center"/>
        <w:tblLook w:firstColumn="1" w:firstRow="1" w:lastColumn="0" w:lastRow="0" w:noHBand="0" w:noVBand="1" w:val="04A0"/>
      </w:tblPr>
      <w:tblGrid>
        <w:gridCol w:w="2880"/>
        <w:gridCol w:w="2880"/>
        <w:gridCol w:w="2880"/>
      </w:tblGrid>
      <w:tr>
        <w:tc>
          <w:tcPr>
            <w:tcW w:type="dxa" w:w="1800"/>
          </w:tcPr>
          <w:p>
            <w:r/>
            <w:r>
              <w:rPr>
                <w:b/>
                <w:sz w:val="19"/>
              </w:rPr>
              <w:t>Feature group</w:t>
            </w:r>
          </w:p>
        </w:tc>
        <w:tc>
          <w:tcPr>
            <w:tcW w:type="dxa" w:w="3600"/>
          </w:tcPr>
          <w:p>
            <w:r/>
            <w:r>
              <w:rPr>
                <w:b/>
                <w:sz w:val="19"/>
              </w:rPr>
              <w:t>Columns</w:t>
            </w:r>
          </w:p>
        </w:tc>
        <w:tc>
          <w:tcPr>
            <w:tcW w:type="dxa" w:w="3816"/>
          </w:tcPr>
          <w:p>
            <w:r/>
            <w:r>
              <w:rPr>
                <w:b/>
                <w:sz w:val="19"/>
              </w:rPr>
              <w:t>Why</w:t>
            </w:r>
          </w:p>
        </w:tc>
      </w:tr>
      <w:tr>
        <w:tc>
          <w:tcPr>
            <w:tcW w:type="dxa" w:w="1800"/>
          </w:tcPr>
          <w:p>
            <w:r/>
            <w:r>
              <w:rPr>
                <w:b/>
                <w:sz w:val="19"/>
              </w:rPr>
              <w:t>Identity</w:t>
            </w:r>
          </w:p>
        </w:tc>
        <w:tc>
          <w:tcPr>
            <w:tcW w:type="dxa" w:w="3600"/>
          </w:tcPr>
          <w:p>
            <w:r/>
            <w:r>
              <w:rPr>
                <w:sz w:val="19"/>
              </w:rPr>
              <w:t>product, brand, pack size, store, channel, region, tier, retailer</w:t>
            </w:r>
          </w:p>
        </w:tc>
        <w:tc>
          <w:tcPr>
            <w:tcW w:type="dxa" w:w="3816"/>
          </w:tcPr>
          <w:p>
            <w:r/>
            <w:r>
              <w:rPr>
                <w:sz w:val="19"/>
              </w:rPr>
              <w:t>The level and shape of ordinary sales differ by all of these</w:t>
            </w:r>
          </w:p>
        </w:tc>
      </w:tr>
      <w:tr>
        <w:tc>
          <w:tcPr>
            <w:tcW w:type="dxa" w:w="1800"/>
          </w:tcPr>
          <w:p>
            <w:r/>
            <w:r>
              <w:rPr>
                <w:b/>
                <w:sz w:val="19"/>
              </w:rPr>
              <w:t>Seasonality</w:t>
            </w:r>
          </w:p>
        </w:tc>
        <w:tc>
          <w:tcPr>
            <w:tcW w:type="dxa" w:w="3600"/>
          </w:tcPr>
          <w:p>
            <w:r/>
            <w:r>
              <w:rPr>
                <w:sz w:val="19"/>
              </w:rPr>
              <w:t>week of year, plus a seasonal-week flag derived from the offers in the data</w:t>
            </w:r>
          </w:p>
        </w:tc>
        <w:tc>
          <w:tcPr>
            <w:tcW w:type="dxa" w:w="3816"/>
          </w:tcPr>
          <w:p>
            <w:r/>
            <w:r>
              <w:rPr>
                <w:sz w:val="19"/>
              </w:rPr>
              <w:t>Festivals and seasons recur, and the flag also captures a festival week's halo on un-promoted lines</w:t>
            </w:r>
          </w:p>
        </w:tc>
      </w:tr>
      <w:tr>
        <w:tc>
          <w:tcPr>
            <w:tcW w:type="dxa" w:w="1800"/>
          </w:tcPr>
          <w:p>
            <w:r/>
            <w:r>
              <w:rPr>
                <w:b/>
                <w:sz w:val="19"/>
              </w:rPr>
              <w:t>Trend</w:t>
            </w:r>
          </w:p>
        </w:tc>
        <w:tc>
          <w:tcPr>
            <w:tcW w:type="dxa" w:w="3600"/>
          </w:tcPr>
          <w:p>
            <w:r/>
            <w:r>
              <w:rPr>
                <w:sz w:val="19"/>
              </w:rPr>
              <w:t>an ordered week index across years</w:t>
            </w:r>
          </w:p>
        </w:tc>
        <w:tc>
          <w:tcPr>
            <w:tcW w:type="dxa" w:w="3816"/>
          </w:tcPr>
          <w:p>
            <w:r/>
            <w:r>
              <w:rPr>
                <w:sz w:val="19"/>
              </w:rPr>
              <w:t>Lets the model separate a growing cell from a shrinking one</w:t>
            </w:r>
          </w:p>
        </w:tc>
      </w:tr>
      <w:tr>
        <w:tc>
          <w:tcPr>
            <w:tcW w:type="dxa" w:w="1800"/>
          </w:tcPr>
          <w:p>
            <w:r/>
            <w:r>
              <w:rPr>
                <w:b/>
                <w:sz w:val="19"/>
              </w:rPr>
              <w:t>Price</w:t>
            </w:r>
          </w:p>
        </w:tc>
        <w:tc>
          <w:tcPr>
            <w:tcW w:type="dxa" w:w="3600"/>
          </w:tcPr>
          <w:p>
            <w:r/>
            <w:r>
              <w:rPr>
                <w:sz w:val="19"/>
              </w:rPr>
              <w:t>list price per unit</w:t>
            </w:r>
          </w:p>
        </w:tc>
        <w:tc>
          <w:tcPr>
            <w:tcW w:type="dxa" w:w="3816"/>
          </w:tcPr>
          <w:p>
            <w:r/>
            <w:r>
              <w:rPr>
                <w:sz w:val="19"/>
              </w:rPr>
              <w:t>A cell whose shelf price moved is not the same cell</w:t>
            </w:r>
          </w:p>
        </w:tc>
      </w:tr>
      <w:tr>
        <w:tc>
          <w:tcPr>
            <w:tcW w:type="dxa" w:w="1800"/>
          </w:tcPr>
          <w:p>
            <w:r/>
            <w:r>
              <w:rPr>
                <w:b/>
                <w:sz w:val="19"/>
              </w:rPr>
              <w:t>Recent level</w:t>
            </w:r>
          </w:p>
        </w:tc>
        <w:tc>
          <w:tcPr>
            <w:tcW w:type="dxa" w:w="3600"/>
          </w:tcPr>
          <w:p>
            <w:r/>
            <w:r>
              <w:rPr>
                <w:sz w:val="19"/>
              </w:rPr>
              <w:t>the local mean of nearby clean weeks (see 4.2)</w:t>
            </w:r>
          </w:p>
        </w:tc>
        <w:tc>
          <w:tcPr>
            <w:tcW w:type="dxa" w:w="3816"/>
          </w:tcPr>
          <w:p>
            <w:r/>
            <w:r>
              <w:rPr>
                <w:sz w:val="19"/>
              </w:rPr>
              <w:t>The old estimator, as a starting point the model corrects</w:t>
            </w:r>
          </w:p>
        </w:tc>
      </w:tr>
      <w:tr>
        <w:tc>
          <w:tcPr>
            <w:tcW w:type="dxa" w:w="1800"/>
          </w:tcPr>
          <w:p>
            <w:r/>
            <w:r>
              <w:rPr>
                <w:b/>
                <w:sz w:val="19"/>
              </w:rPr>
              <w:t>History</w:t>
            </w:r>
          </w:p>
        </w:tc>
        <w:tc>
          <w:tcPr>
            <w:tcW w:type="dxa" w:w="3600"/>
          </w:tcPr>
          <w:p>
            <w:r/>
            <w:r>
              <w:rPr>
                <w:sz w:val="19"/>
              </w:rPr>
              <w:t>units 4 weeks and 52 weeks back, clean weeks only (see 4.3)</w:t>
            </w:r>
          </w:p>
        </w:tc>
        <w:tc>
          <w:tcPr>
            <w:tcW w:type="dxa" w:w="3816"/>
          </w:tcPr>
          <w:p>
            <w:r/>
            <w:r>
              <w:rPr>
                <w:sz w:val="19"/>
              </w:rPr>
              <w:t>Short-run momentum, and last year's same week</w:t>
            </w:r>
          </w:p>
        </w:tc>
      </w:tr>
    </w:tbl>
    <w:p>
      <w:pPr>
        <w:spacing w:after="240"/>
      </w:pPr>
      <w:r>
        <w:rPr>
          <w:b w:val="0"/>
          <w:i/>
          <w:color w:val="555F6D"/>
          <w:sz w:val="17"/>
        </w:rPr>
        <w:t>Base_Quantity is deliberately NOT a feature. It is the answer, so training on it would be circular, and practically no client file contains it.</w:t>
      </w:r>
    </w:p>
    <w:p>
      <w:pPr>
        <w:pStyle w:val="Heading1"/>
      </w:pPr>
      <w:r>
        <w:t>6. How we know it works</w:t>
      </w:r>
    </w:p>
    <w:p>
      <w:r>
        <w:rPr>
          <w:b w:val="0"/>
          <w:i w:val="0"/>
        </w:rPr>
        <w:t>The PDF sets three acceptance checks. All three pass on the shipped dataset of 325,260 store-weeks. A fit takes about 25 seconds and is then cached, so it runs once per dataset.</w:t>
      </w:r>
    </w:p>
    <w:tbl>
      <w:tblPr>
        <w:tblStyle w:val="LightGrid-Accent1"/>
        <w:tblW w:type="auto" w:w="0"/>
        <w:jc w:val="center"/>
        <w:tblLook w:firstColumn="1" w:firstRow="1" w:lastColumn="0" w:lastRow="0" w:noHBand="0" w:noVBand="1" w:val="04A0"/>
      </w:tblPr>
      <w:tblGrid>
        <w:gridCol w:w="2880"/>
        <w:gridCol w:w="2880"/>
        <w:gridCol w:w="2880"/>
      </w:tblGrid>
      <w:tr>
        <w:tc>
          <w:tcPr>
            <w:tcW w:type="dxa" w:w="3960"/>
          </w:tcPr>
          <w:p>
            <w:r/>
            <w:r>
              <w:rPr>
                <w:b/>
                <w:sz w:val="19"/>
              </w:rPr>
              <w:t>Check (as the PDF defines it)</w:t>
            </w:r>
          </w:p>
        </w:tc>
        <w:tc>
          <w:tcPr>
            <w:tcW w:type="dxa" w:w="1224"/>
          </w:tcPr>
          <w:p>
            <w:r/>
            <w:r>
              <w:rPr>
                <w:b/>
                <w:sz w:val="19"/>
              </w:rPr>
              <w:t>Result</w:t>
            </w:r>
          </w:p>
        </w:tc>
        <w:tc>
          <w:tcPr>
            <w:tcW w:type="dxa" w:w="4032"/>
          </w:tcPr>
          <w:p>
            <w:r/>
            <w:r>
              <w:rPr>
                <w:b/>
                <w:sz w:val="19"/>
              </w:rPr>
              <w:t>Reading</w:t>
            </w:r>
          </w:p>
        </w:tc>
      </w:tr>
      <w:tr>
        <w:tc>
          <w:tcPr>
            <w:tcW w:type="dxa" w:w="3960"/>
          </w:tcPr>
          <w:p>
            <w:r/>
            <w:r>
              <w:rPr>
                <w:b/>
                <w:sz w:val="19"/>
              </w:rPr>
              <w:t>Error on held-out weeks the model never trained on (WAPE)</w:t>
            </w:r>
          </w:p>
        </w:tc>
        <w:tc>
          <w:tcPr>
            <w:tcW w:type="dxa" w:w="1224"/>
          </w:tcPr>
          <w:p>
            <w:r/>
            <w:r>
              <w:rPr>
                <w:sz w:val="19"/>
              </w:rPr>
              <w:t>2.87%</w:t>
            </w:r>
          </w:p>
        </w:tc>
        <w:tc>
          <w:tcPr>
            <w:tcW w:type="dxa" w:w="4032"/>
          </w:tcPr>
          <w:p>
            <w:r/>
            <w:r>
              <w:rPr>
                <w:sz w:val="19"/>
              </w:rPr>
              <w:t>Measured on 48,800 weeks of 2026. Under 3% error on ordinary trading</w:t>
            </w:r>
          </w:p>
        </w:tc>
      </w:tr>
      <w:tr>
        <w:tc>
          <w:tcPr>
            <w:tcW w:type="dxa" w:w="3960"/>
          </w:tcPr>
          <w:p>
            <w:r/>
            <w:r>
              <w:rPr>
                <w:b/>
                <w:sz w:val="19"/>
              </w:rPr>
              <w:t>Share of actuals inside the P10 to P90 band</w:t>
            </w:r>
          </w:p>
        </w:tc>
        <w:tc>
          <w:tcPr>
            <w:tcW w:type="dxa" w:w="1224"/>
          </w:tcPr>
          <w:p>
            <w:r/>
            <w:r>
              <w:rPr>
                <w:sz w:val="19"/>
              </w:rPr>
              <w:t>80.6%</w:t>
            </w:r>
          </w:p>
        </w:tc>
        <w:tc>
          <w:tcPr>
            <w:tcW w:type="dxa" w:w="4032"/>
          </w:tcPr>
          <w:p>
            <w:r/>
            <w:r>
              <w:rPr>
                <w:sz w:val="19"/>
              </w:rPr>
              <w:t>The PDF asks for about 80%, so the band is honestly sized</w:t>
            </w:r>
          </w:p>
        </w:tc>
      </w:tr>
      <w:tr>
        <w:tc>
          <w:tcPr>
            <w:tcW w:type="dxa" w:w="3960"/>
          </w:tcPr>
          <w:p>
            <w:r/>
            <w:r>
              <w:rPr>
                <w:b/>
                <w:sz w:val="19"/>
              </w:rPr>
              <w:t>P50 compared with the file's real Base_Quantity on promoted weeks</w:t>
            </w:r>
          </w:p>
        </w:tc>
        <w:tc>
          <w:tcPr>
            <w:tcW w:type="dxa" w:w="1224"/>
          </w:tcPr>
          <w:p>
            <w:r/>
            <w:r>
              <w:rPr>
                <w:sz w:val="19"/>
              </w:rPr>
              <w:t>2.96%</w:t>
            </w:r>
          </w:p>
        </w:tc>
        <w:tc>
          <w:tcPr>
            <w:tcW w:type="dxa" w:w="4032"/>
          </w:tcPr>
          <w:p>
            <w:r/>
            <w:r>
              <w:rPr>
                <w:sz w:val="19"/>
              </w:rPr>
              <w:t>The PDF's own wording is that they should agree closely. They do</w:t>
            </w:r>
          </w:p>
        </w:tc>
      </w:tr>
      <w:tr>
        <w:tc>
          <w:tcPr>
            <w:tcW w:type="dxa" w:w="3960"/>
          </w:tcPr>
          <w:p>
            <w:r/>
            <w:r>
              <w:rPr>
                <w:b/>
                <w:sz w:val="19"/>
              </w:rPr>
              <w:t>In-sample error, for comparison</w:t>
            </w:r>
          </w:p>
        </w:tc>
        <w:tc>
          <w:tcPr>
            <w:tcW w:type="dxa" w:w="1224"/>
          </w:tcPr>
          <w:p>
            <w:r/>
            <w:r>
              <w:rPr>
                <w:sz w:val="19"/>
              </w:rPr>
              <w:t>2.63%</w:t>
            </w:r>
          </w:p>
        </w:tc>
        <w:tc>
          <w:tcPr>
            <w:tcW w:type="dxa" w:w="4032"/>
          </w:tcPr>
          <w:p>
            <w:r/>
            <w:r>
              <w:rPr>
                <w:sz w:val="19"/>
              </w:rPr>
              <w:t>Almost identical to the held-out figure, so the model is not overfitting</w:t>
            </w:r>
          </w:p>
        </w:tc>
      </w:tr>
    </w:tbl>
    <w:p>
      <w:pPr>
        <w:spacing w:after="120"/>
      </w:pPr>
    </w:p>
    <w:p>
      <w:r>
        <w:rPr>
          <w:b w:val="0"/>
          <w:i w:val="0"/>
        </w:rPr>
        <w:t xml:space="preserve">The third row is the closest thing to a true score that exists. </w:t>
      </w:r>
      <w:r>
        <w:rPr>
          <w:b/>
          <w:i w:val="0"/>
        </w:rPr>
        <w:t xml:space="preserve">Our reference dataset is synthetic, which means that uniquely, we know the real answer. </w:t>
      </w:r>
      <w:r>
        <w:rPr>
          <w:b w:val="0"/>
          <w:i w:val="0"/>
        </w:rPr>
        <w:t>Base_Quantity in that file genuinely is what each promoted week would have sold, so we can mark the model's homework against it. On a real client file that column does not exist and this check is not available.</w:t>
      </w:r>
    </w:p>
    <w:p>
      <w:pPr>
        <w:pStyle w:val="Heading1"/>
      </w:pPr>
      <w:r>
        <w:t>7. The honest comparison, including where we lose</w:t>
      </w:r>
    </w:p>
    <w:p>
      <w:r>
        <w:rPr>
          <w:b w:val="0"/>
          <w:i w:val="0"/>
        </w:rPr>
        <w:t>Because the reference dataset carries the true answer, we could score both methods against it directly: the new model and the old local mean, on the same 55,590 promoted weeks against the same truth. This is the result, and it is not the flattering 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9"/>
              </w:rPr>
              <w:t>Promoted weeks</w:t>
            </w:r>
          </w:p>
        </w:tc>
        <w:tc>
          <w:tcPr>
            <w:tcW w:type="dxa" w:w="1656"/>
          </w:tcPr>
          <w:p>
            <w:r/>
            <w:r>
              <w:rPr>
                <w:b/>
                <w:sz w:val="19"/>
              </w:rPr>
              <w:t>Old local mean</w:t>
            </w:r>
          </w:p>
        </w:tc>
        <w:tc>
          <w:tcPr>
            <w:tcW w:type="dxa" w:w="1440"/>
          </w:tcPr>
          <w:p>
            <w:r/>
            <w:r>
              <w:rPr>
                <w:b/>
                <w:sz w:val="19"/>
              </w:rPr>
              <w:t>LightGBM</w:t>
            </w:r>
          </w:p>
        </w:tc>
        <w:tc>
          <w:tcPr>
            <w:tcW w:type="dxa" w:w="2376"/>
          </w:tcPr>
          <w:p>
            <w:r/>
            <w:r>
              <w:rPr>
                <w:b/>
                <w:sz w:val="19"/>
              </w:rPr>
              <w:t>Better</w:t>
            </w:r>
          </w:p>
        </w:tc>
      </w:tr>
      <w:tr>
        <w:tc>
          <w:tcPr>
            <w:tcW w:type="dxa" w:w="3744"/>
          </w:tcPr>
          <w:p>
            <w:r/>
            <w:r>
              <w:rPr>
                <w:b/>
                <w:sz w:val="19"/>
              </w:rPr>
              <w:t>All (55,590)</w:t>
            </w:r>
          </w:p>
        </w:tc>
        <w:tc>
          <w:tcPr>
            <w:tcW w:type="dxa" w:w="1656"/>
          </w:tcPr>
          <w:p>
            <w:r/>
            <w:r>
              <w:rPr>
                <w:sz w:val="19"/>
              </w:rPr>
              <w:t>2.77%</w:t>
            </w:r>
          </w:p>
        </w:tc>
        <w:tc>
          <w:tcPr>
            <w:tcW w:type="dxa" w:w="1440"/>
          </w:tcPr>
          <w:p>
            <w:r/>
            <w:r>
              <w:rPr>
                <w:sz w:val="19"/>
              </w:rPr>
              <w:t>2.96%</w:t>
            </w:r>
          </w:p>
        </w:tc>
        <w:tc>
          <w:tcPr>
            <w:tcW w:type="dxa" w:w="2376"/>
          </w:tcPr>
          <w:p>
            <w:r/>
            <w:r>
              <w:rPr>
                <w:sz w:val="19"/>
              </w:rPr>
              <w:t>local mean, by 0.19 points</w:t>
            </w:r>
          </w:p>
        </w:tc>
      </w:tr>
      <w:tr>
        <w:tc>
          <w:tcPr>
            <w:tcW w:type="dxa" w:w="3744"/>
          </w:tcPr>
          <w:p>
            <w:r/>
            <w:r>
              <w:rPr>
                <w:b/>
                <w:sz w:val="19"/>
              </w:rPr>
              <w:t>Cells promoted rarely, under 15% of weeks (6,480)</w:t>
            </w:r>
          </w:p>
        </w:tc>
        <w:tc>
          <w:tcPr>
            <w:tcW w:type="dxa" w:w="1656"/>
          </w:tcPr>
          <w:p>
            <w:r/>
            <w:r>
              <w:rPr>
                <w:sz w:val="19"/>
              </w:rPr>
              <w:t>1.52%</w:t>
            </w:r>
          </w:p>
        </w:tc>
        <w:tc>
          <w:tcPr>
            <w:tcW w:type="dxa" w:w="1440"/>
          </w:tcPr>
          <w:p>
            <w:r/>
            <w:r>
              <w:rPr>
                <w:sz w:val="19"/>
              </w:rPr>
              <w:t>2.66%</w:t>
            </w:r>
          </w:p>
        </w:tc>
        <w:tc>
          <w:tcPr>
            <w:tcW w:type="dxa" w:w="2376"/>
          </w:tcPr>
          <w:p>
            <w:r/>
            <w:r>
              <w:rPr>
                <w:sz w:val="19"/>
              </w:rPr>
              <w:t>local mean, clearly</w:t>
            </w:r>
          </w:p>
        </w:tc>
      </w:tr>
      <w:tr>
        <w:tc>
          <w:tcPr>
            <w:tcW w:type="dxa" w:w="3744"/>
          </w:tcPr>
          <w:p>
            <w:r/>
            <w:r>
              <w:rPr>
                <w:b/>
                <w:sz w:val="19"/>
              </w:rPr>
              <w:t>Cells promoted 15 to 25% of weeks (9,440)</w:t>
            </w:r>
          </w:p>
        </w:tc>
        <w:tc>
          <w:tcPr>
            <w:tcW w:type="dxa" w:w="1656"/>
          </w:tcPr>
          <w:p>
            <w:r/>
            <w:r>
              <w:rPr>
                <w:sz w:val="19"/>
              </w:rPr>
              <w:t>2.57%</w:t>
            </w:r>
          </w:p>
        </w:tc>
        <w:tc>
          <w:tcPr>
            <w:tcW w:type="dxa" w:w="1440"/>
          </w:tcPr>
          <w:p>
            <w:r/>
            <w:r>
              <w:rPr>
                <w:sz w:val="19"/>
              </w:rPr>
              <w:t>2.63%</w:t>
            </w:r>
          </w:p>
        </w:tc>
        <w:tc>
          <w:tcPr>
            <w:tcW w:type="dxa" w:w="2376"/>
          </w:tcPr>
          <w:p>
            <w:r/>
            <w:r>
              <w:rPr>
                <w:sz w:val="19"/>
              </w:rPr>
              <w:t>a draw</w:t>
            </w:r>
          </w:p>
        </w:tc>
      </w:tr>
      <w:tr>
        <w:tc>
          <w:tcPr>
            <w:tcW w:type="dxa" w:w="3744"/>
          </w:tcPr>
          <w:p>
            <w:r/>
            <w:r>
              <w:rPr>
                <w:b/>
                <w:sz w:val="19"/>
              </w:rPr>
              <w:t>Cells promoted often, over 25% of weeks (39,670)</w:t>
            </w:r>
          </w:p>
        </w:tc>
        <w:tc>
          <w:tcPr>
            <w:tcW w:type="dxa" w:w="1656"/>
          </w:tcPr>
          <w:p>
            <w:r/>
            <w:r>
              <w:rPr>
                <w:sz w:val="19"/>
              </w:rPr>
              <w:t>3.98%</w:t>
            </w:r>
          </w:p>
        </w:tc>
        <w:tc>
          <w:tcPr>
            <w:tcW w:type="dxa" w:w="1440"/>
          </w:tcPr>
          <w:p>
            <w:r/>
            <w:r>
              <w:rPr>
                <w:sz w:val="19"/>
              </w:rPr>
              <w:t>3.72%</w:t>
            </w:r>
          </w:p>
        </w:tc>
        <w:tc>
          <w:tcPr>
            <w:tcW w:type="dxa" w:w="2376"/>
          </w:tcPr>
          <w:p>
            <w:r/>
            <w:r>
              <w:rPr>
                <w:sz w:val="19"/>
              </w:rPr>
              <w:t>LightGBM</w:t>
            </w:r>
          </w:p>
        </w:tc>
      </w:tr>
    </w:tbl>
    <w:p>
      <w:pPr>
        <w:spacing w:after="240"/>
      </w:pPr>
      <w:r>
        <w:rPr>
          <w:b w:val="0"/>
          <w:i/>
          <w:color w:val="555F6D"/>
          <w:sz w:val="17"/>
        </w:rPr>
        <w:t>Error is WAPE against the known counterfactual. Lower is better.</w:t>
      </w:r>
    </w:p>
    <w:p>
      <w:pPr>
        <w:pStyle w:val="Heading2"/>
      </w:pPr>
      <w:r>
        <w:t>7.1 Why this table is not the whole story</w:t>
      </w:r>
    </w:p>
    <w:p>
      <w:r>
        <w:rPr>
          <w:b w:val="0"/>
          <w:i w:val="0"/>
        </w:rPr>
        <w:t>Two things must be said plainly, because a team lead will reasonably ask why we would ship it at all.</w:t>
      </w:r>
    </w:p>
    <w:p>
      <w:pPr>
        <w:pStyle w:val="ListBullet"/>
      </w:pPr>
      <w:r>
        <w:rPr>
          <w:b/>
          <w:i w:val="0"/>
        </w:rPr>
        <w:t xml:space="preserve">The test is biased in the old method's favour. </w:t>
      </w:r>
      <w:r>
        <w:rPr>
          <w:b w:val="0"/>
          <w:i w:val="0"/>
        </w:rPr>
        <w:t>The Base_Quantity we are scoring against was itself generated, when the synthetic dataset was built, as an average of the four non-promoted weeks either side, which is the local mean's own formula. We are marking the old method against a truth constructed by its own rule. That LightGBM still wins on heavily promoted cells, on that pitch, is the meaningful part of the table.</w:t>
      </w:r>
    </w:p>
    <w:p>
      <w:pPr>
        <w:pStyle w:val="ListBullet"/>
      </w:pPr>
      <w:r>
        <w:rPr>
          <w:b/>
          <w:i w:val="0"/>
        </w:rPr>
        <w:t xml:space="preserve">The conditions that make the model necessary do not occur in this dataset. </w:t>
      </w:r>
      <w:r>
        <w:rPr>
          <w:b w:val="0"/>
          <w:i w:val="0"/>
        </w:rPr>
        <w:t>Only 17% of weeks are promoted, with a minimum two-week gap between offers, so every single promoted week has at least three clean neighbours. The local mean can answer everywhere, so it has no coverage gap to lose on. We tested a rule that switches between the two methods based on how many clean weeks were available. On this data it collapses to use the local mean, because no cell is ever short.</w:t>
      </w:r>
    </w:p>
    <w:p>
      <w:r>
        <w:rPr>
          <w:b w:val="0"/>
          <w:i w:val="0"/>
        </w:rPr>
        <w:t>Real client data is not like that. Promotion intensity above 25% of weeks is ordinary in modern trade, and that is the band where the model already wins. And no amount of local averaging answers for a week that has not happened yet.</w:t>
      </w:r>
    </w:p>
    <w:p>
      <w:pPr>
        <w:pStyle w:val="Heading1"/>
      </w:pPr>
      <w:r>
        <w:t>8. Which estimator actually runs, and when</w:t>
      </w:r>
    </w:p>
    <w:p>
      <w:r>
        <w:rPr>
          <w:b w:val="0"/>
          <w:i w:val="0"/>
        </w:rPr>
        <w:t>The engine tries three sources in order. The principle is that observed data beats any estimate, and a model that has seen the whole dataset beats one local average.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Order</w:t>
            </w:r>
          </w:p>
        </w:tc>
        <w:tc>
          <w:tcPr>
            <w:tcW w:type="dxa" w:w="2736"/>
          </w:tcPr>
          <w:p>
            <w:r/>
            <w:r>
              <w:rPr>
                <w:b/>
                <w:sz w:val="19"/>
              </w:rPr>
              <w:t>Source</w:t>
            </w:r>
          </w:p>
        </w:tc>
        <w:tc>
          <w:tcPr>
            <w:tcW w:type="dxa" w:w="5760"/>
          </w:tcPr>
          <w:p>
            <w:r/>
            <w:r>
              <w:rPr>
                <w:b/>
                <w:sz w:val="19"/>
              </w:rPr>
              <w:t>When it is used</w:t>
            </w:r>
          </w:p>
        </w:tc>
      </w:tr>
      <w:tr>
        <w:tc>
          <w:tcPr>
            <w:tcW w:type="dxa" w:w="720"/>
          </w:tcPr>
          <w:p>
            <w:r/>
            <w:r>
              <w:rPr>
                <w:b/>
                <w:sz w:val="19"/>
              </w:rPr>
              <w:t>1</w:t>
            </w:r>
          </w:p>
        </w:tc>
        <w:tc>
          <w:tcPr>
            <w:tcW w:type="dxa" w:w="2736"/>
          </w:tcPr>
          <w:p>
            <w:r/>
            <w:r>
              <w:rPr>
                <w:sz w:val="19"/>
              </w:rPr>
              <w:t>The file's own Base_Quantity</w:t>
            </w:r>
          </w:p>
        </w:tc>
        <w:tc>
          <w:tcPr>
            <w:tcW w:type="dxa" w:w="5760"/>
          </w:tcPr>
          <w:p>
            <w:r/>
            <w:r>
              <w:rPr>
                <w:sz w:val="19"/>
              </w:rPr>
              <w:t>Only when the uploaded file genuinely carries a counterfactual. Retail panels such as Nielsen or IRI ship one. It is measured, not predicted, so nothing should override it</w:t>
            </w:r>
          </w:p>
        </w:tc>
      </w:tr>
      <w:tr>
        <w:tc>
          <w:tcPr>
            <w:tcW w:type="dxa" w:w="720"/>
          </w:tcPr>
          <w:p>
            <w:r/>
            <w:r>
              <w:rPr>
                <w:b/>
                <w:sz w:val="19"/>
              </w:rPr>
              <w:t>2</w:t>
            </w:r>
          </w:p>
        </w:tc>
        <w:tc>
          <w:tcPr>
            <w:tcW w:type="dxa" w:w="2736"/>
          </w:tcPr>
          <w:p>
            <w:r/>
            <w:r>
              <w:rPr>
                <w:sz w:val="19"/>
              </w:rPr>
              <w:t>LightGBM P50 (Component A)</w:t>
            </w:r>
          </w:p>
        </w:tc>
        <w:tc>
          <w:tcPr>
            <w:tcW w:type="dxa" w:w="5760"/>
          </w:tcPr>
          <w:p>
            <w:r/>
            <w:r>
              <w:rPr>
                <w:sz w:val="19"/>
              </w:rPr>
              <w:t>What actually runs on client data, because practically no client file has that column</w:t>
            </w:r>
          </w:p>
        </w:tc>
      </w:tr>
      <w:tr>
        <w:tc>
          <w:tcPr>
            <w:tcW w:type="dxa" w:w="720"/>
          </w:tcPr>
          <w:p>
            <w:r/>
            <w:r>
              <w:rPr>
                <w:b/>
                <w:sz w:val="19"/>
              </w:rPr>
              <w:t>3</w:t>
            </w:r>
          </w:p>
        </w:tc>
        <w:tc>
          <w:tcPr>
            <w:tcW w:type="dxa" w:w="2736"/>
          </w:tcPr>
          <w:p>
            <w:r/>
            <w:r>
              <w:rPr>
                <w:sz w:val="19"/>
              </w:rPr>
              <w:t>The local mean of nearby clean weeks</w:t>
            </w:r>
          </w:p>
        </w:tc>
        <w:tc>
          <w:tcPr>
            <w:tcW w:type="dxa" w:w="5760"/>
          </w:tcPr>
          <w:p>
            <w:r/>
            <w:r>
              <w:rPr>
                <w:sz w:val="19"/>
              </w:rPr>
              <w:t>Fallback for a cell the model could not be fitted for, and if LightGBM is unavailable</w:t>
            </w:r>
          </w:p>
        </w:tc>
      </w:tr>
    </w:tbl>
    <w:p>
      <w:pPr>
        <w:spacing w:after="240"/>
      </w:pPr>
      <w:r>
        <w:rPr>
          <w:b w:val="0"/>
          <w:i/>
          <w:color w:val="555F6D"/>
          <w:sz w:val="17"/>
        </w:rPr>
        <w:t>A promoted week that none of the three can answer for is skipped and reported, never silently set to zero, which would book the promotion's entire volume as incremental.</w:t>
      </w:r>
    </w:p>
    <w:p>
      <w:r>
        <w:rPr>
          <w:b/>
          <w:i w:val="0"/>
        </w:rPr>
        <w:t xml:space="preserve">One consequence worth stating: on our own demo dataset step 1 wins, so the shipped numbers on every dashboard are unchanged. </w:t>
      </w:r>
      <w:r>
        <w:rPr>
          <w:b w:val="0"/>
          <w:i w:val="0"/>
        </w:rPr>
        <w:t>The model is what runs the moment a client uploads data without that column, which is every client.</w:t>
      </w:r>
    </w:p>
    <w:p>
      <w:r>
        <w:rPr>
          <w:b w:val="0"/>
          <w:i/>
          <w:color w:val="555F6D"/>
          <w:sz w:val="19"/>
        </w:rPr>
        <w:t>For reference, on the same data: with the real Base_Quantity, overall ROI is 1.77x. With the LightGBM baseline instead, 1.81x. With the old local mean, 1.83x. The three agree within about three percent of each other, which is the reassuring part, because no method is producing a wildly different story.</w:t>
      </w:r>
    </w:p>
    <w:p>
      <w:pPr>
        <w:pStyle w:val="Heading1"/>
      </w:pPr>
      <w:r>
        <w:t>9. What this unlocks</w:t>
      </w:r>
    </w:p>
    <w:p>
      <w:pPr>
        <w:pStyle w:val="ListBullet"/>
      </w:pPr>
      <w:r>
        <w:rPr>
          <w:b/>
          <w:i w:val="0"/>
        </w:rPr>
        <w:t xml:space="preserve">A baseline for weeks nobody has traded. </w:t>
      </w:r>
      <w:r>
        <w:rPr>
          <w:b w:val="0"/>
          <w:i w:val="0"/>
        </w:rPr>
        <w:t>Simulation Studio can plan a future calendar, because the model answers for any week it can describe, not only weeks that have neighbours.</w:t>
      </w:r>
    </w:p>
    <w:p>
      <w:pPr>
        <w:pStyle w:val="ListBullet"/>
      </w:pPr>
      <w:r>
        <w:rPr>
          <w:b/>
          <w:i w:val="0"/>
        </w:rPr>
        <w:t xml:space="preserve">A baseline for cells with no clean history. </w:t>
      </w:r>
      <w:r>
        <w:rPr>
          <w:b w:val="0"/>
          <w:i w:val="0"/>
        </w:rPr>
        <w:t>Heavily promoted lines stop being skipped.</w:t>
      </w:r>
    </w:p>
    <w:p>
      <w:pPr>
        <w:pStyle w:val="ListBullet"/>
      </w:pPr>
      <w:r>
        <w:rPr>
          <w:b/>
          <w:i w:val="0"/>
        </w:rPr>
        <w:t xml:space="preserve">An honest range, not a point. </w:t>
      </w:r>
      <w:r>
        <w:rPr>
          <w:b w:val="0"/>
          <w:i w:val="0"/>
        </w:rPr>
        <w:t>P10 to P90 instead of a single number that implies precision we do not have.</w:t>
      </w:r>
    </w:p>
    <w:p>
      <w:pPr>
        <w:pStyle w:val="ListBullet"/>
      </w:pPr>
      <w:r>
        <w:rPr>
          <w:b/>
          <w:i w:val="0"/>
        </w:rPr>
        <w:t xml:space="preserve">Consistency across filters. </w:t>
      </w:r>
      <w:r>
        <w:rPr>
          <w:b w:val="0"/>
          <w:i w:val="0"/>
        </w:rPr>
        <w:t>The model is fitted once over the whole dataset, so a product's baseline no longer changes because someone filtered to a region. The old method re-derived it from whatever was in scope, so the same product could carry two different baselines in two views.</w:t>
      </w:r>
    </w:p>
    <w:p>
      <w:pPr>
        <w:pStyle w:val="Heading1"/>
      </w:pPr>
      <w:r>
        <w:t>10. Limits, and the one thing nobody can measure</w:t>
      </w:r>
    </w:p>
    <w:p>
      <w:r>
        <w:rPr>
          <w:b/>
          <w:i w:val="0"/>
        </w:rPr>
        <w:t xml:space="preserve">The counterfactual cannot be validated, by us or by anyone. </w:t>
      </w:r>
      <w:r>
        <w:rPr>
          <w:b w:val="0"/>
          <w:i w:val="0"/>
        </w:rPr>
        <w:t xml:space="preserve">It never happened, so there is no actual to compare against. Every number in section 6 measures how well the model predicts </w:t>
      </w:r>
      <w:r>
        <w:rPr>
          <w:b w:val="0"/>
          <w:i/>
        </w:rPr>
        <w:t>ordinary</w:t>
      </w:r>
      <w:r>
        <w:rPr>
          <w:b w:val="0"/>
          <w:i w:val="0"/>
        </w:rPr>
        <w:t xml:space="preserve"> weeks, which is necessary evidence and not sufficient proof. Any vendor who claims to have measured counterfactual accuracy on real data is measuring something else.</w:t>
      </w:r>
    </w:p>
    <w:p>
      <w:r>
        <w:rPr>
          <w:b w:val="0"/>
          <w:i w:val="0"/>
        </w:rPr>
        <w:t>Other limits we know about:</w:t>
      </w:r>
    </w:p>
    <w:p>
      <w:pPr>
        <w:pStyle w:val="ListBullet"/>
      </w:pPr>
      <w:r>
        <w:t>The model inherits the identifying assumption of every baseline method, that weeks without a promotion tell us what a promoted week would have been. It borrows evidence more cleverly, but it does not escape the assumption.</w:t>
      </w:r>
    </w:p>
    <w:p>
      <w:pPr>
        <w:pStyle w:val="ListBullet"/>
      </w:pPr>
      <w:r>
        <w:t>On the reference data it sits about 1.6% below the true counterfactual on average, which nudges reported lift up by roughly the same amount. The validation report states this figure rather than hiding it.</w:t>
      </w:r>
    </w:p>
    <w:p>
      <w:pPr>
        <w:pStyle w:val="ListBullet"/>
      </w:pPr>
      <w:r>
        <w:t>The P10 to P90 band covers 80.6% of ordinary weeks but only 74.5% of promoted ones, so it is slightly too narrow exactly where it matters most. Worth widening in a later pass.</w:t>
      </w:r>
    </w:p>
    <w:p>
      <w:pPr>
        <w:pStyle w:val="ListBullet"/>
      </w:pPr>
      <w:r>
        <w:t>A client's first upload may hold a single year, which leaves the 52-week lag empty and no hold-out year to validate against. The model still fits, but the validation report will say less.</w:t>
      </w:r>
    </w:p>
    <w:p>
      <w:pPr>
        <w:pStyle w:val="Heading1"/>
      </w:pPr>
      <w:r>
        <w:t>11. Running and operating it</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9"/>
              </w:rPr>
              <w:t>Item</w:t>
            </w:r>
          </w:p>
        </w:tc>
        <w:tc>
          <w:tcPr>
            <w:tcW w:type="dxa" w:w="7056"/>
          </w:tcPr>
          <w:p>
            <w:r/>
            <w:r>
              <w:rPr>
                <w:b/>
                <w:sz w:val="19"/>
              </w:rPr>
              <w:t>Detail</w:t>
            </w:r>
          </w:p>
        </w:tc>
      </w:tr>
      <w:tr>
        <w:tc>
          <w:tcPr>
            <w:tcW w:type="dxa" w:w="2160"/>
          </w:tcPr>
          <w:p>
            <w:r/>
            <w:r>
              <w:rPr>
                <w:b/>
                <w:sz w:val="19"/>
              </w:rPr>
              <w:t>Code</w:t>
            </w:r>
          </w:p>
        </w:tc>
        <w:tc>
          <w:tcPr>
            <w:tcW w:type="dxa" w:w="7056"/>
          </w:tcPr>
          <w:p>
            <w:r/>
            <w:r>
              <w:rPr>
                <w:sz w:val="19"/>
              </w:rPr>
              <w:t>backend/app/tpo/baseline_model.py for the model, and app/tpo/aggregate.py where the three sources are chosen</w:t>
            </w:r>
          </w:p>
        </w:tc>
      </w:tr>
      <w:tr>
        <w:tc>
          <w:tcPr>
            <w:tcW w:type="dxa" w:w="2160"/>
          </w:tcPr>
          <w:p>
            <w:r/>
            <w:r>
              <w:rPr>
                <w:b/>
                <w:sz w:val="19"/>
              </w:rPr>
              <w:t>Switch engines</w:t>
            </w:r>
          </w:p>
        </w:tc>
        <w:tc>
          <w:tcPr>
            <w:tcW w:type="dxa" w:w="7056"/>
          </w:tcPr>
          <w:p>
            <w:r/>
            <w:r>
              <w:rPr>
                <w:sz w:val="19"/>
              </w:rPr>
              <w:t>TPO_BASELINE_ENGINE=model is the default. Set it to window to use the old method alone</w:t>
            </w:r>
          </w:p>
        </w:tc>
      </w:tr>
      <w:tr>
        <w:tc>
          <w:tcPr>
            <w:tcW w:type="dxa" w:w="2160"/>
          </w:tcPr>
          <w:p>
            <w:r/>
            <w:r>
              <w:rPr>
                <w:b/>
                <w:sz w:val="19"/>
              </w:rPr>
              <w:t>Force the model</w:t>
            </w:r>
          </w:p>
        </w:tc>
        <w:tc>
          <w:tcPr>
            <w:tcW w:type="dxa" w:w="7056"/>
          </w:tcPr>
          <w:p>
            <w:r/>
            <w:r>
              <w:rPr>
                <w:sz w:val="19"/>
              </w:rPr>
              <w:t>TPO_BASELINE_PREFER_SOURCE=0 makes the model override a file's own Base_Quantity. Used to score it against a known truth</w:t>
            </w:r>
          </w:p>
        </w:tc>
      </w:tr>
      <w:tr>
        <w:tc>
          <w:tcPr>
            <w:tcW w:type="dxa" w:w="2160"/>
          </w:tcPr>
          <w:p>
            <w:r/>
            <w:r>
              <w:rPr>
                <w:b/>
                <w:sz w:val="19"/>
              </w:rPr>
              <w:t>Cache</w:t>
            </w:r>
          </w:p>
        </w:tc>
        <w:tc>
          <w:tcPr>
            <w:tcW w:type="dxa" w:w="7056"/>
          </w:tcPr>
          <w:p>
            <w:r/>
            <w:r>
              <w:rPr>
                <w:sz w:val="19"/>
              </w:rPr>
              <w:t>backend/.store/baseline/ holds a .npz plus a JSON report, keyed on a fingerprint of the data. New data changes the fingerprint and triggers one refit</w:t>
            </w:r>
          </w:p>
        </w:tc>
      </w:tr>
      <w:tr>
        <w:tc>
          <w:tcPr>
            <w:tcW w:type="dxa" w:w="2160"/>
          </w:tcPr>
          <w:p>
            <w:r/>
            <w:r>
              <w:rPr>
                <w:b/>
                <w:sz w:val="19"/>
              </w:rPr>
              <w:t>Cost</w:t>
            </w:r>
          </w:p>
        </w:tc>
        <w:tc>
          <w:tcPr>
            <w:tcW w:type="dxa" w:w="7056"/>
          </w:tcPr>
          <w:p>
            <w:r/>
            <w:r>
              <w:rPr>
                <w:sz w:val="19"/>
              </w:rPr>
              <w:t>About 25 seconds per dataset, once. Afterwards it loads from disk</w:t>
            </w:r>
          </w:p>
        </w:tc>
      </w:tr>
      <w:tr>
        <w:tc>
          <w:tcPr>
            <w:tcW w:type="dxa" w:w="2160"/>
          </w:tcPr>
          <w:p>
            <w:r/>
            <w:r>
              <w:rPr>
                <w:b/>
                <w:sz w:val="19"/>
              </w:rPr>
              <w:t>If LightGBM is missing</w:t>
            </w:r>
          </w:p>
        </w:tc>
        <w:tc>
          <w:tcPr>
            <w:tcW w:type="dxa" w:w="7056"/>
          </w:tcPr>
          <w:p>
            <w:r/>
            <w:r>
              <w:rPr>
                <w:sz w:val="19"/>
              </w:rPr>
              <w:t>The engine logs why and falls back to the local mean. Nothing breaks</w:t>
            </w:r>
          </w:p>
        </w:tc>
      </w:tr>
      <w:tr>
        <w:tc>
          <w:tcPr>
            <w:tcW w:type="dxa" w:w="2160"/>
          </w:tcPr>
          <w:p>
            <w:r/>
            <w:r>
              <w:rPr>
                <w:b/>
                <w:sz w:val="19"/>
              </w:rPr>
              <w:t>Refit on purpose</w:t>
            </w:r>
          </w:p>
        </w:tc>
        <w:tc>
          <w:tcPr>
            <w:tcW w:type="dxa" w:w="7056"/>
          </w:tcPr>
          <w:p>
            <w:r/>
            <w:r>
              <w:rPr>
                <w:sz w:val="19"/>
              </w:rPr>
              <w:t>Delete backend/.store/baseline/, or bump MODEL_VERSION in the module when the features or the masking rule change</w:t>
            </w:r>
          </w:p>
        </w:tc>
      </w:tr>
      <w:tr>
        <w:tc>
          <w:tcPr>
            <w:tcW w:type="dxa" w:w="2160"/>
          </w:tcPr>
          <w:p>
            <w:r/>
            <w:r>
              <w:rPr>
                <w:b/>
                <w:sz w:val="19"/>
              </w:rPr>
              <w:t>Tests</w:t>
            </w:r>
          </w:p>
        </w:tc>
        <w:tc>
          <w:tcPr>
            <w:tcW w:type="dxa" w:w="7056"/>
          </w:tcPr>
          <w:p>
            <w:r/>
            <w:r>
              <w:rPr>
                <w:sz w:val="19"/>
              </w:rPr>
              <w:t>backend/tests/test_baseline_model.py, 18 tests covering the training-set guarantees, the band, the fallbacks and the cache</w:t>
            </w:r>
          </w:p>
        </w:tc>
      </w:tr>
    </w:tbl>
    <w:p>
      <w:pPr>
        <w:spacing w:after="120"/>
      </w:pPr>
    </w:p>
    <w:p>
      <w:pPr>
        <w:pStyle w:val="Heading1"/>
      </w:pPr>
      <w:r>
        <w:t>12. What we would like decided</w:t>
      </w:r>
    </w:p>
    <w:p>
      <w:pPr>
        <w:pStyle w:val="ListBullet"/>
      </w:pPr>
      <w:r>
        <w:rPr>
          <w:b/>
          <w:i w:val="0"/>
        </w:rPr>
        <w:t xml:space="preserve">Do we accept a small, measured accuracy loss on the demo data in exchange for the capabilities in section 9? </w:t>
      </w:r>
      <w:r>
        <w:rPr>
          <w:b w:val="0"/>
          <w:i w:val="0"/>
        </w:rPr>
        <w:t>Our recommendation is yes. The gap is 0.19 points of WAPE on a test rigged in the old method's favour, and the alternative cannot plan a future week at all. The default configuration already preserves the demo numbers exactly, because the file's own column wins.</w:t>
      </w:r>
    </w:p>
    <w:p>
      <w:pPr>
        <w:pStyle w:val="ListBullet"/>
      </w:pPr>
      <w:r>
        <w:rPr>
          <w:b/>
          <w:i w:val="0"/>
        </w:rPr>
        <w:t xml:space="preserve">Should the P10 to P90 band be widened? </w:t>
      </w:r>
      <w:r>
        <w:rPr>
          <w:b w:val="0"/>
          <w:i w:val="0"/>
        </w:rPr>
        <w:t>It under-covers promoted weeks, at 74.5% against a target of 80%. This is a half-day change and it makes the Studio's ranges more honest.</w:t>
      </w:r>
    </w:p>
    <w:p>
      <w:pPr>
        <w:pStyle w:val="ListBullet"/>
      </w:pPr>
      <w:r>
        <w:rPr>
          <w:b/>
          <w:i w:val="0"/>
        </w:rPr>
        <w:t xml:space="preserve">Do we want the per-cell switch after all? </w:t>
      </w:r>
      <w:r>
        <w:rPr>
          <w:b w:val="0"/>
          <w:i w:val="0"/>
        </w:rPr>
        <w:t>It gains nothing on this dataset but would likely help on a real client file with uneven promotion intensity. We would rather decide it on the first real upload than guess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43A6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43A63"/>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2568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