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1F3A68"/>
          <w:sz w:val="56"/>
        </w:rPr>
        <w:t>Agents and MMM: Guide and Technical Reference</w:t>
      </w:r>
    </w:p>
    <w:p>
      <w:r>
        <w:rPr>
          <w:color w:val="555F6D"/>
          <w:sz w:val="28"/>
        </w:rPr>
        <w:t>The investigation agents and every MMM page: how to use them, and how every number is computed</w:t>
      </w:r>
    </w:p>
    <w:p/>
    <w:p>
      <w:r>
        <w:rPr>
          <w:color w:val="555F6D"/>
          <w:sz w:val="21"/>
        </w:rPr>
        <w:t>Retail Intelligence Platform · branch Merge-1</w:t>
      </w:r>
    </w:p>
    <w:p>
      <w:r>
        <w:rPr>
          <w:color w:val="555F6D"/>
          <w:sz w:val="21"/>
        </w:rPr>
        <w:t>Part 1 — Guide: the Promotion Investigation agents and every MMM page (Data Connections, Insights Hub, Calendar,</w:t>
      </w:r>
    </w:p>
    <w:p>
      <w:r>
        <w:rPr>
          <w:color w:val="555F6D"/>
          <w:sz w:val="21"/>
        </w:rPr>
        <w:t>Budget Optimizer, Budget Allocator, Revenue Forecast, Reports, Settings), with screenshots and workflows.</w:t>
      </w:r>
    </w:p>
    <w:p>
      <w:r>
        <w:rPr>
          <w:color w:val="555F6D"/>
          <w:sz w:val="21"/>
        </w:rPr>
        <w:t>Part 2 — Technical reference: every filter, chart and number, with the algorithms, theory, worked examples</w:t>
      </w:r>
    </w:p>
    <w:p>
      <w:r>
        <w:rPr>
          <w:color w:val="555F6D"/>
          <w:sz w:val="21"/>
        </w:rPr>
        <w:t>and the reasons behind each method; validation, limitations and the API index.</w:t>
      </w:r>
    </w:p>
    <w:p>
      <w:r>
        <w:rPr>
          <w:color w:val="555F6D"/>
          <w:sz w:val="21"/>
        </w:rPr>
        <w:t>Worked examples use the platform's reference data (4,291 days, 1 Jan 2015 – 30 Sep 2026, 22 channels).</w:t>
      </w:r>
    </w:p>
    <w:p>
      <w:r>
        <w:rPr>
          <w:i/>
          <w:color w:val="555F6D"/>
          <w:sz w:val="21"/>
        </w:rPr>
        <w:t>Written for: business users, marketing managers, analysts and engineers who use or maintain the platform</w:t>
      </w:r>
    </w:p>
    <w:p>
      <w:r>
        <w:br w:type="page"/>
      </w:r>
    </w:p>
    <w:p>
      <w:pPr>
        <w:pStyle w:val="Heading1"/>
      </w:pPr>
      <w:r>
        <w:t>Contents</w:t>
      </w:r>
    </w:p>
    <w:p>
      <w:pPr>
        <w:spacing w:after="60"/>
        <w:ind w:left="0"/>
      </w:pPr>
      <w:r>
        <w:rPr>
          <w:b/>
          <w:sz w:val="21"/>
        </w:rPr>
        <w:t>PART 1 — GUIDE</w:t>
      </w:r>
    </w:p>
    <w:p>
      <w:pPr>
        <w:spacing w:after="60"/>
        <w:ind w:left="0"/>
      </w:pPr>
      <w:r>
        <w:rPr>
          <w:b/>
          <w:sz w:val="21"/>
        </w:rPr>
        <w:t>1. What this document covers</w:t>
      </w:r>
    </w:p>
    <w:p>
      <w:pPr>
        <w:spacing w:after="60"/>
        <w:ind w:left="0"/>
      </w:pPr>
      <w:r>
        <w:rPr>
          <w:b/>
          <w:sz w:val="21"/>
        </w:rPr>
        <w:t>2. Promotion Investigation agents</w:t>
      </w:r>
    </w:p>
    <w:p>
      <w:pPr>
        <w:spacing w:after="20"/>
        <w:ind w:left="454"/>
      </w:pPr>
      <w:r>
        <w:rPr>
          <w:b w:val="0"/>
          <w:color w:val="555F6D"/>
          <w:sz w:val="19"/>
        </w:rPr>
        <w:t>2.1 How to start an investigation</w:t>
      </w:r>
    </w:p>
    <w:p>
      <w:pPr>
        <w:spacing w:after="20"/>
        <w:ind w:left="454"/>
      </w:pPr>
      <w:r>
        <w:rPr>
          <w:b w:val="0"/>
          <w:color w:val="555F6D"/>
          <w:sz w:val="19"/>
        </w:rPr>
        <w:t>2.2 The four agents</w:t>
      </w:r>
    </w:p>
    <w:p>
      <w:pPr>
        <w:spacing w:after="20"/>
        <w:ind w:left="454"/>
      </w:pPr>
      <w:r>
        <w:rPr>
          <w:b w:val="0"/>
          <w:color w:val="555F6D"/>
          <w:sz w:val="19"/>
        </w:rPr>
        <w:t>2.3 What happens when you press Investigate</w:t>
      </w:r>
    </w:p>
    <w:p>
      <w:pPr>
        <w:spacing w:after="20"/>
        <w:ind w:left="454"/>
      </w:pPr>
      <w:r>
        <w:rPr>
          <w:b w:val="0"/>
          <w:color w:val="555F6D"/>
          <w:sz w:val="19"/>
        </w:rPr>
        <w:t>2.4 Reading the results</w:t>
      </w:r>
    </w:p>
    <w:p>
      <w:pPr>
        <w:spacing w:after="60"/>
        <w:ind w:left="0"/>
      </w:pPr>
      <w:r>
        <w:rPr>
          <w:b/>
          <w:sz w:val="21"/>
        </w:rPr>
        <w:t>3. The MMM module at a glance</w:t>
      </w:r>
    </w:p>
    <w:p>
      <w:pPr>
        <w:spacing w:after="60"/>
        <w:ind w:left="0"/>
      </w:pPr>
      <w:r>
        <w:rPr>
          <w:b/>
          <w:sz w:val="21"/>
        </w:rPr>
        <w:t>4. Data Connections</w:t>
      </w:r>
    </w:p>
    <w:p>
      <w:pPr>
        <w:spacing w:after="60"/>
        <w:ind w:left="0"/>
      </w:pPr>
      <w:r>
        <w:rPr>
          <w:b/>
          <w:sz w:val="21"/>
        </w:rPr>
        <w:t>5. Insights Hub</w:t>
      </w:r>
    </w:p>
    <w:p>
      <w:pPr>
        <w:spacing w:after="20"/>
        <w:ind w:left="454"/>
      </w:pPr>
      <w:r>
        <w:rPr>
          <w:b w:val="0"/>
          <w:color w:val="555F6D"/>
          <w:sz w:val="19"/>
        </w:rPr>
        <w:t>5.1 Filters</w:t>
      </w:r>
    </w:p>
    <w:p>
      <w:pPr>
        <w:spacing w:after="20"/>
        <w:ind w:left="454"/>
      </w:pPr>
      <w:r>
        <w:rPr>
          <w:b w:val="0"/>
          <w:color w:val="555F6D"/>
          <w:sz w:val="19"/>
        </w:rPr>
        <w:t>5.2 What is on the page</w:t>
      </w:r>
    </w:p>
    <w:p>
      <w:pPr>
        <w:spacing w:after="60"/>
        <w:ind w:left="0"/>
      </w:pPr>
      <w:r>
        <w:rPr>
          <w:b/>
          <w:sz w:val="21"/>
        </w:rPr>
        <w:t>6. Calendar</w:t>
      </w:r>
    </w:p>
    <w:p>
      <w:pPr>
        <w:spacing w:after="60"/>
        <w:ind w:left="0"/>
      </w:pPr>
      <w:r>
        <w:rPr>
          <w:b/>
          <w:sz w:val="21"/>
        </w:rPr>
        <w:t>7. Budget Optimizer</w:t>
      </w:r>
    </w:p>
    <w:p>
      <w:pPr>
        <w:spacing w:after="20"/>
        <w:ind w:left="454"/>
      </w:pPr>
      <w:r>
        <w:rPr>
          <w:b w:val="0"/>
          <w:color w:val="555F6D"/>
          <w:sz w:val="19"/>
        </w:rPr>
        <w:t>7.1 Controls</w:t>
      </w:r>
    </w:p>
    <w:p>
      <w:pPr>
        <w:spacing w:after="20"/>
        <w:ind w:left="454"/>
      </w:pPr>
      <w:r>
        <w:rPr>
          <w:b w:val="0"/>
          <w:color w:val="555F6D"/>
          <w:sz w:val="19"/>
        </w:rPr>
        <w:t>7.2 What is on the page</w:t>
      </w:r>
    </w:p>
    <w:p>
      <w:pPr>
        <w:spacing w:after="60"/>
        <w:ind w:left="0"/>
      </w:pPr>
      <w:r>
        <w:rPr>
          <w:b/>
          <w:sz w:val="21"/>
        </w:rPr>
        <w:t>8. Budget Allocator</w:t>
      </w:r>
    </w:p>
    <w:p>
      <w:pPr>
        <w:spacing w:after="60"/>
        <w:ind w:left="0"/>
      </w:pPr>
      <w:r>
        <w:rPr>
          <w:b/>
          <w:sz w:val="21"/>
        </w:rPr>
        <w:t>9. Revenue Forecast</w:t>
      </w:r>
    </w:p>
    <w:p>
      <w:pPr>
        <w:spacing w:after="20"/>
        <w:ind w:left="454"/>
      </w:pPr>
      <w:r>
        <w:rPr>
          <w:b w:val="0"/>
          <w:color w:val="555F6D"/>
          <w:sz w:val="19"/>
        </w:rPr>
        <w:t>9.1 The file</w:t>
      </w:r>
    </w:p>
    <w:p>
      <w:pPr>
        <w:spacing w:after="20"/>
        <w:ind w:left="454"/>
      </w:pPr>
      <w:r>
        <w:rPr>
          <w:b w:val="0"/>
          <w:color w:val="555F6D"/>
          <w:sz w:val="19"/>
        </w:rPr>
        <w:t>9.2 What is on the page</w:t>
      </w:r>
    </w:p>
    <w:p>
      <w:pPr>
        <w:spacing w:after="60"/>
        <w:ind w:left="0"/>
      </w:pPr>
      <w:r>
        <w:rPr>
          <w:b/>
          <w:sz w:val="21"/>
        </w:rPr>
        <w:t>10. Reports and Settings</w:t>
      </w:r>
    </w:p>
    <w:p>
      <w:pPr>
        <w:spacing w:after="20"/>
        <w:ind w:left="454"/>
      </w:pPr>
      <w:r>
        <w:rPr>
          <w:b w:val="0"/>
          <w:color w:val="555F6D"/>
          <w:sz w:val="19"/>
        </w:rPr>
        <w:t>10.1 Reports</w:t>
      </w:r>
    </w:p>
    <w:p>
      <w:pPr>
        <w:spacing w:after="20"/>
        <w:ind w:left="454"/>
      </w:pPr>
      <w:r>
        <w:rPr>
          <w:b w:val="0"/>
          <w:color w:val="555F6D"/>
          <w:sz w:val="19"/>
        </w:rPr>
        <w:t>10.2 Settings</w:t>
      </w:r>
    </w:p>
    <w:p>
      <w:pPr>
        <w:spacing w:after="60"/>
        <w:ind w:left="0"/>
      </w:pPr>
      <w:r>
        <w:rPr>
          <w:b/>
          <w:sz w:val="21"/>
        </w:rPr>
        <w:t>11. Typical workflows</w:t>
      </w:r>
    </w:p>
    <w:p>
      <w:pPr>
        <w:spacing w:after="20"/>
        <w:ind w:left="454"/>
      </w:pPr>
      <w:r>
        <w:rPr>
          <w:b w:val="0"/>
          <w:color w:val="555F6D"/>
          <w:sz w:val="19"/>
        </w:rPr>
        <w:t>Review last year</w:t>
      </w:r>
    </w:p>
    <w:p>
      <w:pPr>
        <w:spacing w:after="20"/>
        <w:ind w:left="454"/>
      </w:pPr>
      <w:r>
        <w:rPr>
          <w:b w:val="0"/>
          <w:color w:val="555F6D"/>
          <w:sz w:val="19"/>
        </w:rPr>
        <w:t>Re-plan a past quarter</w:t>
      </w:r>
    </w:p>
    <w:p>
      <w:pPr>
        <w:spacing w:after="20"/>
        <w:ind w:left="454"/>
      </w:pPr>
      <w:r>
        <w:rPr>
          <w:b w:val="0"/>
          <w:color w:val="555F6D"/>
          <w:sz w:val="19"/>
        </w:rPr>
        <w:t>Set next year’s budget</w:t>
      </w:r>
    </w:p>
    <w:p>
      <w:pPr>
        <w:spacing w:after="60"/>
        <w:ind w:left="0"/>
      </w:pPr>
      <w:r>
        <w:rPr>
          <w:b/>
          <w:sz w:val="21"/>
        </w:rPr>
        <w:t>12. Glossary</w:t>
      </w:r>
    </w:p>
    <w:p>
      <w:pPr>
        <w:spacing w:after="60"/>
        <w:ind w:left="0"/>
      </w:pPr>
      <w:r>
        <w:rPr>
          <w:b/>
          <w:sz w:val="21"/>
        </w:rPr>
        <w:t>PART 2 — TECHNICAL REFERENCE</w:t>
      </w:r>
    </w:p>
    <w:p>
      <w:pPr>
        <w:spacing w:after="60"/>
        <w:ind w:left="0"/>
      </w:pPr>
      <w:r>
        <w:rPr>
          <w:b/>
          <w:sz w:val="21"/>
        </w:rPr>
        <w:t>Part A — Foundations</w:t>
      </w:r>
    </w:p>
    <w:p>
      <w:pPr>
        <w:spacing w:after="20"/>
        <w:ind w:left="454"/>
      </w:pPr>
      <w:r>
        <w:rPr>
          <w:b w:val="0"/>
          <w:color w:val="555F6D"/>
          <w:sz w:val="19"/>
        </w:rPr>
        <w:t>A.1 The daily dataset (data contract)</w:t>
      </w:r>
    </w:p>
    <w:p>
      <w:pPr>
        <w:spacing w:after="20"/>
        <w:ind w:left="454"/>
      </w:pPr>
      <w:r>
        <w:rPr>
          <w:b w:val="0"/>
          <w:color w:val="555F6D"/>
          <w:sz w:val="19"/>
        </w:rPr>
        <w:t>A.2 Money, units and currency</w:t>
      </w:r>
    </w:p>
    <w:p>
      <w:pPr>
        <w:spacing w:after="20"/>
        <w:ind w:left="454"/>
      </w:pPr>
      <w:r>
        <w:rPr>
          <w:b w:val="0"/>
          <w:color w:val="555F6D"/>
          <w:sz w:val="19"/>
        </w:rPr>
        <w:t>A.3 Scope: how filters select days (Insights Hub, Calendar, Reports)</w:t>
      </w:r>
    </w:p>
    <w:p>
      <w:pPr>
        <w:spacing w:after="60"/>
        <w:ind w:left="0"/>
      </w:pPr>
      <w:r>
        <w:rPr>
          <w:b/>
          <w:sz w:val="21"/>
        </w:rPr>
        <w:t>Part B — Insights Hub</w:t>
      </w:r>
    </w:p>
    <w:p>
      <w:pPr>
        <w:spacing w:after="20"/>
        <w:ind w:left="454"/>
      </w:pPr>
      <w:r>
        <w:rPr>
          <w:b w:val="0"/>
          <w:color w:val="555F6D"/>
          <w:sz w:val="19"/>
        </w:rPr>
        <w:t>B.1 Filters and controls</w:t>
      </w:r>
    </w:p>
    <w:p>
      <w:pPr>
        <w:spacing w:after="20"/>
        <w:ind w:left="454"/>
      </w:pPr>
      <w:r>
        <w:rPr>
          <w:b w:val="0"/>
          <w:color w:val="555F6D"/>
          <w:sz w:val="19"/>
        </w:rPr>
        <w:t>B.2 The baseline: what the days would earn without ads</w:t>
      </w:r>
    </w:p>
    <w:p>
      <w:pPr>
        <w:spacing w:after="20"/>
        <w:ind w:left="454"/>
      </w:pPr>
      <w:r>
        <w:rPr>
          <w:b w:val="0"/>
          <w:color w:val="555F6D"/>
          <w:sz w:val="19"/>
        </w:rPr>
        <w:t>B.3 KPI cards</w:t>
      </w:r>
    </w:p>
    <w:p>
      <w:pPr>
        <w:spacing w:after="20"/>
        <w:ind w:left="454"/>
      </w:pPr>
      <w:r>
        <w:rPr>
          <w:b w:val="0"/>
          <w:color w:val="555F6D"/>
          <w:sz w:val="19"/>
        </w:rPr>
        <w:t>B.4 Ad Spend &amp; ROAS Trend</w:t>
      </w:r>
    </w:p>
    <w:p>
      <w:pPr>
        <w:spacing w:after="20"/>
        <w:ind w:left="454"/>
      </w:pPr>
      <w:r>
        <w:rPr>
          <w:b w:val="0"/>
          <w:color w:val="555F6D"/>
          <w:sz w:val="19"/>
        </w:rPr>
        <w:t>B.5 Revenue Decomposition (donut)</w:t>
      </w:r>
    </w:p>
    <w:p>
      <w:pPr>
        <w:spacing w:after="20"/>
        <w:ind w:left="454"/>
      </w:pPr>
      <w:r>
        <w:rPr>
          <w:b w:val="0"/>
          <w:color w:val="555F6D"/>
          <w:sz w:val="19"/>
        </w:rPr>
        <w:t>B.6 Channel card: Revenue / Ad Spend / ROAS by Channel</w:t>
      </w:r>
    </w:p>
    <w:p>
      <w:pPr>
        <w:spacing w:after="20"/>
        <w:ind w:left="454"/>
      </w:pPr>
      <w:r>
        <w:rPr>
          <w:b w:val="0"/>
          <w:color w:val="555F6D"/>
          <w:sz w:val="19"/>
        </w:rPr>
        <w:t>B.7 Revenue by Promotion Type</w:t>
      </w:r>
    </w:p>
    <w:p>
      <w:pPr>
        <w:spacing w:after="20"/>
        <w:ind w:left="454"/>
      </w:pPr>
      <w:r>
        <w:rPr>
          <w:b w:val="0"/>
          <w:color w:val="555F6D"/>
          <w:sz w:val="19"/>
        </w:rPr>
        <w:t>B.8 Performance Comparison</w:t>
      </w:r>
    </w:p>
    <w:p>
      <w:pPr>
        <w:spacing w:after="20"/>
        <w:ind w:left="454"/>
      </w:pPr>
      <w:r>
        <w:rPr>
          <w:b w:val="0"/>
          <w:color w:val="555F6D"/>
          <w:sz w:val="19"/>
        </w:rPr>
        <w:t>B.9 Days With vs Without Events</w:t>
      </w:r>
    </w:p>
    <w:p>
      <w:pPr>
        <w:spacing w:after="20"/>
        <w:ind w:left="454"/>
      </w:pPr>
      <w:r>
        <w:rPr>
          <w:b w:val="0"/>
          <w:color w:val="555F6D"/>
          <w:sz w:val="19"/>
        </w:rPr>
        <w:t>B.10 Caching</w:t>
      </w:r>
    </w:p>
    <w:p>
      <w:pPr>
        <w:spacing w:after="60"/>
        <w:ind w:left="0"/>
      </w:pPr>
      <w:r>
        <w:rPr>
          <w:b/>
          <w:sz w:val="21"/>
        </w:rPr>
        <w:t>Part C — Calendar</w:t>
      </w:r>
    </w:p>
    <w:p>
      <w:pPr>
        <w:spacing w:after="60"/>
        <w:ind w:left="0"/>
      </w:pPr>
      <w:r>
        <w:rPr>
          <w:b/>
          <w:sz w:val="21"/>
        </w:rPr>
        <w:t>Part D — The response model (planning pages)</w:t>
      </w:r>
    </w:p>
    <w:p>
      <w:pPr>
        <w:spacing w:after="20"/>
        <w:ind w:left="454"/>
      </w:pPr>
      <w:r>
        <w:rPr>
          <w:b w:val="0"/>
          <w:color w:val="555F6D"/>
          <w:sz w:val="19"/>
        </w:rPr>
        <w:t>D.1 Carryover (adstock)</w:t>
      </w:r>
    </w:p>
    <w:p>
      <w:pPr>
        <w:spacing w:after="20"/>
        <w:ind w:left="454"/>
      </w:pPr>
      <w:r>
        <w:rPr>
          <w:b w:val="0"/>
          <w:color w:val="555F6D"/>
          <w:sz w:val="19"/>
        </w:rPr>
        <w:t>D.2 Diminishing returns (Hill curve)</w:t>
      </w:r>
    </w:p>
    <w:p>
      <w:pPr>
        <w:spacing w:after="20"/>
        <w:ind w:left="454"/>
      </w:pPr>
      <w:r>
        <w:rPr>
          <w:b w:val="0"/>
          <w:color w:val="555F6D"/>
          <w:sz w:val="19"/>
        </w:rPr>
        <w:t>D.3 The baseline features (26 columns)</w:t>
      </w:r>
    </w:p>
    <w:p>
      <w:pPr>
        <w:spacing w:after="20"/>
        <w:ind w:left="454"/>
      </w:pPr>
      <w:r>
        <w:rPr>
          <w:b w:val="0"/>
          <w:color w:val="555F6D"/>
          <w:sz w:val="19"/>
        </w:rPr>
        <w:t>D.4 How the model is fitted</w:t>
      </w:r>
    </w:p>
    <w:p>
      <w:pPr>
        <w:spacing w:after="20"/>
        <w:ind w:left="454"/>
      </w:pPr>
      <w:r>
        <w:rPr>
          <w:b w:val="0"/>
          <w:color w:val="555F6D"/>
          <w:sz w:val="19"/>
        </w:rPr>
        <w:t>D.5 Uncertainty: the block bootstrap</w:t>
      </w:r>
    </w:p>
    <w:p>
      <w:pPr>
        <w:spacing w:after="20"/>
        <w:ind w:left="454"/>
      </w:pPr>
      <w:r>
        <w:rPr>
          <w:b w:val="0"/>
          <w:color w:val="555F6D"/>
          <w:sz w:val="19"/>
        </w:rPr>
        <w:t>D.6 Validation and the fitted parameters</w:t>
      </w:r>
    </w:p>
    <w:p>
      <w:pPr>
        <w:spacing w:after="20"/>
        <w:ind w:left="454"/>
      </w:pPr>
      <w:r>
        <w:rPr>
          <w:b w:val="0"/>
          <w:color w:val="555F6D"/>
          <w:sz w:val="19"/>
        </w:rPr>
        <w:t>D.7 Why this model, and its limits</w:t>
      </w:r>
    </w:p>
    <w:p>
      <w:pPr>
        <w:spacing w:after="60"/>
        <w:ind w:left="0"/>
      </w:pPr>
      <w:r>
        <w:rPr>
          <w:b/>
          <w:sz w:val="21"/>
        </w:rPr>
        <w:t>Part E — Budget Optimizer</w:t>
      </w:r>
    </w:p>
    <w:p>
      <w:pPr>
        <w:spacing w:after="20"/>
        <w:ind w:left="454"/>
      </w:pPr>
      <w:r>
        <w:rPr>
          <w:b w:val="0"/>
          <w:color w:val="555F6D"/>
          <w:sz w:val="19"/>
        </w:rPr>
        <w:t>E.1 Controls</w:t>
      </w:r>
    </w:p>
    <w:p>
      <w:pPr>
        <w:spacing w:after="20"/>
        <w:ind w:left="454"/>
      </w:pPr>
      <w:r>
        <w:rPr>
          <w:b w:val="0"/>
          <w:color w:val="555F6D"/>
          <w:sz w:val="19"/>
        </w:rPr>
        <w:t>E.2 How a plan is scored</w:t>
      </w:r>
    </w:p>
    <w:p>
      <w:pPr>
        <w:spacing w:after="20"/>
        <w:ind w:left="454"/>
      </w:pPr>
      <w:r>
        <w:rPr>
          <w:b w:val="0"/>
          <w:color w:val="555F6D"/>
          <w:sz w:val="19"/>
        </w:rPr>
        <w:t>E.3 The optimizer</w:t>
      </w:r>
    </w:p>
    <w:p>
      <w:pPr>
        <w:spacing w:after="20"/>
        <w:ind w:left="454"/>
      </w:pPr>
      <w:r>
        <w:rPr>
          <w:b w:val="0"/>
          <w:color w:val="555F6D"/>
          <w:sz w:val="19"/>
        </w:rPr>
        <w:t>E.4 From a plan to moves</w:t>
      </w:r>
    </w:p>
    <w:p>
      <w:pPr>
        <w:spacing w:after="20"/>
        <w:ind w:left="454"/>
      </w:pPr>
      <w:r>
        <w:rPr>
          <w:b w:val="0"/>
          <w:color w:val="555F6D"/>
          <w:sz w:val="19"/>
        </w:rPr>
        <w:t>E.5 Every panel and number</w:t>
      </w:r>
    </w:p>
    <w:p>
      <w:pPr>
        <w:spacing w:after="60"/>
        <w:ind w:left="0"/>
      </w:pPr>
      <w:r>
        <w:rPr>
          <w:b/>
          <w:sz w:val="21"/>
        </w:rPr>
        <w:t>Part F — Budget Allocator</w:t>
      </w:r>
    </w:p>
    <w:p>
      <w:pPr>
        <w:spacing w:after="20"/>
        <w:ind w:left="454"/>
      </w:pPr>
      <w:r>
        <w:rPr>
          <w:b w:val="0"/>
          <w:color w:val="555F6D"/>
          <w:sz w:val="19"/>
        </w:rPr>
        <w:t>F.1 Inputs</w:t>
      </w:r>
    </w:p>
    <w:p>
      <w:pPr>
        <w:spacing w:after="20"/>
        <w:ind w:left="454"/>
      </w:pPr>
      <w:r>
        <w:rPr>
          <w:b w:val="0"/>
          <w:color w:val="555F6D"/>
          <w:sz w:val="19"/>
        </w:rPr>
        <w:t>F.2 The three plans and the two effects</w:t>
      </w:r>
    </w:p>
    <w:p>
      <w:pPr>
        <w:spacing w:after="20"/>
        <w:ind w:left="454"/>
      </w:pPr>
      <w:r>
        <w:rPr>
          <w:b w:val="0"/>
          <w:color w:val="555F6D"/>
          <w:sz w:val="19"/>
        </w:rPr>
        <w:t>F.3 Net profit at every budget (frontier)</w:t>
      </w:r>
    </w:p>
    <w:p>
      <w:pPr>
        <w:spacing w:after="20"/>
        <w:ind w:left="454"/>
      </w:pPr>
      <w:r>
        <w:rPr>
          <w:b w:val="0"/>
          <w:color w:val="555F6D"/>
          <w:sz w:val="19"/>
        </w:rPr>
        <w:t>F.4 Optimal spend by channel</w:t>
      </w:r>
    </w:p>
    <w:p>
      <w:pPr>
        <w:spacing w:after="60"/>
        <w:ind w:left="0"/>
      </w:pPr>
      <w:r>
        <w:rPr>
          <w:b/>
          <w:sz w:val="21"/>
        </w:rPr>
        <w:t>Part G — Revenue Forecast</w:t>
      </w:r>
    </w:p>
    <w:p>
      <w:pPr>
        <w:spacing w:after="20"/>
        <w:ind w:left="454"/>
      </w:pPr>
      <w:r>
        <w:rPr>
          <w:b w:val="0"/>
          <w:color w:val="555F6D"/>
          <w:sz w:val="19"/>
        </w:rPr>
        <w:t>G.1 The uploaded plan</w:t>
      </w:r>
    </w:p>
    <w:p>
      <w:pPr>
        <w:spacing w:after="20"/>
        <w:ind w:left="454"/>
      </w:pPr>
      <w:r>
        <w:rPr>
          <w:b w:val="0"/>
          <w:color w:val="555F6D"/>
          <w:sz w:val="19"/>
        </w:rPr>
        <w:t>G.2 The sample plans</w:t>
      </w:r>
    </w:p>
    <w:p>
      <w:pPr>
        <w:spacing w:after="20"/>
        <w:ind w:left="454"/>
      </w:pPr>
      <w:r>
        <w:rPr>
          <w:b w:val="0"/>
          <w:color w:val="555F6D"/>
          <w:sz w:val="19"/>
        </w:rPr>
        <w:t>G.3 How revenue is predicted</w:t>
      </w:r>
    </w:p>
    <w:p>
      <w:pPr>
        <w:spacing w:after="20"/>
        <w:ind w:left="454"/>
      </w:pPr>
      <w:r>
        <w:rPr>
          <w:b w:val="0"/>
          <w:color w:val="555F6D"/>
          <w:sz w:val="19"/>
        </w:rPr>
        <w:t>G.4 Every panel and number</w:t>
      </w:r>
    </w:p>
    <w:p>
      <w:pPr>
        <w:spacing w:after="20"/>
        <w:ind w:left="454"/>
      </w:pPr>
      <w:r>
        <w:rPr>
          <w:b w:val="0"/>
          <w:color w:val="555F6D"/>
          <w:sz w:val="19"/>
        </w:rPr>
        <w:t>G.5 Planning the forecast</w:t>
      </w:r>
    </w:p>
    <w:p>
      <w:pPr>
        <w:spacing w:after="60"/>
        <w:ind w:left="0"/>
      </w:pPr>
      <w:r>
        <w:rPr>
          <w:b/>
          <w:sz w:val="21"/>
        </w:rPr>
        <w:t>Part H — Reports, Data Connections and Settings</w:t>
      </w:r>
    </w:p>
    <w:p>
      <w:pPr>
        <w:spacing w:after="20"/>
        <w:ind w:left="454"/>
      </w:pPr>
      <w:r>
        <w:rPr>
          <w:b w:val="0"/>
          <w:color w:val="555F6D"/>
          <w:sz w:val="19"/>
        </w:rPr>
        <w:t>H.1 Reports</w:t>
      </w:r>
    </w:p>
    <w:p>
      <w:pPr>
        <w:spacing w:after="20"/>
        <w:ind w:left="454"/>
      </w:pPr>
      <w:r>
        <w:rPr>
          <w:b w:val="0"/>
          <w:color w:val="555F6D"/>
          <w:sz w:val="19"/>
        </w:rPr>
        <w:t>H.2 Data Connections</w:t>
      </w:r>
    </w:p>
    <w:p>
      <w:pPr>
        <w:spacing w:after="20"/>
        <w:ind w:left="454"/>
      </w:pPr>
      <w:r>
        <w:rPr>
          <w:b w:val="0"/>
          <w:color w:val="555F6D"/>
          <w:sz w:val="19"/>
        </w:rPr>
        <w:t>H.3 Settings</w:t>
      </w:r>
    </w:p>
    <w:p>
      <w:pPr>
        <w:spacing w:after="60"/>
        <w:ind w:left="0"/>
      </w:pPr>
      <w:r>
        <w:rPr>
          <w:b/>
          <w:sz w:val="21"/>
        </w:rPr>
        <w:t>Part I — Investigation agents (TPO)</w:t>
      </w:r>
    </w:p>
    <w:p>
      <w:pPr>
        <w:spacing w:after="20"/>
        <w:ind w:left="454"/>
      </w:pPr>
      <w:r>
        <w:rPr>
          <w:b w:val="0"/>
          <w:color w:val="555F6D"/>
          <w:sz w:val="19"/>
        </w:rPr>
        <w:t>I.1 Promotion economics the agents use</w:t>
      </w:r>
    </w:p>
    <w:p>
      <w:pPr>
        <w:spacing w:after="20"/>
        <w:ind w:left="454"/>
      </w:pPr>
      <w:r>
        <w:rPr>
          <w:b w:val="0"/>
          <w:color w:val="555F6D"/>
          <w:sz w:val="19"/>
        </w:rPr>
        <w:t>I.2 The four agents in detail</w:t>
      </w:r>
    </w:p>
    <w:p>
      <w:pPr>
        <w:spacing w:after="20"/>
        <w:ind w:left="454"/>
      </w:pPr>
      <w:r>
        <w:rPr>
          <w:b w:val="0"/>
          <w:color w:val="555F6D"/>
          <w:sz w:val="19"/>
        </w:rPr>
        <w:t>I.3 The pipeline</w:t>
      </w:r>
    </w:p>
    <w:p>
      <w:pPr>
        <w:spacing w:after="20"/>
        <w:ind w:left="454"/>
      </w:pPr>
      <w:r>
        <w:rPr>
          <w:b w:val="0"/>
          <w:color w:val="555F6D"/>
          <w:sz w:val="19"/>
        </w:rPr>
        <w:t>I.4 Guarding the numbers</w:t>
      </w:r>
    </w:p>
    <w:p>
      <w:pPr>
        <w:spacing w:after="20"/>
        <w:ind w:left="454"/>
      </w:pPr>
      <w:r>
        <w:rPr>
          <w:b w:val="0"/>
          <w:color w:val="555F6D"/>
          <w:sz w:val="19"/>
        </w:rPr>
        <w:t>I.5 Confidence and contribution</w:t>
      </w:r>
    </w:p>
    <w:p>
      <w:pPr>
        <w:spacing w:after="20"/>
        <w:ind w:left="454"/>
      </w:pPr>
      <w:r>
        <w:rPr>
          <w:b w:val="0"/>
          <w:color w:val="555F6D"/>
          <w:sz w:val="19"/>
        </w:rPr>
        <w:t>I.6 Runs, storage and configuration</w:t>
      </w:r>
    </w:p>
    <w:p>
      <w:pPr>
        <w:spacing w:after="60"/>
        <w:ind w:left="0"/>
      </w:pPr>
      <w:r>
        <w:rPr>
          <w:b/>
          <w:sz w:val="21"/>
        </w:rPr>
        <w:t>Part J — Validation, limitations and API index</w:t>
      </w:r>
    </w:p>
    <w:p>
      <w:pPr>
        <w:spacing w:after="20"/>
        <w:ind w:left="454"/>
      </w:pPr>
      <w:r>
        <w:rPr>
          <w:b w:val="0"/>
          <w:color w:val="555F6D"/>
          <w:sz w:val="19"/>
        </w:rPr>
        <w:t>J.1 Automated tests</w:t>
      </w:r>
    </w:p>
    <w:p>
      <w:pPr>
        <w:spacing w:after="20"/>
        <w:ind w:left="454"/>
      </w:pPr>
      <w:r>
        <w:rPr>
          <w:b w:val="0"/>
          <w:color w:val="555F6D"/>
          <w:sz w:val="19"/>
        </w:rPr>
        <w:t>J.2 Limitations to keep in mind</w:t>
      </w:r>
    </w:p>
    <w:p>
      <w:pPr>
        <w:spacing w:after="20"/>
        <w:ind w:left="454"/>
      </w:pPr>
      <w:r>
        <w:rPr>
          <w:b w:val="0"/>
          <w:color w:val="555F6D"/>
          <w:sz w:val="19"/>
        </w:rPr>
        <w:t>J.3 API index (all under /api)</w:t>
      </w:r>
    </w:p>
    <w:p>
      <w:r>
        <w:br w:type="page"/>
      </w:r>
    </w:p>
    <w:p>
      <w:pPr>
        <w:pStyle w:val="Heading1"/>
      </w:pPr>
      <w:r>
        <w:t>PART 1 — GUIDE</w:t>
      </w:r>
    </w:p>
    <w:p>
      <w:r>
        <w:t>How to use the investigation agents and each MMM page. Sections 1–12.</w:t>
      </w:r>
    </w:p>
    <w:p>
      <w:pPr>
        <w:pStyle w:val="Heading1"/>
      </w:pPr>
      <w:r>
        <w:t>1. What this document covers</w:t>
      </w:r>
    </w:p>
    <w:p>
      <w:r>
        <w:t xml:space="preserve">The platform has two modules. </w:t>
      </w:r>
      <w:r>
        <w:rPr>
          <w:b/>
        </w:rPr>
        <w:t>TPO</w:t>
      </w:r>
      <w:r>
        <w:t xml:space="preserve"> (Trade Promotion Optimisation) analyses promotions; its </w:t>
      </w:r>
      <w:r>
        <w:rPr>
          <w:b/>
        </w:rPr>
        <w:t>Investigations</w:t>
      </w:r>
      <w:r>
        <w:t xml:space="preserve"> page uses four AI agents to explain why a promotion under-performed. </w:t>
      </w:r>
      <w:r>
        <w:rPr>
          <w:b/>
        </w:rPr>
        <w:t>MMM</w:t>
      </w:r>
      <w:r>
        <w:t xml:space="preserve"> (Marketing Mix Modelling) analyses advertising: how much revenue each ad channel drives, how the budget should be split, and what a future plan will earn.</w:t>
      </w:r>
    </w:p>
    <w:p>
      <w:r>
        <w:t>Part 1 (sections 1–12) explains, page by page, what you see, what each part means and how to use it, with light maths. Part 2 (Parts A–J) explains every filter, chart and number in depth: formulas, theory, algorithms, worked calculations and why each method was chosen.</w:t>
      </w:r>
    </w:p>
    <w:tbl>
      <w:tblPr>
        <w:tblStyle w:val="TableGrid"/>
        <w:tblW w:type="auto" w:w="0"/>
        <w:jc w:val="center"/>
        <w:tblLook w:firstColumn="1" w:firstRow="1" w:lastColumn="0" w:lastRow="0" w:noHBand="0" w:noVBand="1" w:val="04A0"/>
      </w:tblPr>
      <w:tblGrid>
        <w:gridCol w:w="3213"/>
        <w:gridCol w:w="3213"/>
        <w:gridCol w:w="3213"/>
      </w:tblGrid>
      <w:tr>
        <w:tc>
          <w:tcPr>
            <w:tcW w:type="dxa" w:w="1134"/>
            <w:shd w:val="clear" w:color="auto" w:fill="EAF0F8"/>
          </w:tcPr>
          <w:p>
            <w:r/>
            <w:r>
              <w:rPr>
                <w:b/>
                <w:color w:val="1F3A68"/>
                <w:sz w:val="18"/>
              </w:rPr>
              <w:t>Area</w:t>
            </w:r>
          </w:p>
        </w:tc>
        <w:tc>
          <w:tcPr>
            <w:tcW w:type="dxa" w:w="2041"/>
            <w:shd w:val="clear" w:color="auto" w:fill="EAF0F8"/>
          </w:tcPr>
          <w:p>
            <w:r/>
            <w:r>
              <w:rPr>
                <w:b/>
                <w:color w:val="1F3A68"/>
                <w:sz w:val="18"/>
              </w:rPr>
              <w:t>Page</w:t>
            </w:r>
          </w:p>
        </w:tc>
        <w:tc>
          <w:tcPr>
            <w:tcW w:type="dxa" w:w="6463"/>
            <w:shd w:val="clear" w:color="auto" w:fill="EAF0F8"/>
          </w:tcPr>
          <w:p>
            <w:r/>
            <w:r>
              <w:rPr>
                <w:b/>
                <w:color w:val="1F3A68"/>
                <w:sz w:val="18"/>
              </w:rPr>
              <w:t>What it answers</w:t>
            </w:r>
          </w:p>
        </w:tc>
      </w:tr>
      <w:tr>
        <w:tc>
          <w:tcPr>
            <w:tcW w:type="dxa" w:w="1134"/>
          </w:tcPr>
          <w:p>
            <w:r/>
            <w:r>
              <w:rPr>
                <w:sz w:val="18"/>
              </w:rPr>
              <w:t>TPO</w:t>
            </w:r>
          </w:p>
        </w:tc>
        <w:tc>
          <w:tcPr>
            <w:tcW w:type="dxa" w:w="2041"/>
          </w:tcPr>
          <w:p>
            <w:r/>
            <w:r>
              <w:rPr>
                <w:sz w:val="18"/>
              </w:rPr>
              <w:t>Investigations</w:t>
            </w:r>
          </w:p>
        </w:tc>
        <w:tc>
          <w:tcPr>
            <w:tcW w:type="dxa" w:w="6463"/>
          </w:tcPr>
          <w:p>
            <w:r/>
            <w:r>
              <w:rPr>
                <w:sz w:val="18"/>
              </w:rPr>
              <w:t>Why did this promotion, channel or region under-perform, and what should we do?</w:t>
            </w:r>
          </w:p>
        </w:tc>
      </w:tr>
      <w:tr>
        <w:tc>
          <w:tcPr>
            <w:tcW w:type="dxa" w:w="1134"/>
          </w:tcPr>
          <w:p>
            <w:r/>
            <w:r>
              <w:rPr>
                <w:sz w:val="18"/>
              </w:rPr>
              <w:t>MMM</w:t>
            </w:r>
          </w:p>
        </w:tc>
        <w:tc>
          <w:tcPr>
            <w:tcW w:type="dxa" w:w="2041"/>
          </w:tcPr>
          <w:p>
            <w:r/>
            <w:r>
              <w:rPr>
                <w:sz w:val="18"/>
              </w:rPr>
              <w:t>Data Connections</w:t>
            </w:r>
          </w:p>
        </w:tc>
        <w:tc>
          <w:tcPr>
            <w:tcW w:type="dxa" w:w="6463"/>
          </w:tcPr>
          <w:p>
            <w:r/>
            <w:r>
              <w:rPr>
                <w:sz w:val="18"/>
              </w:rPr>
              <w:t>Which daily file is loaded, and is it valid?</w:t>
            </w:r>
          </w:p>
        </w:tc>
      </w:tr>
      <w:tr>
        <w:tc>
          <w:tcPr>
            <w:tcW w:type="dxa" w:w="1134"/>
          </w:tcPr>
          <w:p>
            <w:r/>
            <w:r>
              <w:rPr>
                <w:sz w:val="18"/>
              </w:rPr>
              <w:t>MMM</w:t>
            </w:r>
          </w:p>
        </w:tc>
        <w:tc>
          <w:tcPr>
            <w:tcW w:type="dxa" w:w="2041"/>
          </w:tcPr>
          <w:p>
            <w:r/>
            <w:r>
              <w:rPr>
                <w:sz w:val="18"/>
              </w:rPr>
              <w:t>Insights Hub</w:t>
            </w:r>
          </w:p>
        </w:tc>
        <w:tc>
          <w:tcPr>
            <w:tcW w:type="dxa" w:w="6463"/>
          </w:tcPr>
          <w:p>
            <w:r/>
            <w:r>
              <w:rPr>
                <w:sz w:val="18"/>
              </w:rPr>
              <w:t>How much did we spend, what did it return, and how does it compare with last year?</w:t>
            </w:r>
          </w:p>
        </w:tc>
      </w:tr>
      <w:tr>
        <w:tc>
          <w:tcPr>
            <w:tcW w:type="dxa" w:w="1134"/>
          </w:tcPr>
          <w:p>
            <w:r/>
            <w:r>
              <w:rPr>
                <w:sz w:val="18"/>
              </w:rPr>
              <w:t>MMM</w:t>
            </w:r>
          </w:p>
        </w:tc>
        <w:tc>
          <w:tcPr>
            <w:tcW w:type="dxa" w:w="2041"/>
          </w:tcPr>
          <w:p>
            <w:r/>
            <w:r>
              <w:rPr>
                <w:sz w:val="18"/>
              </w:rPr>
              <w:t>Calendar</w:t>
            </w:r>
          </w:p>
        </w:tc>
        <w:tc>
          <w:tcPr>
            <w:tcW w:type="dxa" w:w="6463"/>
          </w:tcPr>
          <w:p>
            <w:r/>
            <w:r>
              <w:rPr>
                <w:sz w:val="18"/>
              </w:rPr>
              <w:t>When was each channel on air, month by month and day by day?</w:t>
            </w:r>
          </w:p>
        </w:tc>
      </w:tr>
      <w:tr>
        <w:tc>
          <w:tcPr>
            <w:tcW w:type="dxa" w:w="1134"/>
          </w:tcPr>
          <w:p>
            <w:r/>
            <w:r>
              <w:rPr>
                <w:sz w:val="18"/>
              </w:rPr>
              <w:t>MMM</w:t>
            </w:r>
          </w:p>
        </w:tc>
        <w:tc>
          <w:tcPr>
            <w:tcW w:type="dxa" w:w="2041"/>
          </w:tcPr>
          <w:p>
            <w:r/>
            <w:r>
              <w:rPr>
                <w:sz w:val="18"/>
              </w:rPr>
              <w:t>Budget Optimizer</w:t>
            </w:r>
          </w:p>
        </w:tc>
        <w:tc>
          <w:tcPr>
            <w:tcW w:type="dxa" w:w="6463"/>
          </w:tcPr>
          <w:p>
            <w:r/>
            <w:r>
              <w:rPr>
                <w:sz w:val="18"/>
              </w:rPr>
              <w:t>Keeping the same budget, how should it be moved between channels and weeks for more profit?</w:t>
            </w:r>
          </w:p>
        </w:tc>
      </w:tr>
      <w:tr>
        <w:tc>
          <w:tcPr>
            <w:tcW w:type="dxa" w:w="1134"/>
          </w:tcPr>
          <w:p>
            <w:r/>
            <w:r>
              <w:rPr>
                <w:sz w:val="18"/>
              </w:rPr>
              <w:t>MMM</w:t>
            </w:r>
          </w:p>
        </w:tc>
        <w:tc>
          <w:tcPr>
            <w:tcW w:type="dxa" w:w="2041"/>
          </w:tcPr>
          <w:p>
            <w:r/>
            <w:r>
              <w:rPr>
                <w:sz w:val="18"/>
              </w:rPr>
              <w:t>Budget Allocator</w:t>
            </w:r>
          </w:p>
        </w:tc>
        <w:tc>
          <w:tcPr>
            <w:tcW w:type="dxa" w:w="6463"/>
          </w:tcPr>
          <w:p>
            <w:r/>
            <w:r>
              <w:rPr>
                <w:sz w:val="18"/>
              </w:rPr>
              <w:t>If my budget is X, what is the best split, and is X the right size?</w:t>
            </w:r>
          </w:p>
        </w:tc>
      </w:tr>
      <w:tr>
        <w:tc>
          <w:tcPr>
            <w:tcW w:type="dxa" w:w="1134"/>
          </w:tcPr>
          <w:p>
            <w:r/>
            <w:r>
              <w:rPr>
                <w:sz w:val="18"/>
              </w:rPr>
              <w:t>MMM</w:t>
            </w:r>
          </w:p>
        </w:tc>
        <w:tc>
          <w:tcPr>
            <w:tcW w:type="dxa" w:w="2041"/>
          </w:tcPr>
          <w:p>
            <w:r/>
            <w:r>
              <w:rPr>
                <w:sz w:val="18"/>
              </w:rPr>
              <w:t>Revenue Forecast</w:t>
            </w:r>
          </w:p>
        </w:tc>
        <w:tc>
          <w:tcPr>
            <w:tcW w:type="dxa" w:w="6463"/>
          </w:tcPr>
          <w:p>
            <w:r/>
            <w:r>
              <w:rPr>
                <w:sz w:val="18"/>
              </w:rPr>
              <w:t>What will a future ad plan earn? Then optimise that plan.</w:t>
            </w:r>
          </w:p>
        </w:tc>
      </w:tr>
      <w:tr>
        <w:tc>
          <w:tcPr>
            <w:tcW w:type="dxa" w:w="1134"/>
          </w:tcPr>
          <w:p>
            <w:r/>
            <w:r>
              <w:rPr>
                <w:sz w:val="18"/>
              </w:rPr>
              <w:t>MMM</w:t>
            </w:r>
          </w:p>
        </w:tc>
        <w:tc>
          <w:tcPr>
            <w:tcW w:type="dxa" w:w="2041"/>
          </w:tcPr>
          <w:p>
            <w:r/>
            <w:r>
              <w:rPr>
                <w:sz w:val="18"/>
              </w:rPr>
              <w:t>Reports</w:t>
            </w:r>
          </w:p>
        </w:tc>
        <w:tc>
          <w:tcPr>
            <w:tcW w:type="dxa" w:w="6463"/>
          </w:tcPr>
          <w:p>
            <w:r/>
            <w:r>
              <w:rPr>
                <w:sz w:val="18"/>
              </w:rPr>
              <w:t>Download the Insights Hub as Excel or PDF.</w:t>
            </w:r>
          </w:p>
        </w:tc>
      </w:tr>
      <w:tr>
        <w:tc>
          <w:tcPr>
            <w:tcW w:type="dxa" w:w="1134"/>
          </w:tcPr>
          <w:p>
            <w:r/>
            <w:r>
              <w:rPr>
                <w:sz w:val="18"/>
              </w:rPr>
              <w:t>MMM</w:t>
            </w:r>
          </w:p>
        </w:tc>
        <w:tc>
          <w:tcPr>
            <w:tcW w:type="dxa" w:w="2041"/>
          </w:tcPr>
          <w:p>
            <w:r/>
            <w:r>
              <w:rPr>
                <w:sz w:val="18"/>
              </w:rPr>
              <w:t>Settings</w:t>
            </w:r>
          </w:p>
        </w:tc>
        <w:tc>
          <w:tcPr>
            <w:tcW w:type="dxa" w:w="6463"/>
          </w:tcPr>
          <w:p>
            <w:r/>
            <w:r>
              <w:rPr>
                <w:sz w:val="18"/>
              </w:rPr>
              <w:t>Where the data lives and who is signed in.</w:t>
            </w:r>
          </w:p>
        </w:tc>
      </w:tr>
    </w:tbl>
    <w:p>
      <w:pPr>
        <w:spacing w:after="0"/>
      </w:pPr>
    </w:p>
    <w:p>
      <w:r>
        <w:br w:type="page"/>
      </w:r>
    </w:p>
    <w:p>
      <w:pPr>
        <w:pStyle w:val="Heading1"/>
      </w:pPr>
      <w:r>
        <w:t>2. Promotion Investigation agents</w:t>
      </w:r>
    </w:p>
    <w:p>
      <w:r>
        <w:t>The Investigations page (TPO → Investigations) answers a question in plain English, such as “Why did South Modern Trade Push under-perform despite increased trade spend?”. Four specialist agents each examine one side of the problem, using the promotion data. Their findings are weighed and combined into ranked root causes, with one recommended action for each.</w:t>
      </w:r>
    </w:p>
    <w:p>
      <w:pPr>
        <w:jc w:val="center"/>
      </w:pPr>
      <w:r>
        <w:drawing>
          <wp:inline xmlns:a="http://schemas.openxmlformats.org/drawingml/2006/main" xmlns:pic="http://schemas.openxmlformats.org/drawingml/2006/picture">
            <wp:extent cx="5940000" cy="4125000"/>
            <wp:docPr id="1" name="Picture 1"/>
            <wp:cNvGraphicFramePr>
              <a:graphicFrameLocks noChangeAspect="1"/>
            </wp:cNvGraphicFramePr>
            <a:graphic>
              <a:graphicData uri="http://schemas.openxmlformats.org/drawingml/2006/picture">
                <pic:pic>
                  <pic:nvPicPr>
                    <pic:cNvPr id="0" name="investigations-0.png"/>
                    <pic:cNvPicPr/>
                  </pic:nvPicPr>
                  <pic:blipFill>
                    <a:blip r:embed="rId10"/>
                    <a:stretch>
                      <a:fillRect/>
                    </a:stretch>
                  </pic:blipFill>
                  <pic:spPr>
                    <a:xfrm>
                      <a:off x="0" y="0"/>
                      <a:ext cx="5940000" cy="4125000"/>
                    </a:xfrm>
                    <a:prstGeom prst="rect"/>
                  </pic:spPr>
                </pic:pic>
              </a:graphicData>
            </a:graphic>
          </wp:inline>
        </w:drawing>
      </w:r>
    </w:p>
    <w:p>
      <w:pPr>
        <w:jc w:val="center"/>
      </w:pPr>
      <w:r>
        <w:rPr>
          <w:i/>
          <w:color w:val="555F6D"/>
          <w:sz w:val="18"/>
        </w:rPr>
        <w:t>Figure 2.1 – The Investigations page before a question is asked: the question bar and four example archetypes.</w:t>
      </w:r>
    </w:p>
    <w:p>
      <w:pPr>
        <w:pStyle w:val="Heading2"/>
      </w:pPr>
      <w:r>
        <w:t>2.1 How to start an investigation</w:t>
      </w:r>
    </w:p>
    <w:p>
      <w:pPr>
        <w:pStyle w:val="ListBullet"/>
        <w:spacing w:after="40"/>
      </w:pPr>
      <w:r>
        <w:rPr>
          <w:b/>
        </w:rPr>
        <w:t>Type a question</w:t>
      </w:r>
      <w:r>
        <w:t xml:space="preserve"> in the bar and press </w:t>
      </w:r>
      <w:r>
        <w:rPr>
          <w:b/>
        </w:rPr>
        <w:t>Investigate</w:t>
      </w:r>
      <w:r>
        <w:t>. Questions that only look something up (“what is”, “show me”, “top …”) are sent to the Insights Hub Analyst instead. Questions with “why”, “cause”, “decline”, “despite” and similar words start an investigation.</w:t>
      </w:r>
    </w:p>
    <w:p>
      <w:pPr>
        <w:pStyle w:val="ListBullet"/>
        <w:spacing w:after="40"/>
      </w:pPr>
      <w:r>
        <w:rPr>
          <w:b/>
        </w:rPr>
        <w:t>Pick an example</w:t>
      </w:r>
      <w:r>
        <w:t xml:space="preserve"> from the four archetype cards: Diagnostic, Optimisation, Launch Planning and Strategic Review.</w:t>
      </w:r>
    </w:p>
    <w:p>
      <w:pPr>
        <w:pStyle w:val="ListBullet"/>
        <w:spacing w:after="40"/>
      </w:pPr>
      <w:r>
        <w:rPr>
          <w:b/>
        </w:rPr>
        <w:t>Start from an alert.</w:t>
      </w:r>
      <w:r>
        <w:t xml:space="preserve"> The </w:t>
      </w:r>
      <w:r>
        <w:rPr>
          <w:b/>
        </w:rPr>
        <w:t>Alerts</w:t>
      </w:r>
      <w:r>
        <w:t xml:space="preserve"> button lists promotion events below the 1.50x ROI target. Choosing one writes the question for you, scoped to that promotion, product, channel and week, and runs it.</w:t>
      </w:r>
    </w:p>
    <w:p>
      <w:r>
        <w:t>There are no filter controls on this page. The period, channel, region and the rest are read from the question, or from the alert you chose.</w:t>
      </w:r>
    </w:p>
    <w:p>
      <w:pPr>
        <w:pStyle w:val="Heading2"/>
      </w:pPr>
      <w:r>
        <w:t>2.2 The four agents</w:t>
      </w:r>
    </w:p>
    <w:p>
      <w:r>
        <w:t>Every investigation runs all four agents, in parallel. Each one answers one question in a chain of reasoning: is it really under-performing → which offers lost money → where → was the lift real?</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814"/>
            <w:shd w:val="clear" w:color="auto" w:fill="EAF0F8"/>
          </w:tcPr>
          <w:p>
            <w:r/>
            <w:r>
              <w:rPr>
                <w:b/>
                <w:color w:val="1F3A68"/>
                <w:sz w:val="17"/>
              </w:rPr>
              <w:t>Agent</w:t>
            </w:r>
          </w:p>
        </w:tc>
        <w:tc>
          <w:tcPr>
            <w:tcW w:type="dxa" w:w="2268"/>
            <w:shd w:val="clear" w:color="auto" w:fill="EAF0F8"/>
          </w:tcPr>
          <w:p>
            <w:r/>
            <w:r>
              <w:rPr>
                <w:b/>
                <w:color w:val="1F3A68"/>
                <w:sz w:val="17"/>
              </w:rPr>
              <w:t>Question it answers</w:t>
            </w:r>
          </w:p>
        </w:tc>
        <w:tc>
          <w:tcPr>
            <w:tcW w:type="dxa" w:w="2835"/>
            <w:shd w:val="clear" w:color="auto" w:fill="EAF0F8"/>
          </w:tcPr>
          <w:p>
            <w:r/>
            <w:r>
              <w:rPr>
                <w:b/>
                <w:color w:val="1F3A68"/>
                <w:sz w:val="17"/>
              </w:rPr>
              <w:t>What it looks at</w:t>
            </w:r>
          </w:p>
        </w:tc>
        <w:tc>
          <w:tcPr>
            <w:tcW w:type="dxa" w:w="2721"/>
            <w:shd w:val="clear" w:color="auto" w:fill="EAF0F8"/>
          </w:tcPr>
          <w:p>
            <w:r/>
            <w:r>
              <w:rPr>
                <w:b/>
                <w:color w:val="1F3A68"/>
                <w:sz w:val="17"/>
              </w:rPr>
              <w:t>What it reports</w:t>
            </w:r>
          </w:p>
        </w:tc>
      </w:tr>
      <w:tr>
        <w:tc>
          <w:tcPr>
            <w:tcW w:type="dxa" w:w="1814"/>
          </w:tcPr>
          <w:p>
            <w:r/>
            <w:r>
              <w:rPr>
                <w:b/>
                <w:sz w:val="17"/>
              </w:rPr>
              <w:t>Performance Agent</w:t>
            </w:r>
          </w:p>
        </w:tc>
        <w:tc>
          <w:tcPr>
            <w:tcW w:type="dxa" w:w="2268"/>
          </w:tcPr>
          <w:p>
            <w:r/>
            <w:r>
              <w:rPr>
                <w:sz w:val="17"/>
              </w:rPr>
              <w:t>Does this segment really under-perform the business, its peers and over time?</w:t>
            </w:r>
          </w:p>
        </w:tc>
        <w:tc>
          <w:tcPr>
            <w:tcW w:type="dxa" w:w="2835"/>
          </w:tcPr>
          <w:p>
            <w:r/>
            <w:r>
              <w:rPr>
                <w:sz w:val="17"/>
              </w:rPr>
              <w:t>Segment KPIs vs the whole business; ROI by channel and by region; the monthly trend</w:t>
            </w:r>
          </w:p>
        </w:tc>
        <w:tc>
          <w:tcPr>
            <w:tcW w:type="dxa" w:w="2721"/>
          </w:tcPr>
          <w:p>
            <w:r/>
            <w:r>
              <w:rPr>
                <w:sz w:val="17"/>
              </w:rPr>
              <w:t>Whether the segment is abnormal or average, by how much, and which month carried or dragged it</w:t>
            </w:r>
          </w:p>
        </w:tc>
      </w:tr>
      <w:tr>
        <w:tc>
          <w:tcPr>
            <w:tcW w:type="dxa" w:w="1814"/>
          </w:tcPr>
          <w:p>
            <w:r/>
            <w:r>
              <w:rPr>
                <w:b/>
                <w:sz w:val="17"/>
              </w:rPr>
              <w:t>Promotion Design Agent</w:t>
            </w:r>
          </w:p>
        </w:tc>
        <w:tc>
          <w:tcPr>
            <w:tcW w:type="dxa" w:w="2268"/>
          </w:tcPr>
          <w:p>
            <w:r/>
            <w:r>
              <w:rPr>
                <w:sz w:val="17"/>
              </w:rPr>
              <w:t>Which mechanics and events made or lost money?</w:t>
            </w:r>
          </w:p>
        </w:tc>
        <w:tc>
          <w:tcPr>
            <w:tcW w:type="dxa" w:w="2835"/>
          </w:tcPr>
          <w:p>
            <w:r/>
            <w:r>
              <w:rPr>
                <w:sz w:val="17"/>
              </w:rPr>
              <w:t>ROI per promotion mechanic, in the segment and across the business; spend mix by offer; events by severity; the worst events by money at stake</w:t>
            </w:r>
          </w:p>
        </w:tc>
        <w:tc>
          <w:tcPr>
            <w:tcW w:type="dxa" w:w="2721"/>
          </w:tcPr>
          <w:p>
            <w:r/>
            <w:r>
              <w:rPr>
                <w:sz w:val="17"/>
              </w:rPr>
              <w:t>The failing mechanic (a design problem if it fails everywhere, an execution problem if only here), its share of spend, and the worst events</w:t>
            </w:r>
          </w:p>
        </w:tc>
      </w:tr>
      <w:tr>
        <w:tc>
          <w:tcPr>
            <w:tcW w:type="dxa" w:w="1814"/>
          </w:tcPr>
          <w:p>
            <w:r/>
            <w:r>
              <w:rPr>
                <w:b/>
                <w:sz w:val="17"/>
              </w:rPr>
              <w:t>Market &amp; Portfolio Agent</w:t>
            </w:r>
          </w:p>
        </w:tc>
        <w:tc>
          <w:tcPr>
            <w:tcW w:type="dxa" w:w="2268"/>
          </w:tcPr>
          <w:p>
            <w:r/>
            <w:r>
              <w:rPr>
                <w:sz w:val="17"/>
              </w:rPr>
              <w:t>Where does it break: region, state, retailer, category or brand?</w:t>
            </w:r>
          </w:p>
        </w:tc>
        <w:tc>
          <w:tcPr>
            <w:tcW w:type="dxa" w:w="2835"/>
          </w:tcPr>
          <w:p>
            <w:r/>
            <w:r>
              <w:rPr>
                <w:sz w:val="17"/>
              </w:rPr>
              <w:t>ROI broken down by region, state, retailer, category and brand inside the segment</w:t>
            </w:r>
          </w:p>
        </w:tc>
        <w:tc>
          <w:tcPr>
            <w:tcW w:type="dxa" w:w="2721"/>
          </w:tcPr>
          <w:p>
            <w:r/>
            <w:r>
              <w:rPr>
                <w:sz w:val="17"/>
              </w:rPr>
              <w:t>The smallest place that explains the problem, or that performance is even everywhere</w:t>
            </w:r>
          </w:p>
        </w:tc>
      </w:tr>
      <w:tr>
        <w:tc>
          <w:tcPr>
            <w:tcW w:type="dxa" w:w="1814"/>
          </w:tcPr>
          <w:p>
            <w:r/>
            <w:r>
              <w:rPr>
                <w:b/>
                <w:sz w:val="17"/>
              </w:rPr>
              <w:t>Cannibalization Agent</w:t>
            </w:r>
          </w:p>
        </w:tc>
        <w:tc>
          <w:tcPr>
            <w:tcW w:type="dxa" w:w="2268"/>
          </w:tcPr>
          <w:p>
            <w:r/>
            <w:r>
              <w:rPr>
                <w:sz w:val="17"/>
              </w:rPr>
              <w:t>Was the lift real, or taken from sister products?</w:t>
            </w:r>
          </w:p>
        </w:tc>
        <w:tc>
          <w:tcPr>
            <w:tcW w:type="dxa" w:w="2835"/>
          </w:tcPr>
          <w:p>
            <w:r/>
            <w:r>
              <w:rPr>
                <w:sz w:val="17"/>
              </w:rPr>
              <w:t>Sales of other products in the same brand form during the promotion weeks, against their normal weeks</w:t>
            </w:r>
          </w:p>
        </w:tc>
        <w:tc>
          <w:tcPr>
            <w:tcW w:type="dxa" w:w="2721"/>
          </w:tcPr>
          <w:p>
            <w:r/>
            <w:r>
              <w:rPr>
                <w:sz w:val="17"/>
              </w:rPr>
              <w:t>How much neighbours’ units and sales changed (potential cannibalization, not proven cause)</w:t>
            </w:r>
          </w:p>
        </w:tc>
      </w:tr>
    </w:tbl>
    <w:p>
      <w:pPr>
        <w:spacing w:after="0"/>
      </w:pPr>
    </w:p>
    <w:p>
      <w:pPr>
        <w:pStyle w:val="Heading2"/>
      </w:pPr>
      <w:r>
        <w:t>2.3 What happens when you press Investigate</w:t>
      </w:r>
    </w:p>
    <w:p>
      <w:pPr>
        <w:spacing w:after="40"/>
        <w:ind w:left="539" w:hanging="283"/>
      </w:pPr>
      <w:r>
        <w:t xml:space="preserve">1.  </w:t>
      </w:r>
      <w:r>
        <w:rPr>
          <w:b/>
        </w:rPr>
        <w:t>Plan (≈ 9 s).</w:t>
      </w:r>
      <w:r>
        <w:t xml:space="preserve"> An AI planner reads the question, decides whether the data can answer it, works out the scope (period, channel, region, product…) and writes a one-line brief for each agent. Off-topic questions are declined with a reason. If no rows match the scope, the run stops and says so.</w:t>
      </w:r>
    </w:p>
    <w:p>
      <w:pPr>
        <w:spacing w:after="40"/>
        <w:ind w:left="539" w:hanging="283"/>
      </w:pPr>
      <w:r>
        <w:t xml:space="preserve">2.  </w:t>
      </w:r>
      <w:r>
        <w:rPr>
          <w:b/>
        </w:rPr>
        <w:t>Investigate (≈ 30 s).</w:t>
      </w:r>
      <w:r>
        <w:t xml:space="preserve"> The four agents fetch their data from the platform’s KPI engine (they do no arithmetic themselves) and each writes a finding: a headline, a short explanation, the evidence numbers and a small bar chart.</w:t>
      </w:r>
    </w:p>
    <w:p>
      <w:pPr>
        <w:spacing w:after="40"/>
        <w:ind w:left="539" w:hanging="283"/>
      </w:pPr>
      <w:r>
        <w:t xml:space="preserve">3.  </w:t>
      </w:r>
      <w:r>
        <w:rPr>
          <w:b/>
        </w:rPr>
        <w:t>Check and score (instant, no AI).</w:t>
      </w:r>
      <w:r>
        <w:t xml:space="preserve"> The platform checks every number an agent quotes against the data it was given. Numbers that cannot be traced are flagged and their chart bars removed. Each finding gets a confidence score, and a share of the problem.</w:t>
      </w:r>
    </w:p>
    <w:p>
      <w:pPr>
        <w:spacing w:after="40"/>
        <w:ind w:left="539" w:hanging="283"/>
      </w:pPr>
      <w:r>
        <w:t xml:space="preserve">4.  </w:t>
      </w:r>
      <w:r>
        <w:rPr>
          <w:b/>
        </w:rPr>
        <w:t>Synthesise (≈ 12 s).</w:t>
      </w:r>
      <w:r>
        <w:t xml:space="preserve"> A final AI step writes one root cause and one specific recommendation per agent and a 3–4 sentence summary. The causes are ranked by their share of the problem.</w:t>
      </w:r>
    </w:p>
    <w:p>
      <w:r>
        <w:t xml:space="preserve">A run makes </w:t>
      </w:r>
      <w:r>
        <w:rPr>
          <w:b/>
        </w:rPr>
        <w:t>6 AI calls</w:t>
      </w:r>
      <w:r>
        <w:t xml:space="preserve"> (1 plan, 4 agents, 1 synthesis), using the OpenAI-compatible model set in </w:t>
      </w:r>
      <w:r>
        <w:rPr>
          <w:rFonts w:ascii="Consolas" w:hAnsi="Consolas" w:eastAsia="Consolas"/>
          <w:sz w:val="19"/>
        </w:rPr>
        <w:t>backend/.env</w:t>
      </w:r>
      <w:r>
        <w:t xml:space="preserve"> (default </w:t>
      </w:r>
      <w:r>
        <w:rPr>
          <w:rFonts w:ascii="Consolas" w:hAnsi="Consolas" w:eastAsia="Consolas"/>
          <w:sz w:val="19"/>
        </w:rPr>
        <w:t>gpt-4o-mini</w:t>
      </w:r>
      <w:r>
        <w:t>). Without an API key the run stops with a clear message; there is no offline fallback.</w:t>
      </w:r>
    </w:p>
    <w:p>
      <w:pPr>
        <w:pStyle w:val="Heading2"/>
      </w:pPr>
      <w:r>
        <w:t>2.4 Reading the results</w:t>
      </w:r>
    </w:p>
    <w:tbl>
      <w:tblPr>
        <w:tblStyle w:val="TableGrid"/>
        <w:tblW w:type="auto" w:w="0"/>
        <w:jc w:val="center"/>
        <w:tblLook w:firstColumn="1" w:firstRow="1" w:lastColumn="0" w:lastRow="0" w:noHBand="0" w:noVBand="1" w:val="04A0"/>
      </w:tblPr>
      <w:tblGrid>
        <w:gridCol w:w="4819"/>
        <w:gridCol w:w="4819"/>
      </w:tblGrid>
      <w:tr>
        <w:tc>
          <w:tcPr>
            <w:tcW w:type="dxa" w:w="2154"/>
            <w:shd w:val="clear" w:color="auto" w:fill="EAF0F8"/>
          </w:tcPr>
          <w:p>
            <w:r/>
            <w:r>
              <w:rPr>
                <w:b/>
                <w:color w:val="1F3A68"/>
                <w:sz w:val="18"/>
              </w:rPr>
              <w:t>Section</w:t>
            </w:r>
          </w:p>
        </w:tc>
        <w:tc>
          <w:tcPr>
            <w:tcW w:type="dxa" w:w="7483"/>
            <w:shd w:val="clear" w:color="auto" w:fill="EAF0F8"/>
          </w:tcPr>
          <w:p>
            <w:r/>
            <w:r>
              <w:rPr>
                <w:b/>
                <w:color w:val="1F3A68"/>
                <w:sz w:val="18"/>
              </w:rPr>
              <w:t>What it shows</w:t>
            </w:r>
          </w:p>
        </w:tc>
      </w:tr>
      <w:tr>
        <w:tc>
          <w:tcPr>
            <w:tcW w:type="dxa" w:w="2154"/>
          </w:tcPr>
          <w:p>
            <w:r/>
            <w:r>
              <w:rPr>
                <w:b/>
                <w:sz w:val="18"/>
              </w:rPr>
              <w:t>Investigation scope</w:t>
            </w:r>
          </w:p>
        </w:tc>
        <w:tc>
          <w:tcPr>
            <w:tcW w:type="dxa" w:w="7483"/>
          </w:tcPr>
          <w:p>
            <w:r/>
            <w:r>
              <w:rPr>
                <w:sz w:val="18"/>
              </w:rPr>
              <w:t>The subject, period, channel, region, trade spend and promotion ROI, with a standing badge: Critical (ROI ≤ 1.00), High (below 1.25), Medium (below 1.50) or On target.</w:t>
            </w:r>
          </w:p>
        </w:tc>
      </w:tr>
      <w:tr>
        <w:tc>
          <w:tcPr>
            <w:tcW w:type="dxa" w:w="2154"/>
          </w:tcPr>
          <w:p>
            <w:r/>
            <w:r>
              <w:rPr>
                <w:b/>
                <w:sz w:val="18"/>
              </w:rPr>
              <w:t>Agent findings</w:t>
            </w:r>
          </w:p>
        </w:tc>
        <w:tc>
          <w:tcPr>
            <w:tcW w:type="dxa" w:w="7483"/>
          </w:tcPr>
          <w:p>
            <w:r/>
            <w:r>
              <w:rPr>
                <w:sz w:val="18"/>
              </w:rPr>
              <w:t xml:space="preserve">“Combined root cause” (the summary), then the numbered root causes, each with its </w:t>
            </w:r>
            <w:r>
              <w:rPr>
                <w:b/>
                <w:sz w:val="18"/>
              </w:rPr>
              <w:t>share of the problem</w:t>
            </w:r>
            <w:r>
              <w:rPr>
                <w:sz w:val="18"/>
              </w:rPr>
              <w:t xml:space="preserve"> as a % bar and the agents behind it, then </w:t>
            </w:r>
            <w:r>
              <w:rPr>
                <w:b/>
                <w:sz w:val="18"/>
              </w:rPr>
              <w:t>Recommended actions</w:t>
            </w:r>
            <w:r>
              <w:rPr>
                <w:sz w:val="18"/>
              </w:rPr>
              <w:t>, one per root cause.</w:t>
            </w:r>
          </w:p>
        </w:tc>
      </w:tr>
      <w:tr>
        <w:tc>
          <w:tcPr>
            <w:tcW w:type="dxa" w:w="2154"/>
          </w:tcPr>
          <w:p>
            <w:r/>
            <w:r>
              <w:rPr>
                <w:b/>
                <w:sz w:val="18"/>
              </w:rPr>
              <w:t>Specialist agents</w:t>
            </w:r>
          </w:p>
        </w:tc>
        <w:tc>
          <w:tcPr>
            <w:tcW w:type="dxa" w:w="7483"/>
          </w:tcPr>
          <w:p>
            <w:r/>
            <w:r>
              <w:rPr>
                <w:sz w:val="18"/>
              </w:rPr>
              <w:t>A list of the four agents, sorted by contribution. Selecting one shows its status, confidence, contribution, what it found, a verified bar chart, its evidence and its own root cause and action.</w:t>
            </w:r>
          </w:p>
        </w:tc>
      </w:tr>
      <w:tr>
        <w:tc>
          <w:tcPr>
            <w:tcW w:type="dxa" w:w="2154"/>
          </w:tcPr>
          <w:p>
            <w:r/>
            <w:r>
              <w:rPr>
                <w:b/>
                <w:sz w:val="18"/>
              </w:rPr>
              <w:t>Progress strip</w:t>
            </w:r>
          </w:p>
        </w:tc>
        <w:tc>
          <w:tcPr>
            <w:tcW w:type="dxa" w:w="7483"/>
          </w:tcPr>
          <w:p>
            <w:r/>
            <w:r>
              <w:rPr>
                <w:sz w:val="18"/>
              </w:rPr>
              <w:t>Investigation progress, insights identified, rows analysed, and a link to the Promotion Intelligence summary.</w:t>
            </w:r>
          </w:p>
        </w:tc>
      </w:tr>
    </w:tbl>
    <w:p>
      <w:pPr>
        <w:spacing w:after="0"/>
      </w:pPr>
    </w:p>
    <w:tbl>
      <w:tblPr>
        <w:tblW w:type="auto" w:w="0"/>
        <w:tblLook w:firstColumn="1" w:firstRow="1" w:lastColumn="0" w:lastRow="0" w:noHBand="0" w:noVBand="1" w:val="04A0"/>
      </w:tblPr>
      <w:tblGrid>
        <w:gridCol w:w="9638"/>
      </w:tblGrid>
      <w:tr>
        <w:tc>
          <w:tcPr>
            <w:tcW w:type="dxa" w:w="9638"/>
            <w:shd w:val="clear" w:color="auto" w:fill="FFF8E6"/>
          </w:tcPr>
          <w:p>
            <w:r>
              <w:rPr>
                <w:b/>
              </w:rPr>
              <w:t xml:space="preserve">How to read the scores. </w:t>
            </w:r>
            <w:r>
              <w:rPr>
                <w:b/>
              </w:rPr>
              <w:t>Confidence</w:t>
            </w:r>
            <w:r>
              <w:t xml:space="preserve"> (60–95) is an evidence score, not a probability. It rises with the number of rows behind a finding, how much of the spend the agent could see, how complete the data was, and how many of its quoted numbers could be traced. </w:t>
            </w:r>
            <w:r>
              <w:rPr>
                <w:b/>
              </w:rPr>
              <w:t>Share of the problem</w:t>
            </w:r>
            <w:r>
              <w:t xml:space="preserve"> weights each finding by its confidence and its kind: a loss counts fully (1.0), a risk 0.9, a moderate issue 0.6, a data gap 0.4 and a strength 0.3. The shares always add up to 100%.</w:t>
            </w:r>
          </w:p>
        </w:tc>
      </w:tr>
    </w:tbl>
    <w:p>
      <w:pPr>
        <w:spacing w:after="0"/>
      </w:pPr>
    </w:p>
    <w:p>
      <w:r>
        <w:br w:type="page"/>
      </w:r>
    </w:p>
    <w:p>
      <w:pPr>
        <w:pStyle w:val="Heading1"/>
      </w:pPr>
      <w:r>
        <w:t>3. The MMM module at a glance</w:t>
      </w:r>
    </w:p>
    <w:p>
      <w:r>
        <w:t xml:space="preserve">MMM works on one </w:t>
      </w:r>
      <w:r>
        <w:rPr>
          <w:b/>
        </w:rPr>
        <w:t>daily file</w:t>
      </w:r>
      <w:r>
        <w:t xml:space="preserve">: one row per day with the day’s </w:t>
      </w:r>
      <w:r>
        <w:rPr>
          <w:b/>
        </w:rPr>
        <w:t>Revenue</w:t>
      </w:r>
      <w:r>
        <w:t xml:space="preserve">, the </w:t>
      </w:r>
      <w:r>
        <w:rPr>
          <w:b/>
        </w:rPr>
        <w:t>spend on each ad channel</w:t>
      </w:r>
      <w:r>
        <w:t xml:space="preserve"> (22 in the reference data, such as TV, Meta Ads and Google Search) and optional </w:t>
      </w:r>
      <w:r>
        <w:rPr>
          <w:b/>
        </w:rPr>
        <w:t>Festival / Seasonal / Promotion flags</w:t>
      </w:r>
      <w:r>
        <w:t>, discount and promotion type. Everything else is computed from it.</w:t>
      </w:r>
    </w:p>
    <w:p>
      <w:r>
        <w:t>The module has two kinds of page:</w:t>
      </w:r>
    </w:p>
    <w:p>
      <w:pPr>
        <w:pStyle w:val="ListBullet"/>
        <w:spacing w:after="40"/>
      </w:pPr>
      <w:r>
        <w:rPr>
          <w:b/>
        </w:rPr>
        <w:t>Looking back:</w:t>
      </w:r>
      <w:r>
        <w:t xml:space="preserve"> Insights Hub and Calendar use direct, transparent arithmetic on the days in the file. Examples: revenue on days with ads against days without, and spend by channel.</w:t>
      </w:r>
    </w:p>
    <w:p>
      <w:pPr>
        <w:pStyle w:val="ListBullet"/>
        <w:spacing w:after="40"/>
      </w:pPr>
      <w:r>
        <w:rPr>
          <w:b/>
        </w:rPr>
        <w:t>Planning:</w:t>
      </w:r>
      <w:r>
        <w:t xml:space="preserve"> Budget Optimizer, Budget Allocator and Revenue Forecast use a fitted </w:t>
      </w:r>
      <w:r>
        <w:rPr>
          <w:b/>
        </w:rPr>
        <w:t>response model</w:t>
      </w:r>
      <w:r>
        <w:t xml:space="preserve">. For each channel it learns how long an ad keeps working (carryover) and how quickly extra spend stops paying (diminishing returns). It is fitted 41 times (one central fit and 40 refits) to give a </w:t>
      </w:r>
      <w:r>
        <w:rPr>
          <w:b/>
        </w:rPr>
        <w:t>P10 – P90 range</w:t>
      </w:r>
      <w:r>
        <w:t xml:space="preserve"> for every number.</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EAF0F8"/>
          </w:tcPr>
          <w:p>
            <w:r/>
            <w:r>
              <w:rPr>
                <w:b/>
                <w:color w:val="1F3A68"/>
                <w:sz w:val="18"/>
              </w:rPr>
              <w:t>Menu item</w:t>
            </w:r>
          </w:p>
        </w:tc>
        <w:tc>
          <w:tcPr>
            <w:tcW w:type="dxa" w:w="2551"/>
            <w:shd w:val="clear" w:color="auto" w:fill="EAF0F8"/>
          </w:tcPr>
          <w:p>
            <w:r/>
            <w:r>
              <w:rPr>
                <w:b/>
                <w:color w:val="1F3A68"/>
                <w:sz w:val="18"/>
              </w:rPr>
              <w:t>Route</w:t>
            </w:r>
          </w:p>
        </w:tc>
        <w:tc>
          <w:tcPr>
            <w:tcW w:type="dxa" w:w="4819"/>
            <w:shd w:val="clear" w:color="auto" w:fill="EAF0F8"/>
          </w:tcPr>
          <w:p>
            <w:r/>
            <w:r>
              <w:rPr>
                <w:b/>
                <w:color w:val="1F3A68"/>
                <w:sz w:val="18"/>
              </w:rPr>
              <w:t>Needs a dataset?</w:t>
            </w:r>
          </w:p>
        </w:tc>
      </w:tr>
      <w:tr>
        <w:tc>
          <w:tcPr>
            <w:tcW w:type="dxa" w:w="2268"/>
          </w:tcPr>
          <w:p>
            <w:r/>
            <w:r>
              <w:rPr>
                <w:sz w:val="18"/>
              </w:rPr>
              <w:t>Insights Hub</w:t>
            </w:r>
          </w:p>
        </w:tc>
        <w:tc>
          <w:tcPr>
            <w:tcW w:type="dxa" w:w="2551"/>
          </w:tcPr>
          <w:p>
            <w:r/>
            <w:r>
              <w:rPr>
                <w:sz w:val="18"/>
              </w:rPr>
              <w:t>#/mmm/insights</w:t>
            </w:r>
          </w:p>
        </w:tc>
        <w:tc>
          <w:tcPr>
            <w:tcW w:type="dxa" w:w="4819"/>
          </w:tcPr>
          <w:p>
            <w:r/>
            <w:r>
              <w:rPr>
                <w:sz w:val="18"/>
              </w:rPr>
              <w:t>Yes</w:t>
            </w:r>
          </w:p>
        </w:tc>
      </w:tr>
      <w:tr>
        <w:tc>
          <w:tcPr>
            <w:tcW w:type="dxa" w:w="2268"/>
          </w:tcPr>
          <w:p>
            <w:r/>
            <w:r>
              <w:rPr>
                <w:sz w:val="18"/>
              </w:rPr>
              <w:t>Budget Optimizer</w:t>
            </w:r>
          </w:p>
        </w:tc>
        <w:tc>
          <w:tcPr>
            <w:tcW w:type="dxa" w:w="2551"/>
          </w:tcPr>
          <w:p>
            <w:r/>
            <w:r>
              <w:rPr>
                <w:sz w:val="18"/>
              </w:rPr>
              <w:t>#/mmm/budget</w:t>
            </w:r>
          </w:p>
        </w:tc>
        <w:tc>
          <w:tcPr>
            <w:tcW w:type="dxa" w:w="4819"/>
          </w:tcPr>
          <w:p>
            <w:r/>
            <w:r>
              <w:rPr>
                <w:sz w:val="18"/>
              </w:rPr>
              <w:t>Yes</w:t>
            </w:r>
          </w:p>
        </w:tc>
      </w:tr>
      <w:tr>
        <w:tc>
          <w:tcPr>
            <w:tcW w:type="dxa" w:w="2268"/>
          </w:tcPr>
          <w:p>
            <w:r/>
            <w:r>
              <w:rPr>
                <w:sz w:val="18"/>
              </w:rPr>
              <w:t>Budget Allocator</w:t>
            </w:r>
          </w:p>
        </w:tc>
        <w:tc>
          <w:tcPr>
            <w:tcW w:type="dxa" w:w="2551"/>
          </w:tcPr>
          <w:p>
            <w:r/>
            <w:r>
              <w:rPr>
                <w:sz w:val="18"/>
              </w:rPr>
              <w:t>#/mmm/allocator</w:t>
            </w:r>
          </w:p>
        </w:tc>
        <w:tc>
          <w:tcPr>
            <w:tcW w:type="dxa" w:w="4819"/>
          </w:tcPr>
          <w:p>
            <w:r/>
            <w:r>
              <w:rPr>
                <w:sz w:val="18"/>
              </w:rPr>
              <w:t>Yes</w:t>
            </w:r>
          </w:p>
        </w:tc>
      </w:tr>
      <w:tr>
        <w:tc>
          <w:tcPr>
            <w:tcW w:type="dxa" w:w="2268"/>
          </w:tcPr>
          <w:p>
            <w:r/>
            <w:r>
              <w:rPr>
                <w:sz w:val="18"/>
              </w:rPr>
              <w:t>Revenue Forecast</w:t>
            </w:r>
          </w:p>
        </w:tc>
        <w:tc>
          <w:tcPr>
            <w:tcW w:type="dxa" w:w="2551"/>
          </w:tcPr>
          <w:p>
            <w:r/>
            <w:r>
              <w:rPr>
                <w:sz w:val="18"/>
              </w:rPr>
              <w:t>#/mmm/forecast</w:t>
            </w:r>
          </w:p>
        </w:tc>
        <w:tc>
          <w:tcPr>
            <w:tcW w:type="dxa" w:w="4819"/>
          </w:tcPr>
          <w:p>
            <w:r/>
            <w:r>
              <w:rPr>
                <w:sz w:val="18"/>
              </w:rPr>
              <w:t>Yes</w:t>
            </w:r>
          </w:p>
        </w:tc>
      </w:tr>
      <w:tr>
        <w:tc>
          <w:tcPr>
            <w:tcW w:type="dxa" w:w="2268"/>
          </w:tcPr>
          <w:p>
            <w:r/>
            <w:r>
              <w:rPr>
                <w:sz w:val="18"/>
              </w:rPr>
              <w:t>Calendar</w:t>
            </w:r>
          </w:p>
        </w:tc>
        <w:tc>
          <w:tcPr>
            <w:tcW w:type="dxa" w:w="2551"/>
          </w:tcPr>
          <w:p>
            <w:r/>
            <w:r>
              <w:rPr>
                <w:sz w:val="18"/>
              </w:rPr>
              <w:t>#/mmm/calendar</w:t>
            </w:r>
          </w:p>
        </w:tc>
        <w:tc>
          <w:tcPr>
            <w:tcW w:type="dxa" w:w="4819"/>
          </w:tcPr>
          <w:p>
            <w:r/>
            <w:r>
              <w:rPr>
                <w:sz w:val="18"/>
              </w:rPr>
              <w:t>Yes</w:t>
            </w:r>
          </w:p>
        </w:tc>
      </w:tr>
      <w:tr>
        <w:tc>
          <w:tcPr>
            <w:tcW w:type="dxa" w:w="2268"/>
          </w:tcPr>
          <w:p>
            <w:r/>
            <w:r>
              <w:rPr>
                <w:sz w:val="18"/>
              </w:rPr>
              <w:t>Reports</w:t>
            </w:r>
          </w:p>
        </w:tc>
        <w:tc>
          <w:tcPr>
            <w:tcW w:type="dxa" w:w="2551"/>
          </w:tcPr>
          <w:p>
            <w:r/>
            <w:r>
              <w:rPr>
                <w:sz w:val="18"/>
              </w:rPr>
              <w:t>#/mmm/reports</w:t>
            </w:r>
          </w:p>
        </w:tc>
        <w:tc>
          <w:tcPr>
            <w:tcW w:type="dxa" w:w="4819"/>
          </w:tcPr>
          <w:p>
            <w:r/>
            <w:r>
              <w:rPr>
                <w:sz w:val="18"/>
              </w:rPr>
              <w:t>Yes</w:t>
            </w:r>
          </w:p>
        </w:tc>
      </w:tr>
      <w:tr>
        <w:tc>
          <w:tcPr>
            <w:tcW w:type="dxa" w:w="2268"/>
          </w:tcPr>
          <w:p>
            <w:r/>
            <w:r>
              <w:rPr>
                <w:sz w:val="18"/>
              </w:rPr>
              <w:t>Data Connections</w:t>
            </w:r>
          </w:p>
        </w:tc>
        <w:tc>
          <w:tcPr>
            <w:tcW w:type="dxa" w:w="2551"/>
          </w:tcPr>
          <w:p>
            <w:r/>
            <w:r>
              <w:rPr>
                <w:sz w:val="18"/>
              </w:rPr>
              <w:t>#/mmm/connections</w:t>
            </w:r>
          </w:p>
        </w:tc>
        <w:tc>
          <w:tcPr>
            <w:tcW w:type="dxa" w:w="4819"/>
          </w:tcPr>
          <w:p>
            <w:r/>
            <w:r>
              <w:rPr>
                <w:sz w:val="18"/>
              </w:rPr>
              <w:t>No: this is where you load it</w:t>
            </w:r>
          </w:p>
        </w:tc>
      </w:tr>
      <w:tr>
        <w:tc>
          <w:tcPr>
            <w:tcW w:type="dxa" w:w="2268"/>
          </w:tcPr>
          <w:p>
            <w:r/>
            <w:r>
              <w:rPr>
                <w:sz w:val="18"/>
              </w:rPr>
              <w:t>Settings</w:t>
            </w:r>
          </w:p>
        </w:tc>
        <w:tc>
          <w:tcPr>
            <w:tcW w:type="dxa" w:w="2551"/>
          </w:tcPr>
          <w:p>
            <w:r/>
            <w:r>
              <w:rPr>
                <w:sz w:val="18"/>
              </w:rPr>
              <w:t>#/mmm/settings</w:t>
            </w:r>
          </w:p>
        </w:tc>
        <w:tc>
          <w:tcPr>
            <w:tcW w:type="dxa" w:w="4819"/>
          </w:tcPr>
          <w:p>
            <w:r/>
            <w:r>
              <w:rPr>
                <w:sz w:val="18"/>
              </w:rPr>
              <w:t>No</w:t>
            </w:r>
          </w:p>
        </w:tc>
      </w:tr>
    </w:tbl>
    <w:p>
      <w:pPr>
        <w:spacing w:after="0"/>
      </w:pPr>
    </w:p>
    <w:p>
      <w:r>
        <w:t xml:space="preserve">All money is stored in rupees. The </w:t>
      </w:r>
      <w:r>
        <w:rPr>
          <w:b/>
        </w:rPr>
        <w:t>₹ INR / $ USD</w:t>
      </w:r>
      <w:r>
        <w:t xml:space="preserve"> switch on each page only changes how figures are shown. Amounts use Indian units: 1 L (lakh) = ₹1,00,000 and 1 Cr (crore) = ₹1,00,00,000.</w:t>
      </w:r>
    </w:p>
    <w:p>
      <w:r>
        <w:br w:type="page"/>
      </w:r>
    </w:p>
    <w:p>
      <w:pPr>
        <w:pStyle w:val="Heading1"/>
      </w:pPr>
      <w:r>
        <w:t>4. Data Connections</w:t>
      </w:r>
    </w:p>
    <w:p>
      <w:pPr>
        <w:jc w:val="center"/>
      </w:pPr>
      <w:r>
        <w:drawing>
          <wp:inline xmlns:a="http://schemas.openxmlformats.org/drawingml/2006/main" xmlns:pic="http://schemas.openxmlformats.org/drawingml/2006/picture">
            <wp:extent cx="5940000" cy="4125000"/>
            <wp:docPr id="2" name="Picture 2"/>
            <wp:cNvGraphicFramePr>
              <a:graphicFrameLocks noChangeAspect="1"/>
            </wp:cNvGraphicFramePr>
            <a:graphic>
              <a:graphicData uri="http://schemas.openxmlformats.org/drawingml/2006/picture">
                <pic:pic>
                  <pic:nvPicPr>
                    <pic:cNvPr id="0" name="mmm-connections-0.png"/>
                    <pic:cNvPicPr/>
                  </pic:nvPicPr>
                  <pic:blipFill>
                    <a:blip r:embed="rId11"/>
                    <a:stretch>
                      <a:fillRect/>
                    </a:stretch>
                  </pic:blipFill>
                  <pic:spPr>
                    <a:xfrm>
                      <a:off x="0" y="0"/>
                      <a:ext cx="5940000" cy="4125000"/>
                    </a:xfrm>
                    <a:prstGeom prst="rect"/>
                  </pic:spPr>
                </pic:pic>
              </a:graphicData>
            </a:graphic>
          </wp:inline>
        </w:drawing>
      </w:r>
    </w:p>
    <w:p>
      <w:pPr>
        <w:jc w:val="center"/>
      </w:pPr>
      <w:r>
        <w:rPr>
          <w:i/>
          <w:color w:val="555F6D"/>
          <w:sz w:val="18"/>
        </w:rPr>
        <w:t>Figure 4.1 – Data Connections: the loaded dataset strip and the source catalogue.</w:t>
      </w:r>
    </w:p>
    <w:p>
      <w:r>
        <w:rPr>
          <w:b/>
        </w:rPr>
        <w:t>Purpose.</w:t>
      </w:r>
      <w:r>
        <w:t xml:space="preserve"> Load, replace, view or remove the MMM daily file. MMM’s data is kept apart from TPO’s, so loading or removing it never touches the promotion data.</w:t>
      </w:r>
    </w:p>
    <w:p>
      <w:pPr>
        <w:pStyle w:val="ListBullet"/>
        <w:spacing w:after="40"/>
      </w:pPr>
      <w:r>
        <w:rPr>
          <w:b/>
        </w:rPr>
        <w:t>Upload</w:t>
      </w:r>
      <w:r>
        <w:t xml:space="preserve"> a .csv, .xlsx or .xls file (up to 64 MB) from the Excel / CSV tile. The column checklist shows what was found: Date &amp; Revenue, media spend (x of 22 reference channels), channel totals, promotions &amp; events, and calendar fields.</w:t>
      </w:r>
    </w:p>
    <w:p>
      <w:pPr>
        <w:pStyle w:val="ListBullet"/>
        <w:spacing w:after="40"/>
      </w:pPr>
      <w:r>
        <w:rPr>
          <w:b/>
        </w:rPr>
        <w:t>Required:</w:t>
      </w:r>
      <w:r>
        <w:t xml:space="preserve"> </w:t>
      </w:r>
      <w:r>
        <w:rPr>
          <w:rFonts w:ascii="Consolas" w:hAnsi="Consolas" w:eastAsia="Consolas"/>
          <w:sz w:val="19"/>
        </w:rPr>
        <w:t>Date</w:t>
      </w:r>
      <w:r>
        <w:t xml:space="preserve">, </w:t>
      </w:r>
      <w:r>
        <w:rPr>
          <w:rFonts w:ascii="Consolas" w:hAnsi="Consolas" w:eastAsia="Consolas"/>
          <w:sz w:val="19"/>
        </w:rPr>
        <w:t>Revenue</w:t>
      </w:r>
      <w:r>
        <w:t xml:space="preserve"> and at least one </w:t>
      </w:r>
      <w:r>
        <w:rPr>
          <w:rFonts w:ascii="Consolas" w:hAnsi="Consolas" w:eastAsia="Consolas"/>
          <w:sz w:val="19"/>
        </w:rPr>
        <w:t>*_Spend</w:t>
      </w:r>
      <w:r>
        <w:t xml:space="preserve"> column. </w:t>
      </w:r>
      <w:r>
        <w:rPr>
          <w:b/>
        </w:rPr>
        <w:t>Optional:</w:t>
      </w:r>
      <w:r>
        <w:t xml:space="preserve"> </w:t>
      </w:r>
      <w:r>
        <w:rPr>
          <w:rFonts w:ascii="Consolas" w:hAnsi="Consolas" w:eastAsia="Consolas"/>
          <w:sz w:val="19"/>
        </w:rPr>
        <w:t>Festival_Flag</w:t>
      </w:r>
      <w:r>
        <w:t xml:space="preserve">, </w:t>
      </w:r>
      <w:r>
        <w:rPr>
          <w:rFonts w:ascii="Consolas" w:hAnsi="Consolas" w:eastAsia="Consolas"/>
          <w:sz w:val="19"/>
        </w:rPr>
        <w:t>Seasonal_Flag</w:t>
      </w:r>
      <w:r>
        <w:t xml:space="preserve">, </w:t>
      </w:r>
      <w:r>
        <w:rPr>
          <w:rFonts w:ascii="Consolas" w:hAnsi="Consolas" w:eastAsia="Consolas"/>
          <w:sz w:val="19"/>
        </w:rPr>
        <w:t>Promotion_Flag</w:t>
      </w:r>
      <w:r>
        <w:t xml:space="preserve">, </w:t>
      </w:r>
      <w:r>
        <w:rPr>
          <w:rFonts w:ascii="Consolas" w:hAnsi="Consolas" w:eastAsia="Consolas"/>
          <w:sz w:val="19"/>
        </w:rPr>
        <w:t>Discount_Percentage</w:t>
      </w:r>
      <w:r>
        <w:t xml:space="preserve">, </w:t>
      </w:r>
      <w:r>
        <w:rPr>
          <w:rFonts w:ascii="Consolas" w:hAnsi="Consolas" w:eastAsia="Consolas"/>
          <w:sz w:val="19"/>
        </w:rPr>
        <w:t>Promotion_Type</w:t>
      </w:r>
      <w:r>
        <w:t>, and Month / Quarter / Week / Year (derived from the date if missing).</w:t>
      </w:r>
    </w:p>
    <w:p>
      <w:pPr>
        <w:pStyle w:val="ListBullet"/>
        <w:spacing w:after="40"/>
      </w:pPr>
      <w:r>
        <w:t>Problems are listed together with row numbers: an unreadable date, a duplicate day, negative spend, or a flag that is not 0 or 1. A blank spend cell is read as 0, with a warning.</w:t>
      </w:r>
    </w:p>
    <w:p>
      <w:pPr>
        <w:pStyle w:val="ListBullet"/>
        <w:spacing w:after="40"/>
      </w:pPr>
      <w:r>
        <w:rPr>
          <w:b/>
        </w:rPr>
        <w:t>What do I upload?</w:t>
      </w:r>
      <w:r>
        <w:t xml:space="preserve"> opens the requirements guide, with </w:t>
      </w:r>
      <w:r>
        <w:rPr>
          <w:b/>
        </w:rPr>
        <w:t>Copy headers</w:t>
      </w:r>
      <w:r>
        <w:t xml:space="preserve"> and </w:t>
      </w:r>
      <w:r>
        <w:rPr>
          <w:b/>
        </w:rPr>
        <w:t>Download template</w:t>
      </w:r>
      <w:r>
        <w:t>.</w:t>
      </w:r>
    </w:p>
    <w:p>
      <w:pPr>
        <w:pStyle w:val="ListBullet"/>
        <w:spacing w:after="40"/>
      </w:pPr>
      <w:r>
        <w:t xml:space="preserve">A new upload </w:t>
      </w:r>
      <w:r>
        <w:rPr>
          <w:b/>
        </w:rPr>
        <w:t>replaces</w:t>
      </w:r>
      <w:r>
        <w:t xml:space="preserve"> the old file in one step. The Insights Hub and the model are refreshed; the response model retrains once (about a minute) and is then cached.</w:t>
      </w:r>
    </w:p>
    <w:p>
      <w:r>
        <w:br w:type="page"/>
      </w:r>
    </w:p>
    <w:p>
      <w:pPr>
        <w:pStyle w:val="Heading1"/>
      </w:pPr>
      <w:r>
        <w:t>5. Insights Hub</w:t>
      </w:r>
    </w:p>
    <w:p>
      <w:pPr>
        <w:jc w:val="center"/>
      </w:pPr>
      <w:r>
        <w:drawing>
          <wp:inline xmlns:a="http://schemas.openxmlformats.org/drawingml/2006/main" xmlns:pic="http://schemas.openxmlformats.org/drawingml/2006/picture">
            <wp:extent cx="5940000" cy="4125000"/>
            <wp:docPr id="3" name="Picture 3"/>
            <wp:cNvGraphicFramePr>
              <a:graphicFrameLocks noChangeAspect="1"/>
            </wp:cNvGraphicFramePr>
            <a:graphic>
              <a:graphicData uri="http://schemas.openxmlformats.org/drawingml/2006/picture">
                <pic:pic>
                  <pic:nvPicPr>
                    <pic:cNvPr id="0" name="mmm-insights-0.png"/>
                    <pic:cNvPicPr/>
                  </pic:nvPicPr>
                  <pic:blipFill>
                    <a:blip r:embed="rId12"/>
                    <a:stretch>
                      <a:fillRect/>
                    </a:stretch>
                  </pic:blipFill>
                  <pic:spPr>
                    <a:xfrm>
                      <a:off x="0" y="0"/>
                      <a:ext cx="5940000" cy="4125000"/>
                    </a:xfrm>
                    <a:prstGeom prst="rect"/>
                  </pic:spPr>
                </pic:pic>
              </a:graphicData>
            </a:graphic>
          </wp:inline>
        </w:drawing>
      </w:r>
    </w:p>
    <w:p>
      <w:pPr>
        <w:jc w:val="center"/>
      </w:pPr>
      <w:r>
        <w:rPr>
          <w:i/>
          <w:color w:val="555F6D"/>
          <w:sz w:val="18"/>
        </w:rPr>
        <w:t>Figure 5.1 – Insights Hub for 2025: headline KPIs, the ad spend &amp; ROAS trend and the revenue decomposition.</w:t>
      </w:r>
    </w:p>
    <w:p>
      <w:r>
        <w:rPr>
          <w:b/>
        </w:rPr>
        <w:t>Purpose.</w:t>
      </w:r>
      <w:r>
        <w:t xml:space="preserve"> A one-screen view of how much was spent on ads, what it returned and how that compares with earlier periods.</w:t>
      </w:r>
    </w:p>
    <w:p>
      <w:pPr>
        <w:pStyle w:val="Heading2"/>
      </w:pPr>
      <w:r>
        <w:t>5.1 Filters</w:t>
      </w:r>
    </w:p>
    <w:tbl>
      <w:tblPr>
        <w:tblStyle w:val="TableGrid"/>
        <w:tblW w:type="auto" w:w="0"/>
        <w:jc w:val="center"/>
        <w:tblLook w:firstColumn="1" w:firstRow="1" w:lastColumn="0" w:lastRow="0" w:noHBand="0" w:noVBand="1" w:val="04A0"/>
      </w:tblPr>
      <w:tblGrid>
        <w:gridCol w:w="4819"/>
        <w:gridCol w:w="4819"/>
      </w:tblGrid>
      <w:tr>
        <w:tc>
          <w:tcPr>
            <w:tcW w:type="dxa" w:w="2041"/>
            <w:shd w:val="clear" w:color="auto" w:fill="EAF0F8"/>
          </w:tcPr>
          <w:p>
            <w:r/>
            <w:r>
              <w:rPr>
                <w:b/>
                <w:color w:val="1F3A68"/>
                <w:sz w:val="18"/>
              </w:rPr>
              <w:t>Control</w:t>
            </w:r>
          </w:p>
        </w:tc>
        <w:tc>
          <w:tcPr>
            <w:tcW w:type="dxa" w:w="7597"/>
            <w:shd w:val="clear" w:color="auto" w:fill="EAF0F8"/>
          </w:tcPr>
          <w:p>
            <w:r/>
            <w:r>
              <w:rPr>
                <w:b/>
                <w:color w:val="1F3A68"/>
                <w:sz w:val="18"/>
              </w:rPr>
              <w:t>What it does</w:t>
            </w:r>
          </w:p>
        </w:tc>
      </w:tr>
      <w:tr>
        <w:tc>
          <w:tcPr>
            <w:tcW w:type="dxa" w:w="2041"/>
          </w:tcPr>
          <w:p>
            <w:r/>
            <w:r>
              <w:rPr>
                <w:b/>
                <w:sz w:val="18"/>
              </w:rPr>
              <w:t>Year</w:t>
            </w:r>
          </w:p>
        </w:tc>
        <w:tc>
          <w:tcPr>
            <w:tcW w:type="dxa" w:w="7597"/>
          </w:tcPr>
          <w:p>
            <w:r/>
            <w:r>
              <w:rPr>
                <w:sz w:val="18"/>
              </w:rPr>
              <w:t>“All Years” or one year. It opens on the most recent completed year.</w:t>
            </w:r>
          </w:p>
        </w:tc>
      </w:tr>
      <w:tr>
        <w:tc>
          <w:tcPr>
            <w:tcW w:type="dxa" w:w="2041"/>
          </w:tcPr>
          <w:p>
            <w:r/>
            <w:r>
              <w:rPr>
                <w:b/>
                <w:sz w:val="18"/>
              </w:rPr>
              <w:t>Quarter / Month</w:t>
            </w:r>
          </w:p>
        </w:tc>
        <w:tc>
          <w:tcPr>
            <w:tcW w:type="dxa" w:w="7597"/>
          </w:tcPr>
          <w:p>
            <w:r/>
            <w:r>
              <w:rPr>
                <w:sz w:val="18"/>
              </w:rPr>
              <w:t>Narrow the year. The month list follows the quarter chosen.</w:t>
            </w:r>
          </w:p>
        </w:tc>
      </w:tr>
      <w:tr>
        <w:tc>
          <w:tcPr>
            <w:tcW w:type="dxa" w:w="2041"/>
          </w:tcPr>
          <w:p>
            <w:r/>
            <w:r>
              <w:rPr>
                <w:b/>
                <w:sz w:val="18"/>
              </w:rPr>
              <w:t>Date range</w:t>
            </w:r>
          </w:p>
        </w:tc>
        <w:tc>
          <w:tcPr>
            <w:tcW w:type="dxa" w:w="7597"/>
          </w:tcPr>
          <w:p>
            <w:r/>
            <w:r>
              <w:rPr>
                <w:sz w:val="18"/>
              </w:rPr>
              <w:t>Any From – To range. It replaces year, quarter and month while active.</w:t>
            </w:r>
          </w:p>
        </w:tc>
      </w:tr>
      <w:tr>
        <w:tc>
          <w:tcPr>
            <w:tcW w:type="dxa" w:w="2041"/>
          </w:tcPr>
          <w:p>
            <w:r/>
            <w:r>
              <w:rPr>
                <w:b/>
                <w:sz w:val="18"/>
              </w:rPr>
              <w:t>₹ INR / $ USD</w:t>
            </w:r>
          </w:p>
        </w:tc>
        <w:tc>
          <w:tcPr>
            <w:tcW w:type="dxa" w:w="7597"/>
          </w:tcPr>
          <w:p>
            <w:r/>
            <w:r>
              <w:rPr>
                <w:sz w:val="18"/>
              </w:rPr>
              <w:t>Display only.</w:t>
            </w:r>
          </w:p>
        </w:tc>
      </w:tr>
      <w:tr>
        <w:tc>
          <w:tcPr>
            <w:tcW w:type="dxa" w:w="2041"/>
          </w:tcPr>
          <w:p>
            <w:r/>
            <w:r>
              <w:rPr>
                <w:b/>
                <w:sz w:val="18"/>
              </w:rPr>
              <w:t>+ Add KPI</w:t>
            </w:r>
          </w:p>
        </w:tc>
        <w:tc>
          <w:tcPr>
            <w:tcW w:type="dxa" w:w="7597"/>
          </w:tcPr>
          <w:p>
            <w:r/>
            <w:r>
              <w:rPr>
                <w:sz w:val="18"/>
              </w:rPr>
              <w:t>Add more KPI cards beside the three headline cards. Your choice is remembered.</w:t>
            </w:r>
          </w:p>
        </w:tc>
      </w:tr>
      <w:tr>
        <w:tc>
          <w:tcPr>
            <w:tcW w:type="dxa" w:w="2041"/>
          </w:tcPr>
          <w:p>
            <w:r/>
            <w:r>
              <w:rPr>
                <w:b/>
                <w:sz w:val="18"/>
              </w:rPr>
              <w:t>Refresh / Export</w:t>
            </w:r>
          </w:p>
        </w:tc>
        <w:tc>
          <w:tcPr>
            <w:tcW w:type="dxa" w:w="7597"/>
          </w:tcPr>
          <w:p>
            <w:r/>
            <w:r>
              <w:rPr>
                <w:sz w:val="18"/>
              </w:rPr>
              <w:t>Reload the data, or create an Excel + PDF report of the current view (see Reports).</w:t>
            </w:r>
          </w:p>
        </w:tc>
      </w:tr>
    </w:tbl>
    <w:p>
      <w:pPr>
        <w:spacing w:after="0"/>
      </w:pPr>
    </w:p>
    <w:p>
      <w:pPr>
        <w:pStyle w:val="Heading2"/>
      </w:pPr>
      <w:r>
        <w:t>5.2 What is on the page</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color="auto" w:fill="EAF0F8"/>
          </w:tcPr>
          <w:p>
            <w:r/>
            <w:r>
              <w:rPr>
                <w:b/>
                <w:color w:val="1F3A68"/>
                <w:sz w:val="17"/>
              </w:rPr>
              <w:t>Card</w:t>
            </w:r>
          </w:p>
        </w:tc>
        <w:tc>
          <w:tcPr>
            <w:tcW w:type="dxa" w:w="4706"/>
            <w:shd w:val="clear" w:color="auto" w:fill="EAF0F8"/>
          </w:tcPr>
          <w:p>
            <w:r/>
            <w:r>
              <w:rPr>
                <w:b/>
                <w:color w:val="1F3A68"/>
                <w:sz w:val="17"/>
              </w:rPr>
              <w:t>What it shows</w:t>
            </w:r>
          </w:p>
        </w:tc>
        <w:tc>
          <w:tcPr>
            <w:tcW w:type="dxa" w:w="2551"/>
            <w:shd w:val="clear" w:color="auto" w:fill="EAF0F8"/>
          </w:tcPr>
          <w:p>
            <w:r/>
            <w:r>
              <w:rPr>
                <w:b/>
                <w:color w:val="1F3A68"/>
                <w:sz w:val="17"/>
              </w:rPr>
              <w:t>2025 example</w:t>
            </w:r>
          </w:p>
        </w:tc>
      </w:tr>
      <w:tr>
        <w:tc>
          <w:tcPr>
            <w:tcW w:type="dxa" w:w="2381"/>
          </w:tcPr>
          <w:p>
            <w:r/>
            <w:r>
              <w:rPr>
                <w:b/>
                <w:sz w:val="17"/>
              </w:rPr>
              <w:t>Total Revenue</w:t>
            </w:r>
          </w:p>
        </w:tc>
        <w:tc>
          <w:tcPr>
            <w:tcW w:type="dxa" w:w="4706"/>
          </w:tcPr>
          <w:p>
            <w:r/>
            <w:r>
              <w:rPr>
                <w:sz w:val="17"/>
              </w:rPr>
              <w:t>All revenue on the days in scope, with % change vs the year before</w:t>
            </w:r>
          </w:p>
        </w:tc>
        <w:tc>
          <w:tcPr>
            <w:tcW w:type="dxa" w:w="2551"/>
          </w:tcPr>
          <w:p>
            <w:r/>
            <w:r>
              <w:rPr>
                <w:sz w:val="17"/>
              </w:rPr>
              <w:t>₹1,523.67 Cr, +2.64%</w:t>
            </w:r>
          </w:p>
        </w:tc>
      </w:tr>
      <w:tr>
        <w:tc>
          <w:tcPr>
            <w:tcW w:type="dxa" w:w="2381"/>
          </w:tcPr>
          <w:p>
            <w:r/>
            <w:r>
              <w:rPr>
                <w:b/>
                <w:sz w:val="17"/>
              </w:rPr>
              <w:t>Total Ad Spend</w:t>
            </w:r>
          </w:p>
        </w:tc>
        <w:tc>
          <w:tcPr>
            <w:tcW w:type="dxa" w:w="4706"/>
          </w:tcPr>
          <w:p>
            <w:r/>
            <w:r>
              <w:rPr>
                <w:sz w:val="17"/>
              </w:rPr>
              <w:t>Spend on all channels</w:t>
            </w:r>
          </w:p>
        </w:tc>
        <w:tc>
          <w:tcPr>
            <w:tcW w:type="dxa" w:w="2551"/>
          </w:tcPr>
          <w:p>
            <w:r/>
            <w:r>
              <w:rPr>
                <w:sz w:val="17"/>
              </w:rPr>
              <w:t>₹225.48 Cr, +6.29%</w:t>
            </w:r>
          </w:p>
        </w:tc>
      </w:tr>
      <w:tr>
        <w:tc>
          <w:tcPr>
            <w:tcW w:type="dxa" w:w="2381"/>
          </w:tcPr>
          <w:p>
            <w:r/>
            <w:r>
              <w:rPr>
                <w:b/>
                <w:sz w:val="17"/>
              </w:rPr>
              <w:t>ROAS</w:t>
            </w:r>
          </w:p>
        </w:tc>
        <w:tc>
          <w:tcPr>
            <w:tcW w:type="dxa" w:w="4706"/>
          </w:tcPr>
          <w:p>
            <w:r/>
            <w:r>
              <w:rPr>
                <w:sz w:val="17"/>
              </w:rPr>
              <w:t>Revenue above the baseline ÷ ad spend. 1.00x means the ads paid back their cost</w:t>
            </w:r>
          </w:p>
        </w:tc>
        <w:tc>
          <w:tcPr>
            <w:tcW w:type="dxa" w:w="2551"/>
          </w:tcPr>
          <w:p>
            <w:r/>
            <w:r>
              <w:rPr>
                <w:sz w:val="17"/>
              </w:rPr>
              <w:t>1.53x, −0.44 vs 2024</w:t>
            </w:r>
          </w:p>
        </w:tc>
      </w:tr>
      <w:tr>
        <w:tc>
          <w:tcPr>
            <w:tcW w:type="dxa" w:w="2381"/>
          </w:tcPr>
          <w:p>
            <w:r/>
            <w:r>
              <w:rPr>
                <w:sz w:val="17"/>
              </w:rPr>
              <w:t>Baseline Revenue (add-on)</w:t>
            </w:r>
          </w:p>
        </w:tc>
        <w:tc>
          <w:tcPr>
            <w:tcW w:type="dxa" w:w="4706"/>
          </w:tcPr>
          <w:p>
            <w:r/>
            <w:r>
              <w:rPr>
                <w:sz w:val="17"/>
              </w:rPr>
              <w:t>What the days would have earned without ads</w:t>
            </w:r>
          </w:p>
        </w:tc>
        <w:tc>
          <w:tcPr>
            <w:tcW w:type="dxa" w:w="2551"/>
          </w:tcPr>
          <w:p>
            <w:r/>
            <w:r>
              <w:rPr>
                <w:sz w:val="17"/>
              </w:rPr>
              <w:t>₹1,179.26 Cr</w:t>
            </w:r>
          </w:p>
        </w:tc>
      </w:tr>
      <w:tr>
        <w:tc>
          <w:tcPr>
            <w:tcW w:type="dxa" w:w="2381"/>
          </w:tcPr>
          <w:p>
            <w:r/>
            <w:r>
              <w:rPr>
                <w:sz w:val="17"/>
              </w:rPr>
              <w:t>Incremental Revenue (add-on)</w:t>
            </w:r>
          </w:p>
        </w:tc>
        <w:tc>
          <w:tcPr>
            <w:tcW w:type="dxa" w:w="4706"/>
          </w:tcPr>
          <w:p>
            <w:r/>
            <w:r>
              <w:rPr>
                <w:sz w:val="17"/>
              </w:rPr>
              <w:t>Revenue − baseline</w:t>
            </w:r>
          </w:p>
        </w:tc>
        <w:tc>
          <w:tcPr>
            <w:tcW w:type="dxa" w:w="2551"/>
          </w:tcPr>
          <w:p>
            <w:r/>
            <w:r>
              <w:rPr>
                <w:sz w:val="17"/>
              </w:rPr>
              <w:t>₹344.41 Cr</w:t>
            </w:r>
          </w:p>
        </w:tc>
      </w:tr>
      <w:tr>
        <w:tc>
          <w:tcPr>
            <w:tcW w:type="dxa" w:w="2381"/>
          </w:tcPr>
          <w:p>
            <w:r/>
            <w:r>
              <w:rPr>
                <w:sz w:val="17"/>
              </w:rPr>
              <w:t>Avg Daily Baseline / Revenue, Ad Revenue Lift / Day, Days With Ad Spend (add-ons)</w:t>
            </w:r>
          </w:p>
        </w:tc>
        <w:tc>
          <w:tcPr>
            <w:tcW w:type="dxa" w:w="4706"/>
          </w:tcPr>
          <w:p>
            <w:r/>
            <w:r>
              <w:rPr>
                <w:sz w:val="17"/>
              </w:rPr>
              <w:t>Per-day versions and counts</w:t>
            </w:r>
          </w:p>
        </w:tc>
        <w:tc>
          <w:tcPr>
            <w:tcW w:type="dxa" w:w="2551"/>
          </w:tcPr>
          <w:p>
            <w:r/>
            <w:r>
              <w:rPr>
                <w:sz w:val="17"/>
              </w:rPr>
              <w:t>₹3.23 Cr / ₹4.17 Cr, ₹1.09 Cr, 180 days</w:t>
            </w:r>
          </w:p>
        </w:tc>
      </w:tr>
      <w:tr>
        <w:tc>
          <w:tcPr>
            <w:tcW w:type="dxa" w:w="2381"/>
          </w:tcPr>
          <w:p>
            <w:r/>
            <w:r>
              <w:rPr>
                <w:b/>
                <w:sz w:val="17"/>
              </w:rPr>
              <w:t>Ad Spend &amp; ROAS Trend</w:t>
            </w:r>
          </w:p>
        </w:tc>
        <w:tc>
          <w:tcPr>
            <w:tcW w:type="dxa" w:w="4706"/>
          </w:tcPr>
          <w:p>
            <w:r/>
            <w:r>
              <w:rPr>
                <w:sz w:val="17"/>
              </w:rPr>
              <w:t>Monthly or weekly ad spend (left axis) and ROAS (right axis), with a dotted break-even line at 1.00x</w:t>
            </w:r>
          </w:p>
        </w:tc>
        <w:tc>
          <w:tcPr>
            <w:tcW w:type="dxa" w:w="2551"/>
          </w:tcPr>
          <w:p>
            <w:r/>
            <w:r>
              <w:rPr>
                <w:sz w:val="17"/>
              </w:rPr>
              <w:t>ROAS 0.92x in Jan, 1.59x in Feb</w:t>
            </w:r>
          </w:p>
        </w:tc>
      </w:tr>
      <w:tr>
        <w:tc>
          <w:tcPr>
            <w:tcW w:type="dxa" w:w="2381"/>
          </w:tcPr>
          <w:p>
            <w:r/>
            <w:r>
              <w:rPr>
                <w:b/>
                <w:sz w:val="17"/>
              </w:rPr>
              <w:t>Revenue Decomposition</w:t>
            </w:r>
          </w:p>
        </w:tc>
        <w:tc>
          <w:tcPr>
            <w:tcW w:type="dxa" w:w="4706"/>
          </w:tcPr>
          <w:p>
            <w:r/>
            <w:r>
              <w:rPr>
                <w:sz w:val="17"/>
              </w:rPr>
              <w:t>A donut splitting revenue into Baseline, Festival, Seasonal, Promotion and Ad Spend. Ad Spend drills into channel families, then channels</w:t>
            </w:r>
          </w:p>
        </w:tc>
        <w:tc>
          <w:tcPr>
            <w:tcW w:type="dxa" w:w="2551"/>
          </w:tcPr>
          <w:p>
            <w:r/>
            <w:r>
              <w:rPr>
                <w:sz w:val="17"/>
              </w:rPr>
              <w:t>Baseline 77.4%, Ad Spend 14.05%</w:t>
            </w:r>
          </w:p>
        </w:tc>
      </w:tr>
      <w:tr>
        <w:tc>
          <w:tcPr>
            <w:tcW w:type="dxa" w:w="2381"/>
          </w:tcPr>
          <w:p>
            <w:r/>
            <w:r>
              <w:rPr>
                <w:b/>
                <w:sz w:val="17"/>
              </w:rPr>
              <w:t>Ad Spend / Revenue / ROAS by Channel</w:t>
            </w:r>
          </w:p>
        </w:tc>
        <w:tc>
          <w:tcPr>
            <w:tcW w:type="dxa" w:w="4706"/>
          </w:tcPr>
          <w:p>
            <w:r/>
            <w:r>
              <w:rPr>
                <w:sz w:val="17"/>
              </w:rPr>
              <w:t>Pie or bar by channel family; click a family for its channels</w:t>
            </w:r>
          </w:p>
        </w:tc>
        <w:tc>
          <w:tcPr>
            <w:tcW w:type="dxa" w:w="2551"/>
          </w:tcPr>
          <w:p>
            <w:r/>
            <w:r>
              <w:rPr>
                <w:sz w:val="17"/>
              </w:rPr>
              <w:t>Broadcast &amp; Video 31.01% of spend</w:t>
            </w:r>
          </w:p>
        </w:tc>
      </w:tr>
      <w:tr>
        <w:tc>
          <w:tcPr>
            <w:tcW w:type="dxa" w:w="2381"/>
          </w:tcPr>
          <w:p>
            <w:r/>
            <w:r>
              <w:rPr>
                <w:b/>
                <w:sz w:val="17"/>
              </w:rPr>
              <w:t>Revenue by Promotion Type</w:t>
            </w:r>
          </w:p>
        </w:tc>
        <w:tc>
          <w:tcPr>
            <w:tcW w:type="dxa" w:w="4706"/>
          </w:tcPr>
          <w:p>
            <w:r/>
            <w:r>
              <w:rPr>
                <w:sz w:val="17"/>
              </w:rPr>
              <w:t>Revenue, spend or ROAS per promotion type, with ROAS under each bar</w:t>
            </w:r>
          </w:p>
        </w:tc>
        <w:tc>
          <w:tcPr>
            <w:tcW w:type="dxa" w:w="2551"/>
          </w:tcPr>
          <w:p>
            <w:r/>
            <w:r>
              <w:rPr>
                <w:sz w:val="17"/>
              </w:rPr>
              <w:t>15% Discount ROAS 2.14x</w:t>
            </w:r>
          </w:p>
        </w:tc>
      </w:tr>
      <w:tr>
        <w:tc>
          <w:tcPr>
            <w:tcW w:type="dxa" w:w="2381"/>
          </w:tcPr>
          <w:p>
            <w:r/>
            <w:r>
              <w:rPr>
                <w:b/>
                <w:sz w:val="17"/>
              </w:rPr>
              <w:t>Performance Comparison</w:t>
            </w:r>
          </w:p>
        </w:tc>
        <w:tc>
          <w:tcPr>
            <w:tcW w:type="dxa" w:w="4706"/>
          </w:tcPr>
          <w:p>
            <w:r/>
            <w:r>
              <w:rPr>
                <w:sz w:val="17"/>
              </w:rPr>
              <w:t>Any KPI against Year Ago, Period Ago, Month Ago or year-to-date</w:t>
            </w:r>
          </w:p>
        </w:tc>
        <w:tc>
          <w:tcPr>
            <w:tcW w:type="dxa" w:w="2551"/>
          </w:tcPr>
          <w:p>
            <w:r/>
          </w:p>
        </w:tc>
      </w:tr>
      <w:tr>
        <w:tc>
          <w:tcPr>
            <w:tcW w:type="dxa" w:w="2381"/>
          </w:tcPr>
          <w:p>
            <w:r/>
            <w:r>
              <w:rPr>
                <w:b/>
                <w:sz w:val="17"/>
              </w:rPr>
              <w:t>Days With vs Without Events</w:t>
            </w:r>
          </w:p>
        </w:tc>
        <w:tc>
          <w:tcPr>
            <w:tcW w:type="dxa" w:w="4706"/>
          </w:tcPr>
          <w:p>
            <w:r/>
            <w:r>
              <w:rPr>
                <w:sz w:val="17"/>
              </w:rPr>
              <w:t>Average daily revenue on days with each event vs days without</w:t>
            </w:r>
          </w:p>
        </w:tc>
        <w:tc>
          <w:tcPr>
            <w:tcW w:type="dxa" w:w="2551"/>
          </w:tcPr>
          <w:p>
            <w:r/>
            <w:r>
              <w:rPr>
                <w:sz w:val="17"/>
              </w:rPr>
              <w:t>Ad days +31.33%</w:t>
            </w:r>
          </w:p>
        </w:tc>
      </w:tr>
    </w:tbl>
    <w:p>
      <w:pPr>
        <w:spacing w:after="0"/>
      </w:pPr>
    </w:p>
    <w:p>
      <w:pPr>
        <w:jc w:val="center"/>
      </w:pPr>
      <w:r>
        <w:drawing>
          <wp:inline xmlns:a="http://schemas.openxmlformats.org/drawingml/2006/main" xmlns:pic="http://schemas.openxmlformats.org/drawingml/2006/picture">
            <wp:extent cx="5940000" cy="4125000"/>
            <wp:docPr id="4" name="Picture 4"/>
            <wp:cNvGraphicFramePr>
              <a:graphicFrameLocks noChangeAspect="1"/>
            </wp:cNvGraphicFramePr>
            <a:graphic>
              <a:graphicData uri="http://schemas.openxmlformats.org/drawingml/2006/picture">
                <pic:pic>
                  <pic:nvPicPr>
                    <pic:cNvPr id="0" name="mmm-insights-1.png"/>
                    <pic:cNvPicPr/>
                  </pic:nvPicPr>
                  <pic:blipFill>
                    <a:blip r:embed="rId13"/>
                    <a:stretch>
                      <a:fillRect/>
                    </a:stretch>
                  </pic:blipFill>
                  <pic:spPr>
                    <a:xfrm>
                      <a:off x="0" y="0"/>
                      <a:ext cx="5940000" cy="4125000"/>
                    </a:xfrm>
                    <a:prstGeom prst="rect"/>
                  </pic:spPr>
                </pic:pic>
              </a:graphicData>
            </a:graphic>
          </wp:inline>
        </w:drawing>
      </w:r>
    </w:p>
    <w:p>
      <w:pPr>
        <w:jc w:val="center"/>
      </w:pPr>
      <w:r>
        <w:rPr>
          <w:i/>
          <w:color w:val="555F6D"/>
          <w:sz w:val="18"/>
        </w:rPr>
        <w:t>Figure 5.2 – Channel mix, promotion types, performance comparison and days with vs without events.</w:t>
      </w:r>
    </w:p>
    <w:tbl>
      <w:tblPr>
        <w:tblW w:type="auto" w:w="0"/>
        <w:tblLook w:firstColumn="1" w:firstRow="1" w:lastColumn="0" w:lastRow="0" w:noHBand="0" w:noVBand="1" w:val="04A0"/>
      </w:tblPr>
      <w:tblGrid>
        <w:gridCol w:w="9638"/>
      </w:tblGrid>
      <w:tr>
        <w:tc>
          <w:tcPr>
            <w:tcW w:type="dxa" w:w="9638"/>
            <w:shd w:val="clear" w:color="auto" w:fill="FFF8E6"/>
          </w:tcPr>
          <w:p>
            <w:r>
              <w:rPr>
                <w:b/>
              </w:rPr>
              <w:t xml:space="preserve">Two kinds of ROAS. </w:t>
            </w:r>
            <w:r>
              <w:t>The Insights Hub ROAS is a direct, look-back measure: revenue above the baseline on the days in scope. The planning pages use the fitted response model, which also accounts for carryover and diminishing returns. The two answer different questions, so their channel ROAS values differ (for example TV: 3.24x on the hub for 2025, 1.52x average in the model). Part 2, section B.6, explains why.</w:t>
            </w:r>
          </w:p>
        </w:tc>
      </w:tr>
    </w:tbl>
    <w:p>
      <w:pPr>
        <w:spacing w:after="0"/>
      </w:pPr>
    </w:p>
    <w:p>
      <w:r>
        <w:br w:type="page"/>
      </w:r>
    </w:p>
    <w:p>
      <w:pPr>
        <w:pStyle w:val="Heading1"/>
      </w:pPr>
      <w:r>
        <w:t>6. Calendar</w:t>
      </w:r>
    </w:p>
    <w:p>
      <w:pPr>
        <w:jc w:val="center"/>
      </w:pPr>
      <w:r>
        <w:drawing>
          <wp:inline xmlns:a="http://schemas.openxmlformats.org/drawingml/2006/main" xmlns:pic="http://schemas.openxmlformats.org/drawingml/2006/picture">
            <wp:extent cx="5940000" cy="4125000"/>
            <wp:docPr id="5" name="Picture 5"/>
            <wp:cNvGraphicFramePr>
              <a:graphicFrameLocks noChangeAspect="1"/>
            </wp:cNvGraphicFramePr>
            <a:graphic>
              <a:graphicData uri="http://schemas.openxmlformats.org/drawingml/2006/picture">
                <pic:pic>
                  <pic:nvPicPr>
                    <pic:cNvPr id="0" name="mmm-calendar-0.png"/>
                    <pic:cNvPicPr/>
                  </pic:nvPicPr>
                  <pic:blipFill>
                    <a:blip r:embed="rId14"/>
                    <a:stretch>
                      <a:fillRect/>
                    </a:stretch>
                  </pic:blipFill>
                  <pic:spPr>
                    <a:xfrm>
                      <a:off x="0" y="0"/>
                      <a:ext cx="5940000" cy="4125000"/>
                    </a:xfrm>
                    <a:prstGeom prst="rect"/>
                  </pic:spPr>
                </pic:pic>
              </a:graphicData>
            </a:graphic>
          </wp:inline>
        </w:drawing>
      </w:r>
    </w:p>
    <w:p>
      <w:pPr>
        <w:jc w:val="center"/>
      </w:pPr>
      <w:r>
        <w:rPr>
          <w:i/>
          <w:color w:val="555F6D"/>
          <w:sz w:val="18"/>
        </w:rPr>
        <w:t>Figure 6.1 – Media Calendar: channel flighting by month (left) and the selected month day by day (right).</w:t>
      </w:r>
    </w:p>
    <w:p>
      <w:pPr>
        <w:pStyle w:val="ListBullet"/>
        <w:spacing w:after="40"/>
      </w:pPr>
      <w:r>
        <w:rPr>
          <w:b/>
        </w:rPr>
        <w:t>Channel Flighting</w:t>
      </w:r>
      <w:r>
        <w:t xml:space="preserve"> shows one row per channel and one column per month. Each cell shows the number of days on air (e.g. “17d”), shaded by spend: Off air, Low, Medium, High or Heaviest (the year’s spend quartiles).</w:t>
      </w:r>
    </w:p>
    <w:p>
      <w:pPr>
        <w:pStyle w:val="ListBullet"/>
        <w:spacing w:after="40"/>
      </w:pPr>
      <w:r>
        <w:t>Month headers show the month’s spend and its promotion (P) and festival (F) days.</w:t>
      </w:r>
    </w:p>
    <w:p>
      <w:pPr>
        <w:pStyle w:val="ListBullet"/>
        <w:spacing w:after="40"/>
      </w:pPr>
      <w:r>
        <w:rPr>
          <w:b/>
        </w:rPr>
        <w:t>Click a month</w:t>
      </w:r>
      <w:r>
        <w:t xml:space="preserve"> to list its days: revenue, festival / seasonal / promotion tags, total media spend, the number of channels, and the top three channels.</w:t>
      </w:r>
    </w:p>
    <w:p>
      <w:pPr>
        <w:pStyle w:val="ListBullet"/>
        <w:spacing w:after="40"/>
      </w:pPr>
      <w:r>
        <w:t>Use it to see bursts, dark periods and which channels always run together.</w:t>
      </w:r>
    </w:p>
    <w:p>
      <w:r>
        <w:br w:type="page"/>
      </w:r>
    </w:p>
    <w:p>
      <w:pPr>
        <w:pStyle w:val="Heading1"/>
      </w:pPr>
      <w:r>
        <w:t>7. Budget Optimizer</w:t>
      </w:r>
    </w:p>
    <w:p>
      <w:pPr>
        <w:jc w:val="center"/>
      </w:pPr>
      <w:r>
        <w:drawing>
          <wp:inline xmlns:a="http://schemas.openxmlformats.org/drawingml/2006/main" xmlns:pic="http://schemas.openxmlformats.org/drawingml/2006/picture">
            <wp:extent cx="5940000" cy="4125000"/>
            <wp:docPr id="6" name="Picture 6"/>
            <wp:cNvGraphicFramePr>
              <a:graphicFrameLocks noChangeAspect="1"/>
            </wp:cNvGraphicFramePr>
            <a:graphic>
              <a:graphicData uri="http://schemas.openxmlformats.org/drawingml/2006/picture">
                <pic:pic>
                  <pic:nvPicPr>
                    <pic:cNvPr id="0" name="mmm-optimizer-0.png"/>
                    <pic:cNvPicPr/>
                  </pic:nvPicPr>
                  <pic:blipFill>
                    <a:blip r:embed="rId15"/>
                    <a:stretch>
                      <a:fillRect/>
                    </a:stretch>
                  </pic:blipFill>
                  <pic:spPr>
                    <a:xfrm>
                      <a:off x="0" y="0"/>
                      <a:ext cx="5940000" cy="4125000"/>
                    </a:xfrm>
                    <a:prstGeom prst="rect"/>
                  </pic:spPr>
                </pic:pic>
              </a:graphicData>
            </a:graphic>
          </wp:inline>
        </w:drawing>
      </w:r>
    </w:p>
    <w:p>
      <w:pPr>
        <w:jc w:val="center"/>
      </w:pPr>
      <w:r>
        <w:rPr>
          <w:i/>
          <w:color w:val="555F6D"/>
          <w:sz w:val="18"/>
        </w:rPr>
        <w:t>Figure 7.1 – Budget Optimizer: period, current plan, rules, net profit gain and current vs optimized.</w:t>
      </w:r>
    </w:p>
    <w:p>
      <w:r>
        <w:rPr>
          <w:b/>
        </w:rPr>
        <w:t>Question it answers:</w:t>
      </w:r>
      <w:r>
        <w:t xml:space="preserve"> with the </w:t>
      </w:r>
      <w:r>
        <w:rPr>
          <w:b/>
        </w:rPr>
        <w:t>same total budget</w:t>
      </w:r>
      <w:r>
        <w:t xml:space="preserve"> in a period, how should money move between channels and weeks to make the most </w:t>
      </w:r>
      <w:r>
        <w:rPr>
          <w:b/>
        </w:rPr>
        <w:t>net profit</w:t>
      </w:r>
      <w:r>
        <w:t xml:space="preserve"> (revenue − ad spend)?</w:t>
      </w:r>
    </w:p>
    <w:p>
      <w:pPr>
        <w:pStyle w:val="Heading2"/>
      </w:pPr>
      <w:r>
        <w:t>7.1 Controls</w:t>
      </w:r>
    </w:p>
    <w:tbl>
      <w:tblPr>
        <w:tblStyle w:val="TableGrid"/>
        <w:tblW w:type="auto" w:w="0"/>
        <w:jc w:val="center"/>
        <w:tblLook w:firstColumn="1" w:firstRow="1" w:lastColumn="0" w:lastRow="0" w:noHBand="0" w:noVBand="1" w:val="04A0"/>
      </w:tblPr>
      <w:tblGrid>
        <w:gridCol w:w="4819"/>
        <w:gridCol w:w="4819"/>
      </w:tblGrid>
      <w:tr>
        <w:tc>
          <w:tcPr>
            <w:tcW w:type="dxa" w:w="2381"/>
            <w:shd w:val="clear" w:color="auto" w:fill="EAF0F8"/>
          </w:tcPr>
          <w:p>
            <w:r/>
            <w:r>
              <w:rPr>
                <w:b/>
                <w:color w:val="1F3A68"/>
                <w:sz w:val="18"/>
              </w:rPr>
              <w:t>Control</w:t>
            </w:r>
          </w:p>
        </w:tc>
        <w:tc>
          <w:tcPr>
            <w:tcW w:type="dxa" w:w="7257"/>
            <w:shd w:val="clear" w:color="auto" w:fill="EAF0F8"/>
          </w:tcPr>
          <w:p>
            <w:r/>
            <w:r>
              <w:rPr>
                <w:b/>
                <w:color w:val="1F3A68"/>
                <w:sz w:val="18"/>
              </w:rPr>
              <w:t>What it does</w:t>
            </w:r>
          </w:p>
        </w:tc>
      </w:tr>
      <w:tr>
        <w:tc>
          <w:tcPr>
            <w:tcW w:type="dxa" w:w="2381"/>
          </w:tcPr>
          <w:p>
            <w:r/>
            <w:r>
              <w:rPr>
                <w:b/>
                <w:sz w:val="18"/>
              </w:rPr>
              <w:t>Past data / Forecast plan</w:t>
            </w:r>
          </w:p>
        </w:tc>
        <w:tc>
          <w:tcPr>
            <w:tcW w:type="dxa" w:w="7257"/>
          </w:tcPr>
          <w:p>
            <w:r/>
            <w:r>
              <w:rPr>
                <w:sz w:val="18"/>
              </w:rPr>
              <w:t>Plan past weeks, or the weeks of an uploaded future plan (appears once a plan is uploaded).</w:t>
            </w:r>
          </w:p>
        </w:tc>
      </w:tr>
      <w:tr>
        <w:tc>
          <w:tcPr>
            <w:tcW w:type="dxa" w:w="2381"/>
          </w:tcPr>
          <w:p>
            <w:r/>
            <w:r>
              <w:rPr>
                <w:b/>
                <w:sz w:val="18"/>
              </w:rPr>
              <w:t>Period</w:t>
            </w:r>
          </w:p>
        </w:tc>
        <w:tc>
          <w:tcPr>
            <w:tcW w:type="dxa" w:w="7257"/>
          </w:tcPr>
          <w:p>
            <w:r/>
            <w:r>
              <w:rPr>
                <w:sz w:val="18"/>
              </w:rPr>
              <w:t>Any run of whole weeks, picked by dates or months. It opens on the latest 13 weeks.</w:t>
            </w:r>
          </w:p>
        </w:tc>
      </w:tr>
      <w:tr>
        <w:tc>
          <w:tcPr>
            <w:tcW w:type="dxa" w:w="2381"/>
          </w:tcPr>
          <w:p>
            <w:r/>
            <w:r>
              <w:rPr>
                <w:b/>
                <w:sz w:val="18"/>
              </w:rPr>
              <w:t>Reallocate across</w:t>
            </w:r>
          </w:p>
        </w:tc>
        <w:tc>
          <w:tcPr>
            <w:tcW w:type="dxa" w:w="7257"/>
          </w:tcPr>
          <w:p>
            <w:r/>
            <w:r>
              <w:rPr>
                <w:b/>
                <w:sz w:val="18"/>
              </w:rPr>
              <w:t>Channels and weeks</w:t>
            </w:r>
            <w:r>
              <w:rPr>
                <w:sz w:val="18"/>
              </w:rPr>
              <w:t xml:space="preserve">: money may move anywhere. </w:t>
            </w:r>
            <w:r>
              <w:rPr>
                <w:b/>
                <w:sz w:val="18"/>
              </w:rPr>
              <w:t>Weeks only</w:t>
            </w:r>
            <w:r>
              <w:rPr>
                <w:sz w:val="18"/>
              </w:rPr>
              <w:t xml:space="preserve">: each channel keeps its total and is only re-timed. </w:t>
            </w:r>
            <w:r>
              <w:rPr>
                <w:b/>
                <w:sz w:val="18"/>
              </w:rPr>
              <w:t>Channels only</w:t>
            </w:r>
            <w:r>
              <w:rPr>
                <w:sz w:val="18"/>
              </w:rPr>
              <w:t>: each week keeps its total and is only re-split between channels.</w:t>
            </w:r>
          </w:p>
        </w:tc>
      </w:tr>
      <w:tr>
        <w:tc>
          <w:tcPr>
            <w:tcW w:type="dxa" w:w="2381"/>
          </w:tcPr>
          <w:p>
            <w:r/>
            <w:r>
              <w:rPr>
                <w:b/>
                <w:sz w:val="18"/>
              </w:rPr>
              <w:t>₹ / $</w:t>
            </w:r>
          </w:p>
        </w:tc>
        <w:tc>
          <w:tcPr>
            <w:tcW w:type="dxa" w:w="7257"/>
          </w:tcPr>
          <w:p>
            <w:r/>
            <w:r>
              <w:rPr>
                <w:sz w:val="18"/>
              </w:rPr>
              <w:t>Display currency.</w:t>
            </w:r>
          </w:p>
        </w:tc>
      </w:tr>
    </w:tbl>
    <w:p>
      <w:pPr>
        <w:spacing w:after="0"/>
      </w:pPr>
    </w:p>
    <w:p>
      <w:pPr>
        <w:pStyle w:val="Heading2"/>
      </w:pPr>
      <w:r>
        <w:t>7.2 What is on the page</w:t>
      </w:r>
    </w:p>
    <w:p>
      <w:pPr>
        <w:pStyle w:val="ListBullet"/>
        <w:spacing w:after="40"/>
      </w:pPr>
      <w:r>
        <w:rPr>
          <w:b/>
        </w:rPr>
        <w:t>Current plan strip:</w:t>
      </w:r>
      <w:r>
        <w:t xml:space="preserve"> net profit, profit %, revenue, ad spend, ROAS and media revenue of the plan as it ran.</w:t>
      </w:r>
    </w:p>
    <w:p>
      <w:pPr>
        <w:pStyle w:val="ListBullet"/>
        <w:spacing w:after="40"/>
      </w:pPr>
      <w:r>
        <w:rPr>
          <w:b/>
        </w:rPr>
        <w:t>Net profit gain:</w:t>
      </w:r>
      <w:r>
        <w:t xml:space="preserve"> the extra net profit of the optimized plan, profit % before → after, how much money is moved (in total and by kind of move), and </w:t>
      </w:r>
      <w:r>
        <w:rPr>
          <w:b/>
        </w:rPr>
        <w:t>How sure</w:t>
      </w:r>
      <w:r>
        <w:t>: the P10 – P90 range of the gain and the share of the 40 refits in which the plan gains.</w:t>
      </w:r>
    </w:p>
    <w:p>
      <w:pPr>
        <w:pStyle w:val="ListBullet"/>
        <w:spacing w:after="40"/>
      </w:pPr>
      <w:r>
        <w:rPr>
          <w:b/>
        </w:rPr>
        <w:t>Current plan vs optimized:</w:t>
      </w:r>
      <w:r>
        <w:t xml:space="preserve"> every figure side by side, with the change and its P10 – P90 range.</w:t>
      </w:r>
    </w:p>
    <w:p>
      <w:pPr>
        <w:pStyle w:val="ListBullet"/>
        <w:spacing w:after="40"/>
      </w:pPr>
      <w:r>
        <w:rPr>
          <w:b/>
        </w:rPr>
        <w:t>Week by week:</w:t>
      </w:r>
      <w:r>
        <w:t xml:space="preserve"> profit or revenue per week for both plans, with the range. Hover for ad spend before → after.</w:t>
      </w:r>
    </w:p>
    <w:p>
      <w:pPr>
        <w:pStyle w:val="ListBullet"/>
        <w:spacing w:after="40"/>
      </w:pPr>
      <w:r>
        <w:rPr>
          <w:b/>
        </w:rPr>
        <w:t>Spend response:</w:t>
      </w:r>
      <w:r>
        <w:t xml:space="preserve"> for all channels together or one channel, how media revenue grows with budget. The dots mark each plan’s budget, and the dashed line marks break-even.</w:t>
      </w:r>
    </w:p>
    <w:p>
      <w:pPr>
        <w:pStyle w:val="ListBullet"/>
        <w:spacing w:after="40"/>
      </w:pPr>
      <w:r>
        <w:rPr>
          <w:b/>
        </w:rPr>
        <w:t>Budget reallocations:</w:t>
      </w:r>
      <w:r>
        <w:t xml:space="preserve"> every move of money, e.g. “TV · W38 → W36 · ₹78.29 L”. Filter by kind of move, view by where money leaves or arrives, and search.</w:t>
      </w:r>
    </w:p>
    <w:p>
      <w:pPr>
        <w:pStyle w:val="ListBullet"/>
        <w:spacing w:after="40"/>
      </w:pPr>
      <w:r>
        <w:rPr>
          <w:b/>
        </w:rPr>
        <w:t>Channel budgets:</w:t>
      </w:r>
      <w:r>
        <w:t xml:space="preserve"> each channel’s current and optimized budget, change, money moved out and in, and its change in media revenue.</w:t>
      </w:r>
    </w:p>
    <w:tbl>
      <w:tblPr>
        <w:tblW w:type="auto" w:w="0"/>
        <w:tblLook w:firstColumn="1" w:firstRow="1" w:lastColumn="0" w:lastRow="0" w:noHBand="0" w:noVBand="1" w:val="04A0"/>
      </w:tblPr>
      <w:tblGrid>
        <w:gridCol w:w="9638"/>
      </w:tblGrid>
      <w:tr>
        <w:tc>
          <w:tcPr>
            <w:tcW w:type="dxa" w:w="9638"/>
            <w:shd w:val="clear" w:color="auto" w:fill="EAF0F8"/>
          </w:tcPr>
          <w:p>
            <w:r>
              <w:rPr>
                <w:b/>
                <w:color w:val="1F3A68"/>
              </w:rPr>
              <w:t>Example (reference data)</w:t>
            </w:r>
          </w:p>
          <w:p>
            <w:r>
              <w:t>Period W27 – W39 2026 (13 weeks), budget ₹55.96 Cr, kept fixed.</w:t>
            </w:r>
          </w:p>
          <w:p>
            <w:r>
              <w:t>Current plan: net profit ₹335.62 Cr, ROAS 1.81x. Optimized: net profit ₹351.94 Cr, ROAS 2.11x.</w:t>
            </w:r>
          </w:p>
          <w:p>
            <w:r>
              <w:rPr>
                <w:b/>
              </w:rPr>
              <w:t>Gain +₹16.31 Cr</w:t>
            </w:r>
            <w:r>
              <w:t xml:space="preserve"> (likely between +₹10.12 Cr and +₹18.49 Cr; the plan gains in 100% of refits).</w:t>
            </w:r>
          </w:p>
          <w:p>
            <w:r>
              <w:t>₹20.37 Cr (36.4% of the budget) moves: ₹6.84 Cr re-timed within channels, ₹8.38 Cr across channels in the same week and ₹5.15 Cr across both.</w:t>
            </w:r>
          </w:p>
        </w:tc>
      </w:tr>
    </w:tbl>
    <w:p>
      <w:pPr>
        <w:spacing w:after="0"/>
      </w:pPr>
    </w:p>
    <w:p>
      <w:pPr>
        <w:jc w:val="center"/>
      </w:pPr>
      <w:r>
        <w:drawing>
          <wp:inline xmlns:a="http://schemas.openxmlformats.org/drawingml/2006/main" xmlns:pic="http://schemas.openxmlformats.org/drawingml/2006/picture">
            <wp:extent cx="5940000" cy="4125000"/>
            <wp:docPr id="7" name="Picture 7"/>
            <wp:cNvGraphicFramePr>
              <a:graphicFrameLocks noChangeAspect="1"/>
            </wp:cNvGraphicFramePr>
            <a:graphic>
              <a:graphicData uri="http://schemas.openxmlformats.org/drawingml/2006/picture">
                <pic:pic>
                  <pic:nvPicPr>
                    <pic:cNvPr id="0" name="mmm-optimizer-2.png"/>
                    <pic:cNvPicPr/>
                  </pic:nvPicPr>
                  <pic:blipFill>
                    <a:blip r:embed="rId16"/>
                    <a:stretch>
                      <a:fillRect/>
                    </a:stretch>
                  </pic:blipFill>
                  <pic:spPr>
                    <a:xfrm>
                      <a:off x="0" y="0"/>
                      <a:ext cx="5940000" cy="4125000"/>
                    </a:xfrm>
                    <a:prstGeom prst="rect"/>
                  </pic:spPr>
                </pic:pic>
              </a:graphicData>
            </a:graphic>
          </wp:inline>
        </w:drawing>
      </w:r>
    </w:p>
    <w:p>
      <w:pPr>
        <w:jc w:val="center"/>
      </w:pPr>
      <w:r>
        <w:rPr>
          <w:i/>
          <w:color w:val="555F6D"/>
          <w:sz w:val="18"/>
        </w:rPr>
        <w:t>Figure 7.2 – Week by week, spend response and the start of the reallocation table.</w:t>
      </w:r>
    </w:p>
    <w:p>
      <w:r>
        <w:br w:type="page"/>
      </w:r>
    </w:p>
    <w:p>
      <w:pPr>
        <w:pStyle w:val="Heading1"/>
      </w:pPr>
      <w:r>
        <w:t>8. Budget Allocator</w:t>
      </w:r>
    </w:p>
    <w:p>
      <w:pPr>
        <w:jc w:val="center"/>
      </w:pPr>
      <w:r>
        <w:drawing>
          <wp:inline xmlns:a="http://schemas.openxmlformats.org/drawingml/2006/main" xmlns:pic="http://schemas.openxmlformats.org/drawingml/2006/picture">
            <wp:extent cx="5940000" cy="4125000"/>
            <wp:docPr id="8" name="Picture 8"/>
            <wp:cNvGraphicFramePr>
              <a:graphicFrameLocks noChangeAspect="1"/>
            </wp:cNvGraphicFramePr>
            <a:graphic>
              <a:graphicData uri="http://schemas.openxmlformats.org/drawingml/2006/picture">
                <pic:pic>
                  <pic:nvPicPr>
                    <pic:cNvPr id="0" name="mmm-allocator-0.png"/>
                    <pic:cNvPicPr/>
                  </pic:nvPicPr>
                  <pic:blipFill>
                    <a:blip r:embed="rId17"/>
                    <a:stretch>
                      <a:fillRect/>
                    </a:stretch>
                  </pic:blipFill>
                  <pic:spPr>
                    <a:xfrm>
                      <a:off x="0" y="0"/>
                      <a:ext cx="5940000" cy="4125000"/>
                    </a:xfrm>
                    <a:prstGeom prst="rect"/>
                  </pic:spPr>
                </pic:pic>
              </a:graphicData>
            </a:graphic>
          </wp:inline>
        </w:drawing>
      </w:r>
    </w:p>
    <w:p>
      <w:pPr>
        <w:jc w:val="center"/>
      </w:pPr>
      <w:r>
        <w:rPr>
          <w:i/>
          <w:color w:val="555F6D"/>
          <w:sz w:val="18"/>
        </w:rPr>
        <w:t>Figure 8.1 – Budget Allocator: your budget, what optimizing adds, and actual vs your budget.</w:t>
      </w:r>
    </w:p>
    <w:p>
      <w:r>
        <w:rPr>
          <w:b/>
        </w:rPr>
        <w:t>Question it answers:</w:t>
      </w:r>
      <w:r>
        <w:t xml:space="preserve"> “If my budget for this period is X, what is the best split across channels, what will it earn, and is X the right size?”</w:t>
      </w:r>
    </w:p>
    <w:p>
      <w:pPr>
        <w:pStyle w:val="ListBullet"/>
        <w:spacing w:after="40"/>
      </w:pPr>
      <w:r>
        <w:rPr>
          <w:b/>
        </w:rPr>
        <w:t>Your budget:</w:t>
      </w:r>
      <w:r>
        <w:t xml:space="preserve"> type an amount (₹ Cr or $ M), or use the quick buttons: 25% / 10% less, Actual, 10% / 25% / 50% more, or </w:t>
      </w:r>
      <w:r>
        <w:rPr>
          <w:b/>
        </w:rPr>
        <w:t>Profit peak</w:t>
      </w:r>
      <w:r>
        <w:t xml:space="preserve"> (the budget that earns the most profit).</w:t>
      </w:r>
    </w:p>
    <w:p>
      <w:pPr>
        <w:pStyle w:val="ListBullet"/>
        <w:spacing w:after="40"/>
      </w:pPr>
      <w:r>
        <w:t xml:space="preserve">Same </w:t>
      </w:r>
      <w:r>
        <w:rPr>
          <w:b/>
        </w:rPr>
        <w:t>Period</w:t>
      </w:r>
      <w:r>
        <w:t xml:space="preserve">, </w:t>
      </w:r>
      <w:r>
        <w:rPr>
          <w:b/>
        </w:rPr>
        <w:t>Reallocate across</w:t>
      </w:r>
      <w:r>
        <w:t xml:space="preserve"> and </w:t>
      </w:r>
      <w:r>
        <w:rPr>
          <w:b/>
        </w:rPr>
        <w:t>Past data / Forecast plan</w:t>
      </w:r>
      <w:r>
        <w:t xml:space="preserve"> controls as the Optimizer. No per-channel limits: only the total is fixed.</w:t>
      </w:r>
    </w:p>
    <w:p>
      <w:pPr>
        <w:pStyle w:val="ListBullet"/>
        <w:spacing w:after="40"/>
      </w:pPr>
      <w:r>
        <w:t xml:space="preserve">Three plans are compared: </w:t>
      </w:r>
      <w:r>
        <w:rPr>
          <w:b/>
        </w:rPr>
        <w:t>Actual</w:t>
      </w:r>
      <w:r>
        <w:t xml:space="preserve"> (what was spent), </w:t>
      </w:r>
      <w:r>
        <w:rPr>
          <w:b/>
        </w:rPr>
        <w:t>Same mix</w:t>
      </w:r>
      <w:r>
        <w:t xml:space="preserve"> (your budget, split like the actual plan) and </w:t>
      </w:r>
      <w:r>
        <w:rPr>
          <w:b/>
        </w:rPr>
        <w:t>Optimized</w:t>
      </w:r>
      <w:r>
        <w:t xml:space="preserve"> (your budget, split for the most profit). The </w:t>
      </w:r>
      <w:r>
        <w:rPr>
          <w:b/>
        </w:rPr>
        <w:t>baseline</w:t>
      </w:r>
      <w:r>
        <w:t xml:space="preserve"> (revenue without ads) is the same in all three.</w:t>
      </w:r>
    </w:p>
    <w:p>
      <w:pPr>
        <w:pStyle w:val="ListBullet"/>
        <w:spacing w:after="40"/>
      </w:pPr>
      <w:r>
        <w:rPr>
          <w:b/>
        </w:rPr>
        <w:t>What optimizing adds:</w:t>
      </w:r>
      <w:r>
        <w:t xml:space="preserve"> the extra net profit of the optimized split over the same mix. It is broken down into the effect of the budget change and the effect of a better split.</w:t>
      </w:r>
    </w:p>
    <w:p>
      <w:pPr>
        <w:pStyle w:val="ListBullet"/>
        <w:spacing w:after="40"/>
      </w:pPr>
      <w:r>
        <w:rPr>
          <w:b/>
        </w:rPr>
        <w:t>Net profit at every budget:</w:t>
      </w:r>
      <w:r>
        <w:t xml:space="preserve"> a curve from ₹0 to 3× the actual budget, re-optimized at every point, with the profit peak marked.</w:t>
      </w:r>
    </w:p>
    <w:p>
      <w:pPr>
        <w:pStyle w:val="ListBullet"/>
        <w:spacing w:after="40"/>
      </w:pPr>
      <w:r>
        <w:rPr>
          <w:b/>
        </w:rPr>
        <w:t>Optimal spend by channel:</w:t>
      </w:r>
      <w:r>
        <w:t xml:space="preserve"> actual, same-mix and optimized spend, share of budget, change, media revenue and what the next ₹1 returns. ⚠ marks spend above anything seen in the data.</w:t>
      </w:r>
    </w:p>
    <w:p>
      <w:pPr>
        <w:jc w:val="center"/>
      </w:pPr>
      <w:r>
        <w:drawing>
          <wp:inline xmlns:a="http://schemas.openxmlformats.org/drawingml/2006/main" xmlns:pic="http://schemas.openxmlformats.org/drawingml/2006/picture">
            <wp:extent cx="5940000" cy="4125000"/>
            <wp:docPr id="9" name="Picture 9"/>
            <wp:cNvGraphicFramePr>
              <a:graphicFrameLocks noChangeAspect="1"/>
            </wp:cNvGraphicFramePr>
            <a:graphic>
              <a:graphicData uri="http://schemas.openxmlformats.org/drawingml/2006/picture">
                <pic:pic>
                  <pic:nvPicPr>
                    <pic:cNvPr id="0" name="mmm-allocator-1.png"/>
                    <pic:cNvPicPr/>
                  </pic:nvPicPr>
                  <pic:blipFill>
                    <a:blip r:embed="rId18"/>
                    <a:stretch>
                      <a:fillRect/>
                    </a:stretch>
                  </pic:blipFill>
                  <pic:spPr>
                    <a:xfrm>
                      <a:off x="0" y="0"/>
                      <a:ext cx="5940000" cy="4125000"/>
                    </a:xfrm>
                    <a:prstGeom prst="rect"/>
                  </pic:spPr>
                </pic:pic>
              </a:graphicData>
            </a:graphic>
          </wp:inline>
        </w:drawing>
      </w:r>
    </w:p>
    <w:p>
      <w:pPr>
        <w:jc w:val="center"/>
      </w:pPr>
      <w:r>
        <w:rPr>
          <w:i/>
          <w:color w:val="555F6D"/>
          <w:sz w:val="18"/>
        </w:rPr>
        <w:t>Figure 8.2 – Net profit at every budget, and the optimal spend by channel.</w:t>
      </w:r>
    </w:p>
    <w:tbl>
      <w:tblPr>
        <w:tblW w:type="auto" w:w="0"/>
        <w:tblLook w:firstColumn="1" w:firstRow="1" w:lastColumn="0" w:lastRow="0" w:noHBand="0" w:noVBand="1" w:val="04A0"/>
      </w:tblPr>
      <w:tblGrid>
        <w:gridCol w:w="9638"/>
      </w:tblGrid>
      <w:tr>
        <w:tc>
          <w:tcPr>
            <w:tcW w:type="dxa" w:w="9638"/>
            <w:shd w:val="clear" w:color="auto" w:fill="EAF0F8"/>
          </w:tcPr>
          <w:p>
            <w:r>
              <w:rPr>
                <w:b/>
                <w:color w:val="1F3A68"/>
              </w:rPr>
              <w:t>Example (reference data)</w:t>
            </w:r>
          </w:p>
          <w:p>
            <w:r>
              <w:t>Period W27 – W39 2026, actual spend ₹55.96 Cr.</w:t>
            </w:r>
          </w:p>
          <w:p>
            <w:r>
              <w:t xml:space="preserve">At the </w:t>
            </w:r>
            <w:r>
              <w:rPr>
                <w:b/>
              </w:rPr>
              <w:t>same ₹55.96 Cr</w:t>
            </w:r>
            <w:r>
              <w:t xml:space="preserve">, optimizing adds </w:t>
            </w:r>
            <w:r>
              <w:rPr>
                <w:b/>
              </w:rPr>
              <w:t>+₹16.31 Cr</w:t>
            </w:r>
            <w:r>
              <w:t xml:space="preserve"> of net profit.</w:t>
            </w:r>
          </w:p>
          <w:p>
            <w:r>
              <w:t xml:space="preserve">At </w:t>
            </w:r>
            <w:r>
              <w:rPr>
                <w:b/>
              </w:rPr>
              <w:t>25% more (₹69.95 Cr)</w:t>
            </w:r>
            <w:r>
              <w:t xml:space="preserve">, the same mix would earn ₹3.62 Cr *less* than actual (extra spend past the point of return), but the optimized split earns ₹350.81 Cr, </w:t>
            </w:r>
            <w:r>
              <w:rPr>
                <w:b/>
              </w:rPr>
              <w:t>+₹18.80 Cr</w:t>
            </w:r>
            <w:r>
              <w:t xml:space="preserve"> over the same mix.</w:t>
            </w:r>
          </w:p>
          <w:p>
            <w:r>
              <w:t xml:space="preserve">The profit peak is about </w:t>
            </w:r>
            <w:r>
              <w:rPr>
                <w:b/>
              </w:rPr>
              <w:t>₹56.03 Cr</w:t>
            </w:r>
            <w:r>
              <w:t>: the budget was already close to the right size, so the gain comes from the split.</w:t>
            </w:r>
          </w:p>
        </w:tc>
      </w:tr>
    </w:tbl>
    <w:p>
      <w:pPr>
        <w:spacing w:after="0"/>
      </w:pPr>
    </w:p>
    <w:p>
      <w:r>
        <w:br w:type="page"/>
      </w:r>
    </w:p>
    <w:p>
      <w:pPr>
        <w:pStyle w:val="Heading1"/>
      </w:pPr>
      <w:r>
        <w:t>9. Revenue Forecast</w:t>
      </w:r>
    </w:p>
    <w:p>
      <w:pPr>
        <w:jc w:val="center"/>
      </w:pPr>
      <w:r>
        <w:drawing>
          <wp:inline xmlns:a="http://schemas.openxmlformats.org/drawingml/2006/main" xmlns:pic="http://schemas.openxmlformats.org/drawingml/2006/picture">
            <wp:extent cx="5940000" cy="4125000"/>
            <wp:docPr id="10" name="Picture 10"/>
            <wp:cNvGraphicFramePr>
              <a:graphicFrameLocks noChangeAspect="1"/>
            </wp:cNvGraphicFramePr>
            <a:graphic>
              <a:graphicData uri="http://schemas.openxmlformats.org/drawingml/2006/picture">
                <pic:pic>
                  <pic:nvPicPr>
                    <pic:cNvPr id="0" name="mmm-forecast-0.png"/>
                    <pic:cNvPicPr/>
                  </pic:nvPicPr>
                  <pic:blipFill>
                    <a:blip r:embed="rId19"/>
                    <a:stretch>
                      <a:fillRect/>
                    </a:stretch>
                  </pic:blipFill>
                  <pic:spPr>
                    <a:xfrm>
                      <a:off x="0" y="0"/>
                      <a:ext cx="5940000" cy="4125000"/>
                    </a:xfrm>
                    <a:prstGeom prst="rect"/>
                  </pic:spPr>
                </pic:pic>
              </a:graphicData>
            </a:graphic>
          </wp:inline>
        </w:drawing>
      </w:r>
    </w:p>
    <w:p>
      <w:pPr>
        <w:jc w:val="center"/>
      </w:pPr>
      <w:r>
        <w:rPr>
          <w:i/>
          <w:color w:val="555F6D"/>
          <w:sz w:val="18"/>
        </w:rPr>
        <w:t>Figure 9.1 – Revenue Forecast with a 1-year plan: KPIs with ranges and the link to planning.</w:t>
      </w:r>
    </w:p>
    <w:p>
      <w:r>
        <w:rPr>
          <w:b/>
        </w:rPr>
        <w:t>Purpose.</w:t>
      </w:r>
      <w:r>
        <w:t xml:space="preserve"> Upload a daily ad plan for future dates </w:t>
      </w:r>
      <w:r>
        <w:rPr>
          <w:b/>
        </w:rPr>
        <w:t>without a Revenue column</w:t>
      </w:r>
      <w:r>
        <w:t>. The page predicts each day’s revenue, net profit and KPIs, and lets you open the plan in the Optimizer or Allocator.</w:t>
      </w:r>
    </w:p>
    <w:p>
      <w:pPr>
        <w:pStyle w:val="Heading2"/>
      </w:pPr>
      <w:r>
        <w:t>9.1 The file</w:t>
      </w:r>
    </w:p>
    <w:p>
      <w:pPr>
        <w:pStyle w:val="ListBullet"/>
        <w:spacing w:after="40"/>
      </w:pPr>
      <w:r>
        <w:t xml:space="preserve">One row per day, </w:t>
      </w:r>
      <w:r>
        <w:rPr>
          <w:b/>
        </w:rPr>
        <w:t>starting after the last day of the data</w:t>
      </w:r>
      <w:r>
        <w:t xml:space="preserve"> (30 Sep 2026). It uses the same columns as the data, without Revenue: Date, each channel’s spend (0 on days without ads), and the flags, discount and promotion type.</w:t>
      </w:r>
    </w:p>
    <w:p>
      <w:pPr>
        <w:pStyle w:val="ListBullet"/>
        <w:spacing w:after="40"/>
      </w:pPr>
      <w:r>
        <w:rPr>
          <w:b/>
        </w:rPr>
        <w:t>Sample plans</w:t>
      </w:r>
      <w:r>
        <w:t xml:space="preserve"> of 1–5 years can be downloaded from the page (also in </w:t>
      </w:r>
      <w:r>
        <w:rPr>
          <w:rFonts w:ascii="Consolas" w:hAnsi="Consolas" w:eastAsia="Consolas"/>
          <w:sz w:val="19"/>
        </w:rPr>
        <w:t>Data/mmm/future/</w:t>
      </w:r>
      <w:r>
        <w:t>). Each future week copies the same week from one of the last four years, so the samples keep real patterns: about half the days have no ads, festival and promotion days recur, and spend grows about 3% a year.</w:t>
      </w:r>
    </w:p>
    <w:p>
      <w:pPr>
        <w:pStyle w:val="ListBullet"/>
        <w:spacing w:after="40"/>
      </w:pPr>
      <w:r>
        <w:t>Unusable files are refused with a reason: dates not after the data, duplicate days, negative spend, or text in a number column. Assumptions are listed on screen, such as a missing channel taken as zero or a Revenue column ignored.</w:t>
      </w:r>
    </w:p>
    <w:p>
      <w:pPr>
        <w:pStyle w:val="Heading2"/>
      </w:pPr>
      <w:r>
        <w:t>9.2 What is on the page</w:t>
      </w:r>
    </w:p>
    <w:p>
      <w:pPr>
        <w:pStyle w:val="ListBullet"/>
        <w:spacing w:after="40"/>
      </w:pPr>
      <w:r>
        <w:t xml:space="preserve">The </w:t>
      </w:r>
      <w:r>
        <w:rPr>
          <w:b/>
        </w:rPr>
        <w:t>plan bar</w:t>
      </w:r>
      <w:r>
        <w:t xml:space="preserve"> with the file name, dates, days, ad days and channels, plus </w:t>
      </w:r>
      <w:r>
        <w:rPr>
          <w:b/>
        </w:rPr>
        <w:t>Replace file</w:t>
      </w:r>
      <w:r>
        <w:t xml:space="preserve">, </w:t>
      </w:r>
      <w:r>
        <w:rPr>
          <w:b/>
        </w:rPr>
        <w:t>Download predictions</w:t>
      </w:r>
      <w:r>
        <w:t xml:space="preserve"> (the file with predicted revenue, P10/P90, baseline, media revenue and net profit added) and </w:t>
      </w:r>
      <w:r>
        <w:rPr>
          <w:b/>
        </w:rPr>
        <w:t>Remove</w:t>
      </w:r>
      <w:r>
        <w:t>.</w:t>
      </w:r>
    </w:p>
    <w:p>
      <w:pPr>
        <w:pStyle w:val="ListBullet"/>
        <w:spacing w:after="40"/>
      </w:pPr>
      <w:r>
        <w:rPr>
          <w:b/>
        </w:rPr>
        <w:t>Forecast KPIs:</w:t>
      </w:r>
      <w:r>
        <w:t xml:space="preserve"> revenue, net profit, profit %, ad spend, ROAS and media revenue, each with a P10 – P90 range.</w:t>
      </w:r>
    </w:p>
    <w:p>
      <w:pPr>
        <w:pStyle w:val="ListBullet"/>
        <w:spacing w:after="40"/>
      </w:pPr>
      <w:r>
        <w:rPr>
          <w:b/>
        </w:rPr>
        <w:t>Plan this forecast:</w:t>
      </w:r>
      <w:r>
        <w:t xml:space="preserve"> opens the plan’s weeks in the </w:t>
      </w:r>
      <w:r>
        <w:rPr>
          <w:b/>
        </w:rPr>
        <w:t>Budget Optimizer</w:t>
      </w:r>
      <w:r>
        <w:t xml:space="preserve"> or </w:t>
      </w:r>
      <w:r>
        <w:rPr>
          <w:b/>
        </w:rPr>
        <w:t>Budget Allocator</w:t>
      </w:r>
      <w:r>
        <w:t>.</w:t>
      </w:r>
    </w:p>
    <w:p>
      <w:pPr>
        <w:pStyle w:val="ListBullet"/>
        <w:spacing w:after="40"/>
      </w:pPr>
      <w:r>
        <w:rPr>
          <w:b/>
        </w:rPr>
        <w:t>Forecast over time:</w:t>
      </w:r>
      <w:r>
        <w:t xml:space="preserve"> revenue (with the baseline line), net profit, media revenue or ad spend, daily, weekly or monthly.</w:t>
      </w:r>
    </w:p>
    <w:p>
      <w:pPr>
        <w:pStyle w:val="ListBullet"/>
        <w:spacing w:after="40"/>
      </w:pPr>
      <w:r>
        <w:rPr>
          <w:b/>
        </w:rPr>
        <w:t>Year by year</w:t>
      </w:r>
      <w:r>
        <w:t xml:space="preserve"> and </w:t>
      </w:r>
      <w:r>
        <w:rPr>
          <w:b/>
        </w:rPr>
        <w:t>Channels in the plan</w:t>
      </w:r>
      <w:r>
        <w:t xml:space="preserve"> tables.</w:t>
      </w:r>
    </w:p>
    <w:p>
      <w:pPr>
        <w:jc w:val="center"/>
      </w:pPr>
      <w:r>
        <w:drawing>
          <wp:inline xmlns:a="http://schemas.openxmlformats.org/drawingml/2006/main" xmlns:pic="http://schemas.openxmlformats.org/drawingml/2006/picture">
            <wp:extent cx="5940000" cy="4125000"/>
            <wp:docPr id="11" name="Picture 11"/>
            <wp:cNvGraphicFramePr>
              <a:graphicFrameLocks noChangeAspect="1"/>
            </wp:cNvGraphicFramePr>
            <a:graphic>
              <a:graphicData uri="http://schemas.openxmlformats.org/drawingml/2006/picture">
                <pic:pic>
                  <pic:nvPicPr>
                    <pic:cNvPr id="0" name="mmm-forecast-1.png"/>
                    <pic:cNvPicPr/>
                  </pic:nvPicPr>
                  <pic:blipFill>
                    <a:blip r:embed="rId20"/>
                    <a:stretch>
                      <a:fillRect/>
                    </a:stretch>
                  </pic:blipFill>
                  <pic:spPr>
                    <a:xfrm>
                      <a:off x="0" y="0"/>
                      <a:ext cx="5940000" cy="4125000"/>
                    </a:xfrm>
                    <a:prstGeom prst="rect"/>
                  </pic:spPr>
                </pic:pic>
              </a:graphicData>
            </a:graphic>
          </wp:inline>
        </w:drawing>
      </w:r>
    </w:p>
    <w:p>
      <w:pPr>
        <w:jc w:val="center"/>
      </w:pPr>
      <w:r>
        <w:rPr>
          <w:i/>
          <w:color w:val="555F6D"/>
          <w:sz w:val="18"/>
        </w:rPr>
        <w:t>Figure 9.2 – Forecast over time and the year-by-year table.</w:t>
      </w:r>
    </w:p>
    <w:tbl>
      <w:tblPr>
        <w:tblW w:type="auto" w:w="0"/>
        <w:tblLook w:firstColumn="1" w:firstRow="1" w:lastColumn="0" w:lastRow="0" w:noHBand="0" w:noVBand="1" w:val="04A0"/>
      </w:tblPr>
      <w:tblGrid>
        <w:gridCol w:w="9638"/>
      </w:tblGrid>
      <w:tr>
        <w:tc>
          <w:tcPr>
            <w:tcW w:type="dxa" w:w="9638"/>
            <w:shd w:val="clear" w:color="auto" w:fill="EAF0F8"/>
          </w:tcPr>
          <w:p>
            <w:r>
              <w:rPr>
                <w:b/>
                <w:color w:val="1F3A68"/>
              </w:rPr>
              <w:t>Example (sample plans)</w:t>
            </w:r>
          </w:p>
          <w:p>
            <w:r>
              <w:rPr>
                <w:b/>
              </w:rPr>
              <w:t>1-year sample</w:t>
            </w:r>
            <w:r>
              <w:t xml:space="preserve"> (1 Oct 2026 – 30 Sep 2027, ₹217.13 Cr of ads on 173 days): revenue ₹1,577.18 Cr (₹1,558.49 – 1,602.58 Cr), of which ₹1,180.98 Cr is baseline. Net profit ₹1,360.05 Cr, ROAS 1.82x.</w:t>
            </w:r>
          </w:p>
          <w:p>
            <w:r>
              <w:rPr>
                <w:b/>
              </w:rPr>
              <w:t>5-year sample</w:t>
            </w:r>
            <w:r>
              <w:t>: revenue ₹8,401.78 Cr from ₹1,222.33 Cr of ads (ROAS 1.74x), rising from ₹1,577 Cr in year 1 to ₹1,798 Cr in year 5.</w:t>
            </w:r>
          </w:p>
          <w:p>
            <w:r>
              <w:t xml:space="preserve">Opened in the Optimizer, the first 13 forecast weeks gain </w:t>
            </w:r>
            <w:r>
              <w:rPr>
                <w:b/>
              </w:rPr>
              <w:t>+₹14.04 Cr</w:t>
            </w:r>
            <w:r>
              <w:t xml:space="preserve"> of net profit at the same budget.</w:t>
            </w:r>
          </w:p>
        </w:tc>
      </w:tr>
    </w:tbl>
    <w:p>
      <w:pPr>
        <w:spacing w:after="0"/>
      </w:pPr>
    </w:p>
    <w:p>
      <w:r>
        <w:br w:type="page"/>
      </w:r>
    </w:p>
    <w:p>
      <w:pPr>
        <w:pStyle w:val="Heading1"/>
      </w:pPr>
      <w:r>
        <w:t>10. Reports and Settings</w:t>
      </w:r>
    </w:p>
    <w:p>
      <w:pPr>
        <w:pStyle w:val="Heading2"/>
      </w:pPr>
      <w:r>
        <w:t>10.1 Reports</w:t>
      </w:r>
    </w:p>
    <w:p>
      <w:pPr>
        <w:jc w:val="center"/>
      </w:pPr>
      <w:r>
        <w:drawing>
          <wp:inline xmlns:a="http://schemas.openxmlformats.org/drawingml/2006/main" xmlns:pic="http://schemas.openxmlformats.org/drawingml/2006/picture">
            <wp:extent cx="5400000" cy="3750000"/>
            <wp:docPr id="12" name="Picture 12"/>
            <wp:cNvGraphicFramePr>
              <a:graphicFrameLocks noChangeAspect="1"/>
            </wp:cNvGraphicFramePr>
            <a:graphic>
              <a:graphicData uri="http://schemas.openxmlformats.org/drawingml/2006/picture">
                <pic:pic>
                  <pic:nvPicPr>
                    <pic:cNvPr id="0" name="mmm-reports-0.png"/>
                    <pic:cNvPicPr/>
                  </pic:nvPicPr>
                  <pic:blipFill>
                    <a:blip r:embed="rId21"/>
                    <a:stretch>
                      <a:fillRect/>
                    </a:stretch>
                  </pic:blipFill>
                  <pic:spPr>
                    <a:xfrm>
                      <a:off x="0" y="0"/>
                      <a:ext cx="5400000" cy="3750000"/>
                    </a:xfrm>
                    <a:prstGeom prst="rect"/>
                  </pic:spPr>
                </pic:pic>
              </a:graphicData>
            </a:graphic>
          </wp:inline>
        </w:drawing>
      </w:r>
    </w:p>
    <w:p>
      <w:pPr>
        <w:jc w:val="center"/>
      </w:pPr>
      <w:r>
        <w:rPr>
          <w:i/>
          <w:color w:val="555F6D"/>
          <w:sz w:val="18"/>
        </w:rPr>
        <w:t>Figure 10.1 – Reports: the MMM report library.</w:t>
      </w:r>
    </w:p>
    <w:p>
      <w:r>
        <w:t xml:space="preserve">Each </w:t>
      </w:r>
      <w:r>
        <w:rPr>
          <w:b/>
        </w:rPr>
        <w:t>Export</w:t>
      </w:r>
      <w:r>
        <w:t xml:space="preserve"> on the Insights Hub creates a report in Excel and PDF from the current view. It contains the headline figures with their comparisons, the scope, the baseline calculation, media spend by channel, the monthly trend, promotions and days with vs without events. On the Reports page you can filter, search, preview, download or delete reports.</w:t>
      </w:r>
    </w:p>
    <w:p>
      <w:pPr>
        <w:pStyle w:val="Heading2"/>
      </w:pPr>
      <w:r>
        <w:t>10.2 Settings</w:t>
      </w:r>
    </w:p>
    <w:p>
      <w:pPr>
        <w:jc w:val="center"/>
      </w:pPr>
      <w:r>
        <w:drawing>
          <wp:inline xmlns:a="http://schemas.openxmlformats.org/drawingml/2006/main" xmlns:pic="http://schemas.openxmlformats.org/drawingml/2006/picture">
            <wp:extent cx="5400000" cy="2062500"/>
            <wp:docPr id="13" name="Picture 13"/>
            <wp:cNvGraphicFramePr>
              <a:graphicFrameLocks noChangeAspect="1"/>
            </wp:cNvGraphicFramePr>
            <a:graphic>
              <a:graphicData uri="http://schemas.openxmlformats.org/drawingml/2006/picture">
                <pic:pic>
                  <pic:nvPicPr>
                    <pic:cNvPr id="0" name="crop_mmm-settings-0.png"/>
                    <pic:cNvPicPr/>
                  </pic:nvPicPr>
                  <pic:blipFill>
                    <a:blip r:embed="rId22"/>
                    <a:stretch>
                      <a:fillRect/>
                    </a:stretch>
                  </pic:blipFill>
                  <pic:spPr>
                    <a:xfrm>
                      <a:off x="0" y="0"/>
                      <a:ext cx="5400000" cy="2062500"/>
                    </a:xfrm>
                    <a:prstGeom prst="rect"/>
                  </pic:spPr>
                </pic:pic>
              </a:graphicData>
            </a:graphic>
          </wp:inline>
        </w:drawing>
      </w:r>
    </w:p>
    <w:p>
      <w:pPr>
        <w:jc w:val="center"/>
      </w:pPr>
      <w:r>
        <w:rPr>
          <w:i/>
          <w:color w:val="555F6D"/>
          <w:sz w:val="18"/>
        </w:rPr>
        <w:t>Figure 10.2 – Settings: the MMM dataset card.</w:t>
      </w:r>
    </w:p>
    <w:p>
      <w:r>
        <w:t>Shows whether a dataset is loaded, its source file, period, days, channels, size and where it is stored, with shortcuts to Data Connections and to upload a file. Profile and preferences are shared with the rest of the platform.</w:t>
      </w:r>
    </w:p>
    <w:p>
      <w:pPr>
        <w:pStyle w:val="Heading1"/>
      </w:pPr>
      <w:r>
        <w:t>11. Typical workflows</w:t>
      </w:r>
    </w:p>
    <w:p>
      <w:pPr>
        <w:pStyle w:val="Heading2"/>
      </w:pPr>
      <w:r>
        <w:t>Review last year</w:t>
      </w:r>
    </w:p>
    <w:p>
      <w:pPr>
        <w:spacing w:after="40"/>
        <w:ind w:left="539" w:hanging="283"/>
      </w:pPr>
      <w:r>
        <w:t>1.  Insights Hub → Year = last year. Read Revenue, Spend and ROAS against last year.</w:t>
      </w:r>
    </w:p>
    <w:p>
      <w:pPr>
        <w:spacing w:after="40"/>
        <w:ind w:left="539" w:hanging="283"/>
      </w:pPr>
      <w:r>
        <w:t xml:space="preserve">2.  Open the Revenue Decomposition and click </w:t>
      </w:r>
      <w:r>
        <w:rPr>
          <w:b/>
        </w:rPr>
        <w:t>Ad Spend</w:t>
      </w:r>
      <w:r>
        <w:t xml:space="preserve"> to see which families drove revenue.</w:t>
      </w:r>
    </w:p>
    <w:p>
      <w:pPr>
        <w:spacing w:after="40"/>
        <w:ind w:left="539" w:hanging="283"/>
      </w:pPr>
      <w:r>
        <w:t xml:space="preserve">3.  Check </w:t>
      </w:r>
      <w:r>
        <w:rPr>
          <w:b/>
        </w:rPr>
        <w:t>Days With vs Without Events</w:t>
      </w:r>
      <w:r>
        <w:t xml:space="preserve"> and the promotion-type ROAS.</w:t>
      </w:r>
    </w:p>
    <w:p>
      <w:pPr>
        <w:spacing w:after="40"/>
        <w:ind w:left="539" w:hanging="283"/>
      </w:pPr>
      <w:r>
        <w:t>4.  Export the view for the team.</w:t>
      </w:r>
    </w:p>
    <w:p>
      <w:pPr>
        <w:pStyle w:val="Heading2"/>
      </w:pPr>
      <w:r>
        <w:t>Re-plan a past quarter</w:t>
      </w:r>
    </w:p>
    <w:p>
      <w:pPr>
        <w:spacing w:after="40"/>
        <w:ind w:left="539" w:hanging="283"/>
      </w:pPr>
      <w:r>
        <w:t>1.  Budget Optimizer → pick the quarter.</w:t>
      </w:r>
    </w:p>
    <w:p>
      <w:pPr>
        <w:spacing w:after="40"/>
        <w:ind w:left="539" w:hanging="283"/>
      </w:pPr>
      <w:r>
        <w:t xml:space="preserve">2.  Try </w:t>
      </w:r>
      <w:r>
        <w:rPr>
          <w:b/>
        </w:rPr>
        <w:t>Weeks only</w:t>
      </w:r>
      <w:r>
        <w:t xml:space="preserve"> (timing) and </w:t>
      </w:r>
      <w:r>
        <w:rPr>
          <w:b/>
        </w:rPr>
        <w:t>Channels only</w:t>
      </w:r>
      <w:r>
        <w:t xml:space="preserve"> (mix) to see which matters more.</w:t>
      </w:r>
    </w:p>
    <w:p>
      <w:pPr>
        <w:spacing w:after="40"/>
        <w:ind w:left="539" w:hanging="283"/>
      </w:pPr>
      <w:r>
        <w:t>3.  Read the reallocation table for the concrete moves.</w:t>
      </w:r>
    </w:p>
    <w:p>
      <w:pPr>
        <w:pStyle w:val="Heading2"/>
      </w:pPr>
      <w:r>
        <w:t>Set next year’s budget</w:t>
      </w:r>
    </w:p>
    <w:p>
      <w:pPr>
        <w:spacing w:after="40"/>
        <w:ind w:left="539" w:hanging="283"/>
      </w:pPr>
      <w:r>
        <w:t>1.  Prepare next year’s daily plan (or start from a sample) → Revenue Forecast → upload.</w:t>
      </w:r>
    </w:p>
    <w:p>
      <w:pPr>
        <w:spacing w:after="40"/>
        <w:ind w:left="539" w:hanging="283"/>
      </w:pPr>
      <w:r>
        <w:t>2.  Read the forecast and the yearly table.</w:t>
      </w:r>
    </w:p>
    <w:p>
      <w:pPr>
        <w:spacing w:after="40"/>
        <w:ind w:left="539" w:hanging="283"/>
      </w:pPr>
      <w:r>
        <w:t xml:space="preserve">3.  </w:t>
      </w:r>
      <w:r>
        <w:rPr>
          <w:b/>
        </w:rPr>
        <w:t>Set a budget in Budget Allocator</w:t>
      </w:r>
      <w:r>
        <w:t xml:space="preserve"> → try amounts → use </w:t>
      </w:r>
      <w:r>
        <w:rPr>
          <w:b/>
        </w:rPr>
        <w:t>Profit peak</w:t>
      </w:r>
      <w:r>
        <w:t xml:space="preserve"> to see the best-sized budget.</w:t>
      </w:r>
    </w:p>
    <w:p>
      <w:pPr>
        <w:spacing w:after="40"/>
        <w:ind w:left="539" w:hanging="283"/>
      </w:pPr>
      <w:r>
        <w:t xml:space="preserve">4.  </w:t>
      </w:r>
      <w:r>
        <w:rPr>
          <w:b/>
        </w:rPr>
        <w:t>Optimize in Budget Optimizer</w:t>
      </w:r>
      <w:r>
        <w:t xml:space="preserve"> for the week-by-week moves.</w:t>
      </w:r>
    </w:p>
    <w:p>
      <w:pPr>
        <w:pStyle w:val="Heading1"/>
      </w:pPr>
      <w:r>
        <w:t>12. Glossary</w:t>
      </w:r>
    </w:p>
    <w:tbl>
      <w:tblPr>
        <w:tblStyle w:val="TableGrid"/>
        <w:tblW w:type="auto" w:w="0"/>
        <w:jc w:val="center"/>
        <w:tblLook w:firstColumn="1" w:firstRow="1" w:lastColumn="0" w:lastRow="0" w:noHBand="0" w:noVBand="1" w:val="04A0"/>
      </w:tblPr>
      <w:tblGrid>
        <w:gridCol w:w="4819"/>
        <w:gridCol w:w="4819"/>
      </w:tblGrid>
      <w:tr>
        <w:tc>
          <w:tcPr>
            <w:tcW w:type="dxa" w:w="2551"/>
            <w:shd w:val="clear" w:color="auto" w:fill="EAF0F8"/>
          </w:tcPr>
          <w:p>
            <w:r/>
            <w:r>
              <w:rPr>
                <w:b/>
                <w:color w:val="1F3A68"/>
                <w:sz w:val="18"/>
              </w:rPr>
              <w:t>Term</w:t>
            </w:r>
          </w:p>
        </w:tc>
        <w:tc>
          <w:tcPr>
            <w:tcW w:type="dxa" w:w="7087"/>
            <w:shd w:val="clear" w:color="auto" w:fill="EAF0F8"/>
          </w:tcPr>
          <w:p>
            <w:r/>
            <w:r>
              <w:rPr>
                <w:b/>
                <w:color w:val="1F3A68"/>
                <w:sz w:val="18"/>
              </w:rPr>
              <w:t>Meaning</w:t>
            </w:r>
          </w:p>
        </w:tc>
      </w:tr>
      <w:tr>
        <w:tc>
          <w:tcPr>
            <w:tcW w:type="dxa" w:w="2551"/>
          </w:tcPr>
          <w:p>
            <w:r/>
            <w:r>
              <w:rPr>
                <w:sz w:val="18"/>
              </w:rPr>
              <w:t>Baseline revenue</w:t>
            </w:r>
          </w:p>
        </w:tc>
        <w:tc>
          <w:tcPr>
            <w:tcW w:type="dxa" w:w="7087"/>
          </w:tcPr>
          <w:p>
            <w:r/>
            <w:r>
              <w:rPr>
                <w:sz w:val="18"/>
              </w:rPr>
              <w:t>Revenue the days would earn with no advertising (season, weekday, festivals, promotions, trend).</w:t>
            </w:r>
          </w:p>
        </w:tc>
      </w:tr>
      <w:tr>
        <w:tc>
          <w:tcPr>
            <w:tcW w:type="dxa" w:w="2551"/>
          </w:tcPr>
          <w:p>
            <w:r/>
            <w:r>
              <w:rPr>
                <w:sz w:val="18"/>
              </w:rPr>
              <w:t>Media (incremental) revenue</w:t>
            </w:r>
          </w:p>
        </w:tc>
        <w:tc>
          <w:tcPr>
            <w:tcW w:type="dxa" w:w="7087"/>
          </w:tcPr>
          <w:p>
            <w:r/>
            <w:r>
              <w:rPr>
                <w:sz w:val="18"/>
              </w:rPr>
              <w:t>Revenue above the baseline, caused by ads.</w:t>
            </w:r>
          </w:p>
        </w:tc>
      </w:tr>
      <w:tr>
        <w:tc>
          <w:tcPr>
            <w:tcW w:type="dxa" w:w="2551"/>
          </w:tcPr>
          <w:p>
            <w:r/>
            <w:r>
              <w:rPr>
                <w:sz w:val="18"/>
              </w:rPr>
              <w:t>ROAS</w:t>
            </w:r>
          </w:p>
        </w:tc>
        <w:tc>
          <w:tcPr>
            <w:tcW w:type="dxa" w:w="7087"/>
          </w:tcPr>
          <w:p>
            <w:r/>
            <w:r>
              <w:rPr>
                <w:sz w:val="18"/>
              </w:rPr>
              <w:t>Return on ad spend = media revenue ÷ ad spend. 1.00x means the ads returned their cost.</w:t>
            </w:r>
          </w:p>
        </w:tc>
      </w:tr>
      <w:tr>
        <w:tc>
          <w:tcPr>
            <w:tcW w:type="dxa" w:w="2551"/>
          </w:tcPr>
          <w:p>
            <w:r/>
            <w:r>
              <w:rPr>
                <w:sz w:val="18"/>
              </w:rPr>
              <w:t>Net profit</w:t>
            </w:r>
          </w:p>
        </w:tc>
        <w:tc>
          <w:tcPr>
            <w:tcW w:type="dxa" w:w="7087"/>
          </w:tcPr>
          <w:p>
            <w:r/>
            <w:r>
              <w:rPr>
                <w:sz w:val="18"/>
              </w:rPr>
              <w:t>Revenue − ad spend. The data has no product cost, so this is before the cost of goods.</w:t>
            </w:r>
          </w:p>
        </w:tc>
      </w:tr>
      <w:tr>
        <w:tc>
          <w:tcPr>
            <w:tcW w:type="dxa" w:w="2551"/>
          </w:tcPr>
          <w:p>
            <w:r/>
            <w:r>
              <w:rPr>
                <w:sz w:val="18"/>
              </w:rPr>
              <w:t>Profit %</w:t>
            </w:r>
          </w:p>
        </w:tc>
        <w:tc>
          <w:tcPr>
            <w:tcW w:type="dxa" w:w="7087"/>
          </w:tcPr>
          <w:p>
            <w:r/>
            <w:r>
              <w:rPr>
                <w:sz w:val="18"/>
              </w:rPr>
              <w:t>Net profit ÷ ad spend × 100.</w:t>
            </w:r>
          </w:p>
        </w:tc>
      </w:tr>
      <w:tr>
        <w:tc>
          <w:tcPr>
            <w:tcW w:type="dxa" w:w="2551"/>
          </w:tcPr>
          <w:p>
            <w:r/>
            <w:r>
              <w:rPr>
                <w:sz w:val="18"/>
              </w:rPr>
              <w:t>Carryover (adstock)</w:t>
            </w:r>
          </w:p>
        </w:tc>
        <w:tc>
          <w:tcPr>
            <w:tcW w:type="dxa" w:w="7087"/>
          </w:tcPr>
          <w:p>
            <w:r/>
            <w:r>
              <w:rPr>
                <w:sz w:val="18"/>
              </w:rPr>
              <w:t>An ad keeps working on the following days; a share of each day’s pressure carries to the next.</w:t>
            </w:r>
          </w:p>
        </w:tc>
      </w:tr>
      <w:tr>
        <w:tc>
          <w:tcPr>
            <w:tcW w:type="dxa" w:w="2551"/>
          </w:tcPr>
          <w:p>
            <w:r/>
            <w:r>
              <w:rPr>
                <w:sz w:val="18"/>
              </w:rPr>
              <w:t>Diminishing returns</w:t>
            </w:r>
          </w:p>
        </w:tc>
        <w:tc>
          <w:tcPr>
            <w:tcW w:type="dxa" w:w="7087"/>
          </w:tcPr>
          <w:p>
            <w:r/>
            <w:r>
              <w:rPr>
                <w:sz w:val="18"/>
              </w:rPr>
              <w:t>Each extra rupee in a channel earns less than the one before.</w:t>
            </w:r>
          </w:p>
        </w:tc>
      </w:tr>
      <w:tr>
        <w:tc>
          <w:tcPr>
            <w:tcW w:type="dxa" w:w="2551"/>
          </w:tcPr>
          <w:p>
            <w:r/>
            <w:r>
              <w:rPr>
                <w:sz w:val="18"/>
              </w:rPr>
              <w:t>Marginal return (next ₹1 returns)</w:t>
            </w:r>
          </w:p>
        </w:tc>
        <w:tc>
          <w:tcPr>
            <w:tcW w:type="dxa" w:w="7087"/>
          </w:tcPr>
          <w:p>
            <w:r/>
            <w:r>
              <w:rPr>
                <w:sz w:val="18"/>
              </w:rPr>
              <w:t>What one more rupee in a channel would earn now.</w:t>
            </w:r>
          </w:p>
        </w:tc>
      </w:tr>
      <w:tr>
        <w:tc>
          <w:tcPr>
            <w:tcW w:type="dxa" w:w="2551"/>
          </w:tcPr>
          <w:p>
            <w:r/>
            <w:r>
              <w:rPr>
                <w:sz w:val="18"/>
              </w:rPr>
              <w:t>P10 – P90</w:t>
            </w:r>
          </w:p>
        </w:tc>
        <w:tc>
          <w:tcPr>
            <w:tcW w:type="dxa" w:w="7087"/>
          </w:tcPr>
          <w:p>
            <w:r/>
            <w:r>
              <w:rPr>
                <w:sz w:val="18"/>
              </w:rPr>
              <w:t>The range in which 8 of every 10 model refits fall: a measure of how sure the model is.</w:t>
            </w:r>
          </w:p>
        </w:tc>
      </w:tr>
      <w:tr>
        <w:tc>
          <w:tcPr>
            <w:tcW w:type="dxa" w:w="2551"/>
          </w:tcPr>
          <w:p>
            <w:r/>
            <w:r>
              <w:rPr>
                <w:sz w:val="18"/>
              </w:rPr>
              <w:t>Same mix</w:t>
            </w:r>
          </w:p>
        </w:tc>
        <w:tc>
          <w:tcPr>
            <w:tcW w:type="dxa" w:w="7087"/>
          </w:tcPr>
          <w:p>
            <w:r/>
            <w:r>
              <w:rPr>
                <w:sz w:val="18"/>
              </w:rPr>
              <w:t>A new budget spread across channels and weeks in the same proportions as the actual plan.</w:t>
            </w:r>
          </w:p>
        </w:tc>
      </w:tr>
      <w:tr>
        <w:tc>
          <w:tcPr>
            <w:tcW w:type="dxa" w:w="2551"/>
          </w:tcPr>
          <w:p>
            <w:r/>
            <w:r>
              <w:rPr>
                <w:sz w:val="18"/>
              </w:rPr>
              <w:t>Profit peak</w:t>
            </w:r>
          </w:p>
        </w:tc>
        <w:tc>
          <w:tcPr>
            <w:tcW w:type="dxa" w:w="7087"/>
          </w:tcPr>
          <w:p>
            <w:r/>
            <w:r>
              <w:rPr>
                <w:sz w:val="18"/>
              </w:rPr>
              <w:t>The budget at which net profit is highest; past it, the next rupee returns less than a rupee.</w:t>
            </w:r>
          </w:p>
        </w:tc>
      </w:tr>
      <w:tr>
        <w:tc>
          <w:tcPr>
            <w:tcW w:type="dxa" w:w="2551"/>
          </w:tcPr>
          <w:p>
            <w:r/>
            <w:r>
              <w:rPr>
                <w:sz w:val="18"/>
              </w:rPr>
              <w:t>ROI (TPO)</w:t>
            </w:r>
          </w:p>
        </w:tc>
        <w:tc>
          <w:tcPr>
            <w:tcW w:type="dxa" w:w="7087"/>
          </w:tcPr>
          <w:p>
            <w:r/>
            <w:r>
              <w:rPr>
                <w:sz w:val="18"/>
              </w:rPr>
              <w:t>Incremental sales ÷ trade spend for a promotion; 1.50x is the target hurdle.</w:t>
            </w:r>
          </w:p>
        </w:tc>
      </w:tr>
    </w:tbl>
    <w:p>
      <w:pPr>
        <w:spacing w:after="0"/>
      </w:pPr>
    </w:p>
    <w:p>
      <w:r>
        <w:br w:type="page"/>
      </w:r>
    </w:p>
    <w:p>
      <w:pPr>
        <w:pStyle w:val="Heading1"/>
      </w:pPr>
      <w:r>
        <w:t>PART 2 — TECHNICAL REFERENCE</w:t>
      </w:r>
    </w:p>
    <w:p>
      <w:r>
        <w:t>Every filter, chart and number in depth, Parts A–J. Code paths are given so each statement can be checked against the source.</w:t>
      </w:r>
    </w:p>
    <w:p>
      <w:r>
        <w:br w:type="page"/>
      </w:r>
    </w:p>
    <w:p>
      <w:pPr>
        <w:pStyle w:val="Heading1"/>
      </w:pPr>
      <w:r>
        <w:t>Part A — Foundations</w:t>
      </w:r>
    </w:p>
    <w:p>
      <w:pPr>
        <w:pStyle w:val="Heading2"/>
      </w:pPr>
      <w:r>
        <w:t>A.1 The daily dataset (data contract)</w:t>
      </w:r>
    </w:p>
    <w:p>
      <w:r>
        <w:t xml:space="preserve">MMM reads one table, </w:t>
      </w:r>
      <w:r>
        <w:rPr>
          <w:rFonts w:ascii="Consolas" w:hAnsi="Consolas" w:eastAsia="Consolas"/>
          <w:sz w:val="19"/>
        </w:rPr>
        <w:t>Data/mmm/mmm_daily.csv</w:t>
      </w:r>
      <w:r>
        <w:t>, with one row per day (</w:t>
      </w:r>
      <w:r>
        <w:rPr>
          <w:rFonts w:ascii="Consolas" w:hAnsi="Consolas" w:eastAsia="Consolas"/>
          <w:sz w:val="19"/>
        </w:rPr>
        <w:t>backend/app/mmm/schema.py</w:t>
      </w:r>
      <w:r>
        <w:t xml:space="preserve">, </w:t>
      </w:r>
      <w:r>
        <w:rPr>
          <w:rFonts w:ascii="Consolas" w:hAnsi="Consolas" w:eastAsia="Consolas"/>
          <w:sz w:val="19"/>
        </w:rPr>
        <w:t>dataset.py</w:t>
      </w:r>
      <w:r>
        <w:t xml:space="preserve">, </w:t>
      </w:r>
      <w:r>
        <w:rPr>
          <w:rFonts w:ascii="Consolas" w:hAnsi="Consolas" w:eastAsia="Consolas"/>
          <w:sz w:val="19"/>
        </w:rPr>
        <w:t>loader.py</w:t>
      </w:r>
      <w:r>
        <w:t>).</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EAF0F8"/>
          </w:tcPr>
          <w:p>
            <w:r/>
            <w:r>
              <w:rPr>
                <w:b/>
                <w:color w:val="1F3A68"/>
                <w:sz w:val="17"/>
              </w:rPr>
              <w:t>Column(s)</w:t>
            </w:r>
          </w:p>
        </w:tc>
        <w:tc>
          <w:tcPr>
            <w:tcW w:type="dxa" w:w="964"/>
            <w:shd w:val="clear" w:color="auto" w:fill="EAF0F8"/>
          </w:tcPr>
          <w:p>
            <w:r/>
            <w:r>
              <w:rPr>
                <w:b/>
                <w:color w:val="1F3A68"/>
                <w:sz w:val="17"/>
              </w:rPr>
              <w:t>Required</w:t>
            </w:r>
          </w:p>
        </w:tc>
        <w:tc>
          <w:tcPr>
            <w:tcW w:type="dxa" w:w="6406"/>
            <w:shd w:val="clear" w:color="auto" w:fill="EAF0F8"/>
          </w:tcPr>
          <w:p>
            <w:r/>
            <w:r>
              <w:rPr>
                <w:b/>
                <w:color w:val="1F3A68"/>
                <w:sz w:val="17"/>
              </w:rPr>
              <w:t>Meaning and rules</w:t>
            </w:r>
          </w:p>
        </w:tc>
      </w:tr>
      <w:tr>
        <w:tc>
          <w:tcPr>
            <w:tcW w:type="dxa" w:w="2268"/>
          </w:tcPr>
          <w:p>
            <w:r/>
            <w:r>
              <w:rPr>
                <w:rFonts w:ascii="Consolas" w:hAnsi="Consolas" w:eastAsia="Consolas"/>
                <w:sz w:val="17"/>
              </w:rPr>
              <w:t>Date</w:t>
            </w:r>
          </w:p>
        </w:tc>
        <w:tc>
          <w:tcPr>
            <w:tcW w:type="dxa" w:w="964"/>
          </w:tcPr>
          <w:p>
            <w:r/>
            <w:r>
              <w:rPr>
                <w:sz w:val="17"/>
              </w:rPr>
              <w:t>Yes</w:t>
            </w:r>
          </w:p>
        </w:tc>
        <w:tc>
          <w:tcPr>
            <w:tcW w:type="dxa" w:w="6406"/>
          </w:tcPr>
          <w:p>
            <w:r/>
            <w:r>
              <w:rPr>
                <w:sz w:val="17"/>
              </w:rPr>
              <w:t xml:space="preserve">One format for the whole column; the parser picks the format that reads the most rows from DD-MM-YYYY, DD/MM/YYYY, YYYY-MM-DD, DD-MM-YY, DD/MM/YY. Unreadable dates are errors. </w:t>
            </w:r>
            <w:r>
              <w:rPr>
                <w:b/>
                <w:sz w:val="17"/>
              </w:rPr>
              <w:t>Exactly one row per day</w:t>
            </w:r>
            <w:r>
              <w:rPr>
                <w:sz w:val="17"/>
              </w:rPr>
              <w:t>.</w:t>
            </w:r>
          </w:p>
        </w:tc>
      </w:tr>
      <w:tr>
        <w:tc>
          <w:tcPr>
            <w:tcW w:type="dxa" w:w="2268"/>
          </w:tcPr>
          <w:p>
            <w:r/>
            <w:r>
              <w:rPr>
                <w:rFonts w:ascii="Consolas" w:hAnsi="Consolas" w:eastAsia="Consolas"/>
                <w:sz w:val="17"/>
              </w:rPr>
              <w:t>Revenue</w:t>
            </w:r>
          </w:p>
        </w:tc>
        <w:tc>
          <w:tcPr>
            <w:tcW w:type="dxa" w:w="964"/>
          </w:tcPr>
          <w:p>
            <w:r/>
            <w:r>
              <w:rPr>
                <w:sz w:val="17"/>
              </w:rPr>
              <w:t>Yes</w:t>
            </w:r>
          </w:p>
        </w:tc>
        <w:tc>
          <w:tcPr>
            <w:tcW w:type="dxa" w:w="6406"/>
          </w:tcPr>
          <w:p>
            <w:r/>
            <w:r>
              <w:rPr>
                <w:sz w:val="17"/>
              </w:rPr>
              <w:t>Numeric, not negative, not blank. Commas are stripped.</w:t>
            </w:r>
          </w:p>
        </w:tc>
      </w:tr>
      <w:tr>
        <w:tc>
          <w:tcPr>
            <w:tcW w:type="dxa" w:w="2268"/>
          </w:tcPr>
          <w:p>
            <w:r/>
            <w:r>
              <w:rPr>
                <w:rFonts w:ascii="Consolas" w:hAnsi="Consolas" w:eastAsia="Consolas"/>
                <w:sz w:val="17"/>
              </w:rPr>
              <w:t>*_Spend</w:t>
            </w:r>
          </w:p>
        </w:tc>
        <w:tc>
          <w:tcPr>
            <w:tcW w:type="dxa" w:w="964"/>
          </w:tcPr>
          <w:p>
            <w:r/>
            <w:r>
              <w:rPr>
                <w:sz w:val="17"/>
              </w:rPr>
              <w:t>≥ 1</w:t>
            </w:r>
          </w:p>
        </w:tc>
        <w:tc>
          <w:tcPr>
            <w:tcW w:type="dxa" w:w="6406"/>
          </w:tcPr>
          <w:p>
            <w:r/>
            <w:r>
              <w:rPr>
                <w:sz w:val="17"/>
              </w:rPr>
              <w:t xml:space="preserve">One column per channel. The 22 reference channels are grouped into 7 families: Broadcast &amp; Video, Social &amp; Video Platforms, Search &amp; Programmatic, Out of Home, Print, Commerce &amp; Retail Media, and Influencer &amp; Content. Any other </w:t>
            </w:r>
            <w:r>
              <w:rPr>
                <w:rFonts w:ascii="Consolas" w:hAnsi="Consolas" w:eastAsia="Consolas"/>
                <w:sz w:val="17"/>
              </w:rPr>
              <w:t>*_Spend</w:t>
            </w:r>
            <w:r>
              <w:rPr>
                <w:sz w:val="17"/>
              </w:rPr>
              <w:t xml:space="preserve"> column joins </w:t>
            </w:r>
            <w:r>
              <w:rPr>
                <w:b/>
                <w:sz w:val="17"/>
              </w:rPr>
              <w:t>Other Media</w:t>
            </w:r>
            <w:r>
              <w:rPr>
                <w:sz w:val="17"/>
              </w:rPr>
              <w:t>. A blank cell is read as 0, with a warning; non-numeric or negative values are errors.</w:t>
            </w:r>
          </w:p>
        </w:tc>
      </w:tr>
      <w:tr>
        <w:tc>
          <w:tcPr>
            <w:tcW w:type="dxa" w:w="2268"/>
          </w:tcPr>
          <w:p>
            <w:r/>
            <w:r>
              <w:rPr>
                <w:rFonts w:ascii="Consolas" w:hAnsi="Consolas" w:eastAsia="Consolas"/>
                <w:sz w:val="17"/>
              </w:rPr>
              <w:t>Channel_*_Spend</w:t>
            </w:r>
            <w:r>
              <w:rPr>
                <w:sz w:val="17"/>
              </w:rPr>
              <w:t xml:space="preserve">, </w:t>
            </w:r>
            <w:r>
              <w:rPr>
                <w:rFonts w:ascii="Consolas" w:hAnsi="Consolas" w:eastAsia="Consolas"/>
                <w:sz w:val="17"/>
              </w:rPr>
              <w:t>Total_Spend</w:t>
            </w:r>
          </w:p>
        </w:tc>
        <w:tc>
          <w:tcPr>
            <w:tcW w:type="dxa" w:w="964"/>
          </w:tcPr>
          <w:p>
            <w:r/>
            <w:r>
              <w:rPr>
                <w:sz w:val="17"/>
              </w:rPr>
              <w:t>No</w:t>
            </w:r>
          </w:p>
        </w:tc>
        <w:tc>
          <w:tcPr>
            <w:tcW w:type="dxa" w:w="6406"/>
          </w:tcPr>
          <w:p>
            <w:r/>
            <w:r>
              <w:rPr>
                <w:sz w:val="17"/>
              </w:rPr>
              <w:t>Roll-ups. They are checked against the sum of their channels (a warning when off by more than max(0.1%, ₹1)), but never stored or counted, so spend is never double-counted.</w:t>
            </w:r>
          </w:p>
        </w:tc>
      </w:tr>
      <w:tr>
        <w:tc>
          <w:tcPr>
            <w:tcW w:type="dxa" w:w="2268"/>
          </w:tcPr>
          <w:p>
            <w:r/>
            <w:r>
              <w:rPr>
                <w:rFonts w:ascii="Consolas" w:hAnsi="Consolas" w:eastAsia="Consolas"/>
                <w:sz w:val="17"/>
              </w:rPr>
              <w:t>Festival_Flag</w:t>
            </w:r>
            <w:r>
              <w:rPr>
                <w:sz w:val="17"/>
              </w:rPr>
              <w:t xml:space="preserve">, </w:t>
            </w:r>
            <w:r>
              <w:rPr>
                <w:rFonts w:ascii="Consolas" w:hAnsi="Consolas" w:eastAsia="Consolas"/>
                <w:sz w:val="17"/>
              </w:rPr>
              <w:t>Seasonal_Flag</w:t>
            </w:r>
            <w:r>
              <w:rPr>
                <w:sz w:val="17"/>
              </w:rPr>
              <w:t xml:space="preserve">, </w:t>
            </w:r>
            <w:r>
              <w:rPr>
                <w:rFonts w:ascii="Consolas" w:hAnsi="Consolas" w:eastAsia="Consolas"/>
                <w:sz w:val="17"/>
              </w:rPr>
              <w:t>Promotion_Flag</w:t>
            </w:r>
          </w:p>
        </w:tc>
        <w:tc>
          <w:tcPr>
            <w:tcW w:type="dxa" w:w="964"/>
          </w:tcPr>
          <w:p>
            <w:r/>
            <w:r>
              <w:rPr>
                <w:sz w:val="17"/>
              </w:rPr>
              <w:t>No*</w:t>
            </w:r>
          </w:p>
        </w:tc>
        <w:tc>
          <w:tcPr>
            <w:tcW w:type="dxa" w:w="6406"/>
          </w:tcPr>
          <w:p>
            <w:r/>
            <w:r>
              <w:rPr>
                <w:sz w:val="17"/>
              </w:rPr>
              <w:t>0 or 1. (*The Insights Hub baseline needs all three; legacy names Holiday_Flag and Trending_Flag are accepted.)</w:t>
            </w:r>
          </w:p>
        </w:tc>
      </w:tr>
      <w:tr>
        <w:tc>
          <w:tcPr>
            <w:tcW w:type="dxa" w:w="2268"/>
          </w:tcPr>
          <w:p>
            <w:r/>
            <w:r>
              <w:rPr>
                <w:rFonts w:ascii="Consolas" w:hAnsi="Consolas" w:eastAsia="Consolas"/>
                <w:sz w:val="17"/>
              </w:rPr>
              <w:t>Discount_Percentage</w:t>
            </w:r>
            <w:r>
              <w:rPr>
                <w:sz w:val="17"/>
              </w:rPr>
              <w:t xml:space="preserve">, </w:t>
            </w:r>
            <w:r>
              <w:rPr>
                <w:rFonts w:ascii="Consolas" w:hAnsi="Consolas" w:eastAsia="Consolas"/>
                <w:sz w:val="17"/>
              </w:rPr>
              <w:t>Promotion_Type</w:t>
            </w:r>
          </w:p>
        </w:tc>
        <w:tc>
          <w:tcPr>
            <w:tcW w:type="dxa" w:w="964"/>
          </w:tcPr>
          <w:p>
            <w:r/>
            <w:r>
              <w:rPr>
                <w:sz w:val="17"/>
              </w:rPr>
              <w:t>No</w:t>
            </w:r>
          </w:p>
        </w:tc>
        <w:tc>
          <w:tcPr>
            <w:tcW w:type="dxa" w:w="6406"/>
          </w:tcPr>
          <w:p>
            <w:r/>
            <w:r>
              <w:rPr>
                <w:sz w:val="17"/>
              </w:rPr>
              <w:t>A blank Promotion_Type becomes “No Offer”.</w:t>
            </w:r>
          </w:p>
        </w:tc>
      </w:tr>
      <w:tr>
        <w:tc>
          <w:tcPr>
            <w:tcW w:type="dxa" w:w="2268"/>
          </w:tcPr>
          <w:p>
            <w:r/>
            <w:r>
              <w:rPr>
                <w:rFonts w:ascii="Consolas" w:hAnsi="Consolas" w:eastAsia="Consolas"/>
                <w:sz w:val="17"/>
              </w:rPr>
              <w:t>Month</w:t>
            </w:r>
            <w:r>
              <w:rPr>
                <w:sz w:val="17"/>
              </w:rPr>
              <w:t xml:space="preserve">, </w:t>
            </w:r>
            <w:r>
              <w:rPr>
                <w:rFonts w:ascii="Consolas" w:hAnsi="Consolas" w:eastAsia="Consolas"/>
                <w:sz w:val="17"/>
              </w:rPr>
              <w:t>Quarter</w:t>
            </w:r>
            <w:r>
              <w:rPr>
                <w:sz w:val="17"/>
              </w:rPr>
              <w:t xml:space="preserve">, </w:t>
            </w:r>
            <w:r>
              <w:rPr>
                <w:rFonts w:ascii="Consolas" w:hAnsi="Consolas" w:eastAsia="Consolas"/>
                <w:sz w:val="17"/>
              </w:rPr>
              <w:t>Week_of_Year</w:t>
            </w:r>
            <w:r>
              <w:rPr>
                <w:sz w:val="17"/>
              </w:rPr>
              <w:t xml:space="preserve">, </w:t>
            </w:r>
            <w:r>
              <w:rPr>
                <w:rFonts w:ascii="Consolas" w:hAnsi="Consolas" w:eastAsia="Consolas"/>
                <w:sz w:val="17"/>
              </w:rPr>
              <w:t>Year</w:t>
            </w:r>
          </w:p>
        </w:tc>
        <w:tc>
          <w:tcPr>
            <w:tcW w:type="dxa" w:w="964"/>
          </w:tcPr>
          <w:p>
            <w:r/>
            <w:r>
              <w:rPr>
                <w:sz w:val="17"/>
              </w:rPr>
              <w:t>No</w:t>
            </w:r>
          </w:p>
        </w:tc>
        <w:tc>
          <w:tcPr>
            <w:tcW w:type="dxa" w:w="6406"/>
          </w:tcPr>
          <w:p>
            <w:r/>
            <w:r>
              <w:rPr>
                <w:sz w:val="17"/>
              </w:rPr>
              <w:t>Derived from Date (ISO week) when missing; uploaded values win, with a warning.</w:t>
            </w:r>
          </w:p>
        </w:tc>
      </w:tr>
    </w:tbl>
    <w:p>
      <w:pPr>
        <w:spacing w:after="0"/>
      </w:pPr>
    </w:p>
    <w:p>
      <w:r>
        <w:rPr>
          <w:b/>
        </w:rPr>
        <w:t>Why one file, daily.</w:t>
      </w:r>
      <w:r>
        <w:t xml:space="preserve"> Advertising effects last days, not months, and festivals and promotions are daily events. A daily grain is the finest level at which the data is reliable, and it gives 4,291 observations instead of about 140 months: enough to estimate 22 channel curves.</w:t>
      </w:r>
    </w:p>
    <w:p>
      <w:r>
        <w:rPr>
          <w:b/>
        </w:rPr>
        <w:t>Install.</w:t>
      </w:r>
      <w:r>
        <w:t xml:space="preserve"> The file is written to </w:t>
      </w:r>
      <w:r>
        <w:rPr>
          <w:rFonts w:ascii="Consolas" w:hAnsi="Consolas" w:eastAsia="Consolas"/>
          <w:sz w:val="19"/>
        </w:rPr>
        <w:t>.mmm_daily.csv.incoming</w:t>
      </w:r>
      <w:r>
        <w:t xml:space="preserve"> and then atomically renamed, so the dataset is never half-written. Every install or reset clears every cache (</w:t>
      </w:r>
      <w:r>
        <w:rPr>
          <w:rFonts w:ascii="Consolas" w:hAnsi="Consolas" w:eastAsia="Consolas"/>
          <w:sz w:val="19"/>
        </w:rPr>
        <w:t>loader.reset_cache</w:t>
      </w:r>
      <w:r>
        <w:t>), including the response model.</w:t>
      </w:r>
    </w:p>
    <w:tbl>
      <w:tblPr>
        <w:tblW w:type="auto" w:w="0"/>
        <w:tblLook w:firstColumn="1" w:firstRow="1" w:lastColumn="0" w:lastRow="0" w:noHBand="0" w:noVBand="1" w:val="04A0"/>
      </w:tblPr>
      <w:tblGrid>
        <w:gridCol w:w="9638"/>
      </w:tblGrid>
      <w:tr>
        <w:tc>
          <w:tcPr>
            <w:tcW w:type="dxa" w:w="9638"/>
            <w:shd w:val="clear" w:color="auto" w:fill="FFF8E6"/>
          </w:tcPr>
          <w:p>
            <w:r>
              <w:rPr>
                <w:b/>
              </w:rPr>
              <w:t xml:space="preserve">About the reference data. </w:t>
            </w:r>
            <w:r>
              <w:t xml:space="preserve">The reference file originally had </w:t>
            </w:r>
            <w:r>
              <w:rPr>
                <w:b/>
              </w:rPr>
              <w:t>no advertising effect at all</w:t>
            </w:r>
            <w:r>
              <w:t xml:space="preserve">: days with spend averaged ₹2.720 Cr of revenue against ₹2.719 Cr on days without. An optimizer on that data could only rank noise. </w:t>
            </w:r>
            <w:r>
              <w:rPr>
                <w:rFonts w:ascii="Consolas" w:hAnsi="Consolas" w:eastAsia="Consolas"/>
                <w:sz w:val="19"/>
              </w:rPr>
              <w:t>scripts/inject_mmm_media_effects.py</w:t>
            </w:r>
            <w:r>
              <w:t xml:space="preserve"> therefore rebuilt Revenue as the original revenue plus a known, channel-by-channel effect (carryover + diminishing returns with chosen ROAS), and wrote the true parameters to </w:t>
            </w:r>
            <w:r>
              <w:rPr>
                <w:rFonts w:ascii="Consolas" w:hAnsi="Consolas" w:eastAsia="Consolas"/>
                <w:sz w:val="19"/>
              </w:rPr>
              <w:t>scripts/mmm_media_truth.json</w:t>
            </w:r>
            <w:r>
              <w:t xml:space="preserve">. This lets the model be </w:t>
            </w:r>
            <w:r>
              <w:rPr>
                <w:b/>
              </w:rPr>
              <w:t>checked against a known truth</w:t>
            </w:r>
            <w:r>
              <w:t xml:space="preserve"> (section J.1).</w:t>
            </w:r>
          </w:p>
        </w:tc>
      </w:tr>
    </w:tbl>
    <w:p>
      <w:pPr>
        <w:spacing w:after="0"/>
      </w:pPr>
    </w:p>
    <w:p>
      <w:pPr>
        <w:pStyle w:val="Heading2"/>
      </w:pPr>
      <w:r>
        <w:t>A.2 Money, units and currency</w:t>
      </w:r>
    </w:p>
    <w:p>
      <w:pPr>
        <w:pStyle w:val="ListBullet"/>
        <w:spacing w:after="40"/>
      </w:pPr>
      <w:r>
        <w:t xml:space="preserve">Every amount is computed and stored in </w:t>
      </w:r>
      <w:r>
        <w:rPr>
          <w:b/>
        </w:rPr>
        <w:t>rupees</w:t>
      </w:r>
      <w:r>
        <w:t xml:space="preserve">. The ₹ / $ switch changes only presentation: the backend sends the display string and an </w:t>
      </w:r>
      <w:r>
        <w:rPr>
          <w:rFonts w:ascii="Consolas" w:hAnsi="Consolas" w:eastAsia="Consolas"/>
          <w:sz w:val="19"/>
        </w:rPr>
        <w:t>exchange_rate</w:t>
      </w:r>
      <w:r>
        <w:t xml:space="preserve"> (display units per rupee), and chart axes multiply by it.</w:t>
      </w:r>
    </w:p>
    <w:p>
      <w:pPr>
        <w:pStyle w:val="ListBullet"/>
        <w:spacing w:after="40"/>
      </w:pPr>
      <w:r>
        <w:t xml:space="preserve">Indian steps: </w:t>
      </w:r>
      <w:r>
        <w:rPr>
          <w:b/>
        </w:rPr>
        <w:t>K</w:t>
      </w:r>
      <w:r>
        <w:t xml:space="preserve"> = 10³, </w:t>
      </w:r>
      <w:r>
        <w:rPr>
          <w:b/>
        </w:rPr>
        <w:t>L</w:t>
      </w:r>
      <w:r>
        <w:t xml:space="preserve"> (lakh) = 10⁵, </w:t>
      </w:r>
      <w:r>
        <w:rPr>
          <w:b/>
        </w:rPr>
        <w:t>Cr</w:t>
      </w:r>
      <w:r>
        <w:t xml:space="preserve"> (crore) = 10⁷, with 2 decimals. Dollar steps: K, M, B.</w:t>
      </w:r>
    </w:p>
    <w:p>
      <w:pPr>
        <w:pStyle w:val="ListBullet"/>
        <w:spacing w:after="40"/>
      </w:pPr>
      <w:r>
        <w:t>Multiples print as “1.53x”; a difference of multiples as “+0.20”; percentages to 2 decimals; a difference of percentages as “+28.96 pts”.</w:t>
      </w:r>
    </w:p>
    <w:p>
      <w:pPr>
        <w:pStyle w:val="ListBullet"/>
        <w:spacing w:after="40"/>
      </w:pPr>
      <w:r>
        <w:t>Any signed figure (+ / −) is shown green or red on every page (</w:t>
      </w:r>
      <w:r>
        <w:rPr>
          <w:rFonts w:ascii="Consolas" w:hAnsi="Consolas" w:eastAsia="Consolas"/>
          <w:sz w:val="19"/>
        </w:rPr>
        <w:t>lib/signColor.ts</w:t>
      </w:r>
      <w:r>
        <w:t>).</w:t>
      </w:r>
    </w:p>
    <w:p>
      <w:pPr>
        <w:pStyle w:val="Heading2"/>
      </w:pPr>
      <w:r>
        <w:t>A.3 Scope: how filters select days (Insights Hub, Calendar, Reports)</w:t>
      </w:r>
    </w:p>
    <w:p>
      <w:r>
        <w:t xml:space="preserve">A scope has </w:t>
      </w:r>
      <w:r>
        <w:rPr>
          <w:b/>
        </w:rPr>
        <w:t>time fields</w:t>
      </w:r>
      <w:r>
        <w:t xml:space="preserve"> (year, quarter, month, week, or a date range) and </w:t>
      </w:r>
      <w:r>
        <w:rPr>
          <w:b/>
        </w:rPr>
        <w:t>day filters</w:t>
      </w:r>
      <w:r>
        <w:t xml:space="preserve"> (promotion types, events) plus a </w:t>
      </w:r>
      <w:r>
        <w:rPr>
          <w:b/>
        </w:rPr>
        <w:t>media</w:t>
      </w:r>
      <w:r>
        <w:t xml:space="preserve"> filter (channels) (</w:t>
      </w:r>
      <w:r>
        <w:rPr>
          <w:rFonts w:ascii="Consolas" w:hAnsi="Consolas" w:eastAsia="Consolas"/>
          <w:sz w:val="19"/>
        </w:rPr>
        <w:t>backend/app/mmm/scope.py</w:t>
      </w:r>
      <w:r>
        <w:t>).</w:t>
      </w:r>
    </w:p>
    <w:p>
      <w:pPr>
        <w:pStyle w:val="ListBullet"/>
        <w:spacing w:after="40"/>
      </w:pPr>
      <w:r>
        <w:rPr>
          <w:b/>
        </w:rPr>
        <w:t>Time fields choose the PERIOD.</w:t>
      </w:r>
      <w:r>
        <w:t xml:space="preserve"> Year, quarter, month and week are combined with AND. A date range replaces all four.</w:t>
      </w:r>
    </w:p>
    <w:p>
      <w:pPr>
        <w:pStyle w:val="ListBullet"/>
        <w:spacing w:after="40"/>
      </w:pPr>
      <w:r>
        <w:rPr>
          <w:b/>
        </w:rPr>
        <w:t>Day filters narrow the days inside the period.</w:t>
      </w:r>
      <w:r>
        <w:t xml:space="preserve"> A promotion-type filter keeps rows of those types; an event filter keeps days that are festival OR seasonal OR promotion OR “none” (no flag).</w:t>
      </w:r>
    </w:p>
    <w:p>
      <w:pPr>
        <w:pStyle w:val="ListBullet"/>
        <w:spacing w:after="40"/>
      </w:pPr>
      <w:r>
        <w:rPr>
          <w:b/>
        </w:rPr>
        <w:t>Channels</w:t>
      </w:r>
      <w:r>
        <w:t xml:space="preserve"> choose which spend columns count as ad spend; they drop no days.</w:t>
      </w:r>
    </w:p>
    <w:p>
      <w:pPr>
        <w:pStyle w:val="ListBullet"/>
        <w:spacing w:after="40"/>
      </w:pPr>
      <w:r>
        <w:rPr>
          <w:b/>
        </w:rPr>
        <w:t>Why time and day filters are kept apart.</w:t>
      </w:r>
      <w:r>
        <w:t xml:space="preserve"> The baseline is estimated over the whole period and then applied to however many days the day filters leave. Estimating it only on, say, festival days would mix the festival effect into the baseline.</w:t>
      </w:r>
    </w:p>
    <w:p>
      <w:r>
        <w:rPr>
          <w:b/>
        </w:rPr>
        <w:t>Comparison windows</w:t>
      </w:r>
      <w:r>
        <w:t xml:space="preserve"> (</w:t>
      </w:r>
      <w:r>
        <w:rPr>
          <w:rFonts w:ascii="Consolas" w:hAnsi="Consolas" w:eastAsia="Consolas"/>
          <w:sz w:val="19"/>
        </w:rPr>
        <w:t>comparison_window</w:t>
      </w:r>
      <w:r>
        <w:t>):</w:t>
      </w:r>
    </w:p>
    <w:tbl>
      <w:tblPr>
        <w:tblStyle w:val="TableGrid"/>
        <w:tblW w:type="auto" w:w="0"/>
        <w:jc w:val="center"/>
        <w:tblLook w:firstColumn="1" w:firstRow="1" w:lastColumn="0" w:lastRow="0" w:noHBand="0" w:noVBand="1" w:val="04A0"/>
      </w:tblPr>
      <w:tblGrid>
        <w:gridCol w:w="3213"/>
        <w:gridCol w:w="3213"/>
        <w:gridCol w:w="3213"/>
      </w:tblGrid>
      <w:tr>
        <w:tc>
          <w:tcPr>
            <w:tcW w:type="dxa" w:w="2041"/>
            <w:shd w:val="clear" w:color="auto" w:fill="EAF0F8"/>
          </w:tcPr>
          <w:p>
            <w:r/>
            <w:r>
              <w:rPr>
                <w:b/>
                <w:color w:val="1F3A68"/>
                <w:sz w:val="18"/>
              </w:rPr>
              <w:t>Comparison</w:t>
            </w:r>
          </w:p>
        </w:tc>
        <w:tc>
          <w:tcPr>
            <w:tcW w:type="dxa" w:w="3798"/>
            <w:shd w:val="clear" w:color="auto" w:fill="EAF0F8"/>
          </w:tcPr>
          <w:p>
            <w:r/>
            <w:r>
              <w:rPr>
                <w:b/>
                <w:color w:val="1F3A68"/>
                <w:sz w:val="18"/>
              </w:rPr>
              <w:t>Period made of whole calendar months</w:t>
            </w:r>
          </w:p>
        </w:tc>
        <w:tc>
          <w:tcPr>
            <w:tcW w:type="dxa" w:w="3798"/>
            <w:shd w:val="clear" w:color="auto" w:fill="EAF0F8"/>
          </w:tcPr>
          <w:p>
            <w:r/>
            <w:r>
              <w:rPr>
                <w:b/>
                <w:color w:val="1F3A68"/>
                <w:sz w:val="18"/>
              </w:rPr>
              <w:t>Any other period</w:t>
            </w:r>
          </w:p>
        </w:tc>
      </w:tr>
      <w:tr>
        <w:tc>
          <w:tcPr>
            <w:tcW w:type="dxa" w:w="2041"/>
          </w:tcPr>
          <w:p>
            <w:r/>
            <w:r>
              <w:rPr>
                <w:sz w:val="18"/>
              </w:rPr>
              <w:t>YAGO — Year Ago</w:t>
            </w:r>
          </w:p>
        </w:tc>
        <w:tc>
          <w:tcPr>
            <w:tcW w:type="dxa" w:w="3798"/>
          </w:tcPr>
          <w:p>
            <w:r/>
            <w:r>
              <w:rPr>
                <w:sz w:val="18"/>
              </w:rPr>
              <w:t>Same months, 12 months earlier</w:t>
            </w:r>
          </w:p>
        </w:tc>
        <w:tc>
          <w:tcPr>
            <w:tcW w:type="dxa" w:w="3798"/>
          </w:tcPr>
          <w:p>
            <w:r/>
            <w:r>
              <w:rPr>
                <w:sz w:val="18"/>
              </w:rPr>
              <w:t>Same dates, one year earlier</w:t>
            </w:r>
          </w:p>
        </w:tc>
      </w:tr>
      <w:tr>
        <w:tc>
          <w:tcPr>
            <w:tcW w:type="dxa" w:w="2041"/>
          </w:tcPr>
          <w:p>
            <w:r/>
            <w:r>
              <w:rPr>
                <w:sz w:val="18"/>
              </w:rPr>
              <w:t>PAGO — Period Ago</w:t>
            </w:r>
          </w:p>
        </w:tc>
        <w:tc>
          <w:tcPr>
            <w:tcW w:type="dxa" w:w="3798"/>
          </w:tcPr>
          <w:p>
            <w:r/>
            <w:r>
              <w:rPr>
                <w:sz w:val="18"/>
              </w:rPr>
              <w:t>The same number of months immediately before</w:t>
            </w:r>
          </w:p>
        </w:tc>
        <w:tc>
          <w:tcPr>
            <w:tcW w:type="dxa" w:w="3798"/>
          </w:tcPr>
          <w:p>
            <w:r/>
            <w:r>
              <w:rPr>
                <w:sz w:val="18"/>
              </w:rPr>
              <w:t>An equal-length window ending the day before</w:t>
            </w:r>
          </w:p>
        </w:tc>
      </w:tr>
      <w:tr>
        <w:tc>
          <w:tcPr>
            <w:tcW w:type="dxa" w:w="2041"/>
          </w:tcPr>
          <w:p>
            <w:r/>
            <w:r>
              <w:rPr>
                <w:sz w:val="18"/>
              </w:rPr>
              <w:t>MAGO — Month Ago</w:t>
            </w:r>
          </w:p>
        </w:tc>
        <w:tc>
          <w:tcPr>
            <w:tcW w:type="dxa" w:w="3798"/>
          </w:tcPr>
          <w:p>
            <w:r/>
            <w:r>
              <w:rPr>
                <w:sz w:val="18"/>
              </w:rPr>
              <w:t>Shifted back 1 month</w:t>
            </w:r>
          </w:p>
        </w:tc>
        <w:tc>
          <w:tcPr>
            <w:tcW w:type="dxa" w:w="3798"/>
          </w:tcPr>
          <w:p>
            <w:r/>
            <w:r>
              <w:rPr>
                <w:sz w:val="18"/>
              </w:rPr>
              <w:t>Same dates, one month earlier</w:t>
            </w:r>
          </w:p>
        </w:tc>
      </w:tr>
    </w:tbl>
    <w:p>
      <w:pPr>
        <w:spacing w:after="0"/>
      </w:pPr>
    </w:p>
    <w:p>
      <w:r>
        <w:t>A comparison is unavailable, with the reason shown, when the scope is not one unbroken range (for example, every January across all years), when the window falls outside the data, or when no days match.</w:t>
      </w:r>
    </w:p>
    <w:p>
      <w:r>
        <w:br w:type="page"/>
      </w:r>
    </w:p>
    <w:p>
      <w:pPr>
        <w:pStyle w:val="Heading1"/>
      </w:pPr>
      <w:r>
        <w:t>Part B — Insights Hub</w:t>
      </w:r>
    </w:p>
    <w:p>
      <w:pPr>
        <w:jc w:val="center"/>
      </w:pPr>
      <w:r>
        <w:drawing>
          <wp:inline xmlns:a="http://schemas.openxmlformats.org/drawingml/2006/main" xmlns:pic="http://schemas.openxmlformats.org/drawingml/2006/picture">
            <wp:extent cx="5940000" cy="4125000"/>
            <wp:docPr id="14" name="Picture 14"/>
            <wp:cNvGraphicFramePr>
              <a:graphicFrameLocks noChangeAspect="1"/>
            </wp:cNvGraphicFramePr>
            <a:graphic>
              <a:graphicData uri="http://schemas.openxmlformats.org/drawingml/2006/picture">
                <pic:pic>
                  <pic:nvPicPr>
                    <pic:cNvPr id="0" name="mmm-insights-0.png"/>
                    <pic:cNvPicPr/>
                  </pic:nvPicPr>
                  <pic:blipFill>
                    <a:blip r:embed="rId12"/>
                    <a:stretch>
                      <a:fillRect/>
                    </a:stretch>
                  </pic:blipFill>
                  <pic:spPr>
                    <a:xfrm>
                      <a:off x="0" y="0"/>
                      <a:ext cx="5940000" cy="4125000"/>
                    </a:xfrm>
                    <a:prstGeom prst="rect"/>
                  </pic:spPr>
                </pic:pic>
              </a:graphicData>
            </a:graphic>
          </wp:inline>
        </w:drawing>
      </w:r>
    </w:p>
    <w:p>
      <w:pPr>
        <w:jc w:val="center"/>
      </w:pPr>
      <w:r>
        <w:rPr>
          <w:i/>
          <w:color w:val="555F6D"/>
          <w:sz w:val="18"/>
        </w:rPr>
        <w:t>Figure B.1 – Insights Hub, 2025.</w:t>
      </w:r>
    </w:p>
    <w:p>
      <w:pPr>
        <w:pStyle w:val="Heading2"/>
      </w:pPr>
      <w:r>
        <w:t>B.1 Filters and controls</w:t>
      </w:r>
    </w:p>
    <w:tbl>
      <w:tblPr>
        <w:tblStyle w:val="TableGrid"/>
        <w:tblW w:type="auto" w:w="0"/>
        <w:jc w:val="center"/>
        <w:tblLook w:firstColumn="1" w:firstRow="1" w:lastColumn="0" w:lastRow="0" w:noHBand="0" w:noVBand="1" w:val="04A0"/>
      </w:tblPr>
      <w:tblGrid>
        <w:gridCol w:w="3213"/>
        <w:gridCol w:w="3213"/>
        <w:gridCol w:w="3213"/>
      </w:tblGrid>
      <w:tr>
        <w:tc>
          <w:tcPr>
            <w:tcW w:type="dxa" w:w="1587"/>
            <w:shd w:val="clear" w:color="auto" w:fill="EAF0F8"/>
          </w:tcPr>
          <w:p>
            <w:r/>
            <w:r>
              <w:rPr>
                <w:b/>
                <w:color w:val="1F3A68"/>
                <w:sz w:val="17"/>
              </w:rPr>
              <w:t>Control</w:t>
            </w:r>
          </w:p>
        </w:tc>
        <w:tc>
          <w:tcPr>
            <w:tcW w:type="dxa" w:w="3515"/>
            <w:shd w:val="clear" w:color="auto" w:fill="EAF0F8"/>
          </w:tcPr>
          <w:p>
            <w:r/>
            <w:r>
              <w:rPr>
                <w:b/>
                <w:color w:val="1F3A68"/>
                <w:sz w:val="17"/>
              </w:rPr>
              <w:t>Options and default</w:t>
            </w:r>
          </w:p>
        </w:tc>
        <w:tc>
          <w:tcPr>
            <w:tcW w:type="dxa" w:w="4535"/>
            <w:shd w:val="clear" w:color="auto" w:fill="EAF0F8"/>
          </w:tcPr>
          <w:p>
            <w:r/>
            <w:r>
              <w:rPr>
                <w:b/>
                <w:color w:val="1F3A68"/>
                <w:sz w:val="17"/>
              </w:rPr>
              <w:t>Effect on the numbers</w:t>
            </w:r>
          </w:p>
        </w:tc>
      </w:tr>
      <w:tr>
        <w:tc>
          <w:tcPr>
            <w:tcW w:type="dxa" w:w="1587"/>
          </w:tcPr>
          <w:p>
            <w:r/>
            <w:r>
              <w:rPr>
                <w:sz w:val="17"/>
              </w:rPr>
              <w:t>Year</w:t>
            </w:r>
          </w:p>
        </w:tc>
        <w:tc>
          <w:tcPr>
            <w:tcW w:type="dxa" w:w="3515"/>
          </w:tcPr>
          <w:p>
            <w:r/>
            <w:r>
              <w:rPr>
                <w:sz w:val="17"/>
              </w:rPr>
              <w:t xml:space="preserve">All Years, or each year (newest first). Default: the most recent </w:t>
            </w:r>
            <w:r>
              <w:rPr>
                <w:b/>
                <w:sz w:val="17"/>
              </w:rPr>
              <w:t>completed</w:t>
            </w:r>
            <w:r>
              <w:rPr>
                <w:sz w:val="17"/>
              </w:rPr>
              <w:t xml:space="preserve"> year (2025)</w:t>
            </w:r>
          </w:p>
        </w:tc>
        <w:tc>
          <w:tcPr>
            <w:tcW w:type="dxa" w:w="4535"/>
          </w:tcPr>
          <w:p>
            <w:r/>
            <w:r>
              <w:rPr>
                <w:sz w:val="17"/>
              </w:rPr>
              <w:t>Sets the period. Picking a year clears a custom range.</w:t>
            </w:r>
          </w:p>
        </w:tc>
      </w:tr>
      <w:tr>
        <w:tc>
          <w:tcPr>
            <w:tcW w:type="dxa" w:w="1587"/>
          </w:tcPr>
          <w:p>
            <w:r/>
            <w:r>
              <w:rPr>
                <w:sz w:val="17"/>
              </w:rPr>
              <w:t>Quarter</w:t>
            </w:r>
          </w:p>
        </w:tc>
        <w:tc>
          <w:tcPr>
            <w:tcW w:type="dxa" w:w="3515"/>
          </w:tcPr>
          <w:p>
            <w:r/>
            <w:r>
              <w:rPr>
                <w:sz w:val="17"/>
              </w:rPr>
              <w:t>All Quarters, Q1–Q4</w:t>
            </w:r>
          </w:p>
        </w:tc>
        <w:tc>
          <w:tcPr>
            <w:tcW w:type="dxa" w:w="4535"/>
          </w:tcPr>
          <w:p>
            <w:r/>
            <w:r>
              <w:rPr>
                <w:sz w:val="17"/>
              </w:rPr>
              <w:t>Narrows the period; clears a month outside the quarter.</w:t>
            </w:r>
          </w:p>
        </w:tc>
      </w:tr>
      <w:tr>
        <w:tc>
          <w:tcPr>
            <w:tcW w:type="dxa" w:w="1587"/>
          </w:tcPr>
          <w:p>
            <w:r/>
            <w:r>
              <w:rPr>
                <w:sz w:val="17"/>
              </w:rPr>
              <w:t>Month</w:t>
            </w:r>
          </w:p>
        </w:tc>
        <w:tc>
          <w:tcPr>
            <w:tcW w:type="dxa" w:w="3515"/>
          </w:tcPr>
          <w:p>
            <w:r/>
            <w:r>
              <w:rPr>
                <w:sz w:val="17"/>
              </w:rPr>
              <w:t>All Months, or months of the chosen quarter</w:t>
            </w:r>
          </w:p>
        </w:tc>
        <w:tc>
          <w:tcPr>
            <w:tcW w:type="dxa" w:w="4535"/>
          </w:tcPr>
          <w:p>
            <w:r/>
            <w:r>
              <w:rPr>
                <w:sz w:val="17"/>
              </w:rPr>
              <w:t>Narrows the period.</w:t>
            </w:r>
          </w:p>
        </w:tc>
      </w:tr>
      <w:tr>
        <w:tc>
          <w:tcPr>
            <w:tcW w:type="dxa" w:w="1587"/>
          </w:tcPr>
          <w:p>
            <w:r/>
            <w:r>
              <w:rPr>
                <w:sz w:val="17"/>
              </w:rPr>
              <w:t>Date range</w:t>
            </w:r>
          </w:p>
        </w:tc>
        <w:tc>
          <w:tcPr>
            <w:tcW w:type="dxa" w:w="3515"/>
          </w:tcPr>
          <w:p>
            <w:r/>
            <w:r>
              <w:rPr>
                <w:sz w:val="17"/>
              </w:rPr>
              <w:t>From / To, bounded by the data (1 Jan 2015 – 30 Sep 2026)</w:t>
            </w:r>
          </w:p>
        </w:tc>
        <w:tc>
          <w:tcPr>
            <w:tcW w:type="dxa" w:w="4535"/>
          </w:tcPr>
          <w:p>
            <w:r/>
            <w:r>
              <w:rPr>
                <w:sz w:val="17"/>
              </w:rPr>
              <w:t>Replaces year / quarter / month; they dim while it is active.</w:t>
            </w:r>
          </w:p>
        </w:tc>
      </w:tr>
      <w:tr>
        <w:tc>
          <w:tcPr>
            <w:tcW w:type="dxa" w:w="1587"/>
          </w:tcPr>
          <w:p>
            <w:r/>
            <w:r>
              <w:rPr>
                <w:sz w:val="17"/>
              </w:rPr>
              <w:t>₹ INR / $ USD</w:t>
            </w:r>
          </w:p>
        </w:tc>
        <w:tc>
          <w:tcPr>
            <w:tcW w:type="dxa" w:w="3515"/>
          </w:tcPr>
          <w:p>
            <w:r/>
            <w:r>
              <w:rPr>
                <w:sz w:val="17"/>
              </w:rPr>
              <w:t>INR</w:t>
            </w:r>
          </w:p>
        </w:tc>
        <w:tc>
          <w:tcPr>
            <w:tcW w:type="dxa" w:w="4535"/>
          </w:tcPr>
          <w:p>
            <w:r/>
            <w:r>
              <w:rPr>
                <w:sz w:val="17"/>
              </w:rPr>
              <w:t>Display only.</w:t>
            </w:r>
          </w:p>
        </w:tc>
      </w:tr>
      <w:tr>
        <w:tc>
          <w:tcPr>
            <w:tcW w:type="dxa" w:w="1587"/>
          </w:tcPr>
          <w:p>
            <w:r/>
            <w:r>
              <w:rPr>
                <w:sz w:val="17"/>
              </w:rPr>
              <w:t>+ Add KPI</w:t>
            </w:r>
          </w:p>
        </w:tc>
        <w:tc>
          <w:tcPr>
            <w:tcW w:type="dxa" w:w="3515"/>
          </w:tcPr>
          <w:p>
            <w:r/>
            <w:r>
              <w:rPr>
                <w:sz w:val="17"/>
              </w:rPr>
              <w:t>Headline three only, plus up to 6 more</w:t>
            </w:r>
          </w:p>
        </w:tc>
        <w:tc>
          <w:tcPr>
            <w:tcW w:type="dxa" w:w="4535"/>
          </w:tcPr>
          <w:p>
            <w:r/>
            <w:r>
              <w:rPr>
                <w:sz w:val="17"/>
              </w:rPr>
              <w:t>Adds cards; remembered in the browser (</w:t>
            </w:r>
            <w:r>
              <w:rPr>
                <w:rFonts w:ascii="Consolas" w:hAnsi="Consolas" w:eastAsia="Consolas"/>
                <w:sz w:val="17"/>
              </w:rPr>
              <w:t>mmm-insights-hub.kpis.added</w:t>
            </w:r>
            <w:r>
              <w:rPr>
                <w:sz w:val="17"/>
              </w:rPr>
              <w:t>).</w:t>
            </w:r>
          </w:p>
        </w:tc>
      </w:tr>
      <w:tr>
        <w:tc>
          <w:tcPr>
            <w:tcW w:type="dxa" w:w="1587"/>
          </w:tcPr>
          <w:p>
            <w:r/>
            <w:r>
              <w:rPr>
                <w:sz w:val="17"/>
              </w:rPr>
              <w:t>Refresh</w:t>
            </w:r>
          </w:p>
        </w:tc>
        <w:tc>
          <w:tcPr>
            <w:tcW w:type="dxa" w:w="3515"/>
          </w:tcPr>
          <w:p>
            <w:r/>
            <w:r>
              <w:rPr>
                <w:sz w:val="17"/>
              </w:rPr>
              <w:t>—</w:t>
            </w:r>
          </w:p>
        </w:tc>
        <w:tc>
          <w:tcPr>
            <w:tcW w:type="dxa" w:w="4535"/>
          </w:tcPr>
          <w:p>
            <w:r/>
            <w:r>
              <w:rPr>
                <w:sz w:val="17"/>
              </w:rPr>
              <w:t>Re-fetches every MMM query.</w:t>
            </w:r>
          </w:p>
        </w:tc>
      </w:tr>
      <w:tr>
        <w:tc>
          <w:tcPr>
            <w:tcW w:type="dxa" w:w="1587"/>
          </w:tcPr>
          <w:p>
            <w:r/>
            <w:r>
              <w:rPr>
                <w:sz w:val="17"/>
              </w:rPr>
              <w:t>Export</w:t>
            </w:r>
          </w:p>
        </w:tc>
        <w:tc>
          <w:tcPr>
            <w:tcW w:type="dxa" w:w="3515"/>
          </w:tcPr>
          <w:p>
            <w:r/>
            <w:r>
              <w:rPr>
                <w:sz w:val="17"/>
              </w:rPr>
              <w:t>—</w:t>
            </w:r>
          </w:p>
        </w:tc>
        <w:tc>
          <w:tcPr>
            <w:tcW w:type="dxa" w:w="4535"/>
          </w:tcPr>
          <w:p>
            <w:r/>
            <w:r>
              <w:rPr>
                <w:sz w:val="17"/>
              </w:rPr>
              <w:t>Builds an Excel + PDF report of the current scope (Part H).</w:t>
            </w:r>
          </w:p>
        </w:tc>
      </w:tr>
    </w:tbl>
    <w:p>
      <w:pPr>
        <w:spacing w:after="0"/>
      </w:pPr>
    </w:p>
    <w:tbl>
      <w:tblPr>
        <w:tblW w:type="auto" w:w="0"/>
        <w:tblLook w:firstColumn="1" w:firstRow="1" w:lastColumn="0" w:lastRow="0" w:noHBand="0" w:noVBand="1" w:val="04A0"/>
      </w:tblPr>
      <w:tblGrid>
        <w:gridCol w:w="9638"/>
      </w:tblGrid>
      <w:tr>
        <w:tc>
          <w:tcPr>
            <w:tcW w:type="dxa" w:w="9638"/>
            <w:shd w:val="clear" w:color="auto" w:fill="FFF8E6"/>
          </w:tcPr>
          <w:p>
            <w:r>
              <w:rPr>
                <w:b/>
              </w:rPr>
              <w:t xml:space="preserve">Implementation note. </w:t>
            </w:r>
            <w:r>
              <w:t>The backend also supports channel, week, promotion-type and event filters and a daily trend, but this page sends them empty and offers Weekly / Monthly only. They remain available through the API and reports.</w:t>
            </w:r>
          </w:p>
        </w:tc>
      </w:tr>
    </w:tbl>
    <w:p>
      <w:pPr>
        <w:spacing w:after="0"/>
      </w:pPr>
    </w:p>
    <w:p>
      <w:pPr>
        <w:pStyle w:val="Heading2"/>
      </w:pPr>
      <w:r>
        <w:t>B.2 The baseline: what the days would earn without ads</w:t>
      </w:r>
    </w:p>
    <w:p>
      <w:r>
        <w:t xml:space="preserve">Every Insights Hub ROAS and incremental figure rests on a </w:t>
      </w:r>
      <w:r>
        <w:rPr>
          <w:b/>
        </w:rPr>
        <w:t>baseline per day</w:t>
      </w:r>
      <w:r>
        <w:t xml:space="preserve"> (</w:t>
      </w:r>
      <w:r>
        <w:rPr>
          <w:rFonts w:ascii="Consolas" w:hAnsi="Consolas" w:eastAsia="Consolas"/>
          <w:sz w:val="19"/>
        </w:rPr>
        <w:t>backend/app/mmm/baseline.py</w:t>
      </w:r>
      <w:r>
        <w:t xml:space="preserve">). The method is a </w:t>
      </w:r>
      <w:r>
        <w:rPr>
          <w:b/>
        </w:rPr>
        <w:t>matched-difference</w:t>
      </w:r>
      <w:r>
        <w:t xml:space="preserve"> (difference-in-means) estimator over three kinds of day: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134"/>
            <w:shd w:val="clear" w:color="auto" w:fill="EAF0F8"/>
          </w:tcPr>
          <w:p>
            <w:r/>
            <w:r>
              <w:rPr>
                <w:b/>
                <w:color w:val="1F3A68"/>
                <w:sz w:val="18"/>
              </w:rPr>
              <w:t>Day class</w:t>
            </w:r>
          </w:p>
        </w:tc>
        <w:tc>
          <w:tcPr>
            <w:tcW w:type="dxa" w:w="4535"/>
            <w:shd w:val="clear" w:color="auto" w:fill="EAF0F8"/>
          </w:tcPr>
          <w:p>
            <w:r/>
            <w:r>
              <w:rPr>
                <w:b/>
                <w:color w:val="1F3A68"/>
                <w:sz w:val="18"/>
              </w:rPr>
              <w:t>Definition</w:t>
            </w:r>
          </w:p>
        </w:tc>
        <w:tc>
          <w:tcPr>
            <w:tcW w:type="dxa" w:w="2268"/>
            <w:shd w:val="clear" w:color="auto" w:fill="EAF0F8"/>
          </w:tcPr>
          <w:p>
            <w:r/>
            <w:r>
              <w:rPr>
                <w:b/>
                <w:color w:val="1F3A68"/>
                <w:sz w:val="18"/>
              </w:rPr>
              <w:t>2025: mean revenue / day</w:t>
            </w:r>
          </w:p>
        </w:tc>
        <w:tc>
          <w:tcPr>
            <w:tcW w:type="dxa" w:w="1701"/>
            <w:shd w:val="clear" w:color="auto" w:fill="EAF0F8"/>
          </w:tcPr>
          <w:p>
            <w:r/>
            <w:r>
              <w:rPr>
                <w:b/>
                <w:color w:val="1F3A68"/>
                <w:sz w:val="18"/>
              </w:rPr>
              <w:t>Days</w:t>
            </w:r>
          </w:p>
        </w:tc>
      </w:tr>
      <w:tr>
        <w:tc>
          <w:tcPr>
            <w:tcW w:type="dxa" w:w="1134"/>
          </w:tcPr>
          <w:p>
            <w:r/>
            <w:r>
              <w:rPr>
                <w:b/>
                <w:sz w:val="18"/>
              </w:rPr>
              <w:t>X</w:t>
            </w:r>
          </w:p>
        </w:tc>
        <w:tc>
          <w:tcPr>
            <w:tcW w:type="dxa" w:w="4535"/>
          </w:tcPr>
          <w:p>
            <w:r/>
            <w:r>
              <w:rPr>
                <w:sz w:val="18"/>
              </w:rPr>
              <w:t xml:space="preserve">Ad spend &gt; 0 </w:t>
            </w:r>
            <w:r>
              <w:rPr>
                <w:b/>
                <w:sz w:val="18"/>
              </w:rPr>
              <w:t>and</w:t>
            </w:r>
            <w:r>
              <w:rPr>
                <w:sz w:val="18"/>
              </w:rPr>
              <w:t xml:space="preserve"> Festival = Seasonal = Promotion = 1</w:t>
            </w:r>
          </w:p>
        </w:tc>
        <w:tc>
          <w:tcPr>
            <w:tcW w:type="dxa" w:w="2268"/>
          </w:tcPr>
          <w:p>
            <w:r/>
            <w:r>
              <w:rPr>
                <w:sz w:val="18"/>
              </w:rPr>
              <w:t>₹5.24 Cr</w:t>
            </w:r>
          </w:p>
        </w:tc>
        <w:tc>
          <w:tcPr>
            <w:tcW w:type="dxa" w:w="1701"/>
          </w:tcPr>
          <w:p>
            <w:r/>
            <w:r>
              <w:rPr>
                <w:sz w:val="18"/>
              </w:rPr>
              <w:t>39</w:t>
            </w:r>
          </w:p>
        </w:tc>
      </w:tr>
      <w:tr>
        <w:tc>
          <w:tcPr>
            <w:tcW w:type="dxa" w:w="1134"/>
          </w:tcPr>
          <w:p>
            <w:r/>
            <w:r>
              <w:rPr>
                <w:b/>
                <w:sz w:val="18"/>
              </w:rPr>
              <w:t>Y</w:t>
            </w:r>
          </w:p>
        </w:tc>
        <w:tc>
          <w:tcPr>
            <w:tcW w:type="dxa" w:w="4535"/>
          </w:tcPr>
          <w:p>
            <w:r/>
            <w:r>
              <w:rPr>
                <w:sz w:val="18"/>
              </w:rPr>
              <w:t xml:space="preserve">No ad spend </w:t>
            </w:r>
            <w:r>
              <w:rPr>
                <w:b/>
                <w:sz w:val="18"/>
              </w:rPr>
              <w:t>and</w:t>
            </w:r>
            <w:r>
              <w:rPr>
                <w:sz w:val="18"/>
              </w:rPr>
              <w:t xml:space="preserve"> all three flags = 1</w:t>
            </w:r>
          </w:p>
        </w:tc>
        <w:tc>
          <w:tcPr>
            <w:tcW w:type="dxa" w:w="2268"/>
          </w:tcPr>
          <w:p>
            <w:r/>
            <w:r>
              <w:rPr>
                <w:sz w:val="18"/>
              </w:rPr>
              <w:t>₹4.15 Cr</w:t>
            </w:r>
          </w:p>
        </w:tc>
        <w:tc>
          <w:tcPr>
            <w:tcW w:type="dxa" w:w="1701"/>
          </w:tcPr>
          <w:p>
            <w:r/>
            <w:r>
              <w:rPr>
                <w:sz w:val="18"/>
              </w:rPr>
              <w:t>22</w:t>
            </w:r>
          </w:p>
        </w:tc>
      </w:tr>
      <w:tr>
        <w:tc>
          <w:tcPr>
            <w:tcW w:type="dxa" w:w="1134"/>
          </w:tcPr>
          <w:p>
            <w:r/>
            <w:r>
              <w:rPr>
                <w:b/>
                <w:sz w:val="18"/>
              </w:rPr>
              <w:t>R</w:t>
            </w:r>
          </w:p>
        </w:tc>
        <w:tc>
          <w:tcPr>
            <w:tcW w:type="dxa" w:w="4535"/>
          </w:tcPr>
          <w:p>
            <w:r/>
            <w:r>
              <w:rPr>
                <w:sz w:val="18"/>
              </w:rPr>
              <w:t xml:space="preserve">Ad spend &gt; 0 </w:t>
            </w:r>
            <w:r>
              <w:rPr>
                <w:b/>
                <w:sz w:val="18"/>
              </w:rPr>
              <w:t>and</w:t>
            </w:r>
            <w:r>
              <w:rPr>
                <w:sz w:val="18"/>
              </w:rPr>
              <w:t xml:space="preserve"> all three flags = 0</w:t>
            </w:r>
          </w:p>
        </w:tc>
        <w:tc>
          <w:tcPr>
            <w:tcW w:type="dxa" w:w="2268"/>
          </w:tcPr>
          <w:p>
            <w:r/>
            <w:r>
              <w:rPr>
                <w:sz w:val="18"/>
              </w:rPr>
              <w:t>₹4.32 Cr</w:t>
            </w:r>
          </w:p>
        </w:tc>
        <w:tc>
          <w:tcPr>
            <w:tcW w:type="dxa" w:w="1701"/>
          </w:tcPr>
          <w:p>
            <w:r/>
            <w:r>
              <w:rPr>
                <w:sz w:val="18"/>
              </w:rPr>
              <w:t>30</w:t>
            </w:r>
          </w:p>
        </w:tc>
      </w:tr>
    </w:tbl>
    <w:p>
      <w:pPr>
        <w:spacing w:after="0"/>
      </w:pPr>
    </w:p>
    <w:tbl>
      <w:tblPr>
        <w:tblW w:type="auto" w:w="0"/>
        <w:jc w:val="center"/>
        <w:tblLook w:firstColumn="1" w:firstRow="1" w:lastColumn="0" w:lastRow="0" w:noHBand="0" w:noVBand="1" w:val="04A0"/>
      </w:tblPr>
      <w:tblGrid>
        <w:gridCol w:w="9638"/>
      </w:tblGrid>
      <w:tr>
        <w:tc>
          <w:tcPr>
            <w:tcW w:type="dxa" w:w="9638"/>
            <w:shd w:val="clear" w:color="auto" w:fill="F3F4F6"/>
          </w:tcPr>
          <w:p>
            <w:pPr>
              <w:spacing w:after="0"/>
            </w:pPr>
            <w:r/>
            <w:r>
              <w:rPr>
                <w:rFonts w:ascii="Consolas" w:hAnsi="Consolas" w:eastAsia="Consolas"/>
                <w:sz w:val="19"/>
              </w:rPr>
              <w:t>Z  (ad lift per day)   = mean(X) − mean(Y)</w:t>
            </w:r>
          </w:p>
          <w:p>
            <w:pPr>
              <w:spacing w:after="0"/>
            </w:pPr>
            <w:r>
              <w:rPr>
                <w:rFonts w:ascii="Consolas" w:hAnsi="Consolas" w:eastAsia="Consolas"/>
                <w:sz w:val="19"/>
              </w:rPr>
              <w:t>Baseline per day       = mean(R) − Z</w:t>
            </w:r>
          </w:p>
          <w:p>
            <w:pPr>
              <w:spacing w:after="0"/>
            </w:pPr>
            <w:r>
              <w:rPr>
                <w:rFonts w:ascii="Consolas" w:hAnsi="Consolas" w:eastAsia="Consolas"/>
                <w:sz w:val="19"/>
              </w:rPr>
              <w:t>Baseline revenue       = Baseline per day × days in scope</w:t>
            </w:r>
          </w:p>
          <w:p>
            <w:pPr>
              <w:spacing w:after="0"/>
            </w:pPr>
            <w:r>
              <w:rPr>
                <w:rFonts w:ascii="Consolas" w:hAnsi="Consolas" w:eastAsia="Consolas"/>
                <w:sz w:val="19"/>
              </w:rPr>
              <w:t>Incremental revenue    = Total revenue − Baseline revenue</w:t>
            </w:r>
          </w:p>
          <w:p>
            <w:pPr>
              <w:spacing w:after="0"/>
            </w:pPr>
            <w:r>
              <w:rPr>
                <w:rFonts w:ascii="Consolas" w:hAnsi="Consolas" w:eastAsia="Consolas"/>
                <w:sz w:val="19"/>
              </w:rPr>
              <w:t>ROAS                   = Incremental revenue ÷ Total ad spend</w:t>
            </w:r>
          </w:p>
        </w:tc>
      </w:tr>
    </w:tbl>
    <w:p>
      <w:pPr>
        <w:spacing w:after="0"/>
      </w:pPr>
    </w:p>
    <w:p>
      <w:r>
        <w:rPr>
          <w:b/>
        </w:rPr>
        <w:t>Theory.</w:t>
      </w:r>
      <w:r>
        <w:t xml:space="preserve"> X and Y are identical in their events (all three on) and differ only in advertising, so X − Y isolates what ads add on a day: the </w:t>
      </w:r>
      <w:r>
        <w:rPr>
          <w:b/>
        </w:rPr>
        <w:t>ad lift Z</w:t>
      </w:r>
      <w:r>
        <w:t xml:space="preserve">. R is an ad day with no events; removing Z from it leaves what an ordinary day earns with neither ads nor events, which is the </w:t>
      </w:r>
      <w:r>
        <w:rPr>
          <w:b/>
        </w:rPr>
        <w:t>baseline</w:t>
      </w:r>
      <w:r>
        <w:t>. This is the same idea as a controlled comparison: hold the other factors fixed and difference out the one you want.</w:t>
      </w:r>
    </w:p>
    <w:tbl>
      <w:tblPr>
        <w:tblW w:type="auto" w:w="0"/>
        <w:tblLook w:firstColumn="1" w:firstRow="1" w:lastColumn="0" w:lastRow="0" w:noHBand="0" w:noVBand="1" w:val="04A0"/>
      </w:tblPr>
      <w:tblGrid>
        <w:gridCol w:w="9638"/>
      </w:tblGrid>
      <w:tr>
        <w:tc>
          <w:tcPr>
            <w:tcW w:type="dxa" w:w="9638"/>
            <w:shd w:val="clear" w:color="auto" w:fill="EAF0F8"/>
          </w:tcPr>
          <w:p>
            <w:r>
              <w:rPr>
                <w:b/>
                <w:color w:val="1F3A68"/>
              </w:rPr>
              <w:t>Worked example</w:t>
            </w:r>
          </w:p>
          <w:p>
            <w:r>
              <w:t xml:space="preserve">2025: Z = ₹5.24 Cr − ₹4.15 Cr = </w:t>
            </w:r>
            <w:r>
              <w:rPr>
                <w:b/>
              </w:rPr>
              <w:t>₹1.09 Cr</w:t>
            </w:r>
            <w:r>
              <w:t xml:space="preserve"> a day (Ad Revenue Lift / Day).</w:t>
            </w:r>
          </w:p>
          <w:p>
            <w:r>
              <w:t xml:space="preserve">Baseline per day = ₹4.32 Cr − ₹1.09 Cr = </w:t>
            </w:r>
            <w:r>
              <w:rPr>
                <w:b/>
              </w:rPr>
              <w:t>₹3.23 Cr</w:t>
            </w:r>
            <w:r>
              <w:t xml:space="preserve"> (Avg Daily Baseline).</w:t>
            </w:r>
          </w:p>
          <w:p>
            <w:r>
              <w:t xml:space="preserve">Baseline revenue = ₹3.23 Cr × 365 = </w:t>
            </w:r>
            <w:r>
              <w:rPr>
                <w:b/>
              </w:rPr>
              <w:t>₹1,179.26 Cr</w:t>
            </w:r>
            <w:r>
              <w:t xml:space="preserve">; incremental = ₹1,523.67 Cr − ₹1,179.26 Cr = </w:t>
            </w:r>
            <w:r>
              <w:rPr>
                <w:b/>
              </w:rPr>
              <w:t>₹344.41 Cr</w:t>
            </w:r>
            <w:r>
              <w:t>.</w:t>
            </w:r>
          </w:p>
          <w:p>
            <w:r>
              <w:t xml:space="preserve">ROAS = ₹344.41 Cr ÷ ₹225.48 Cr = </w:t>
            </w:r>
            <w:r>
              <w:rPr>
                <w:b/>
              </w:rPr>
              <w:t>1.53x</w:t>
            </w:r>
            <w:r>
              <w:t xml:space="preserve"> (2024: 1.97x, so the card shows −0.44).</w:t>
            </w:r>
          </w:p>
        </w:tc>
      </w:tr>
    </w:tbl>
    <w:p>
      <w:pPr>
        <w:spacing w:after="0"/>
      </w:pPr>
    </w:p>
    <w:p>
      <w:r>
        <w:rPr>
          <w:b/>
        </w:rPr>
        <w:t>Widening.</w:t>
      </w:r>
      <w:r>
        <w:t xml:space="preserve"> If the period lacks a day of X, Y or R (common for one month), the window is widened symmetrically by ±7 days, then ±14, and so on, until each class has at least one day. The estimate is then marked </w:t>
      </w:r>
      <w:r>
        <w:rPr>
          <w:b/>
        </w:rPr>
        <w:t>widened</w:t>
      </w:r>
      <w:r>
        <w:t xml:space="preserve"> and the tooltip says so. If the whole file lacks a class, or a flag column is missing, the baseline is shown as unavailable with the reason; it is never shown as zero.</w:t>
      </w:r>
    </w:p>
    <w:p>
      <w:r>
        <w:rPr>
          <w:b/>
        </w:rPr>
        <w:t>Why this method.</w:t>
      </w:r>
      <w:r>
        <w:t xml:space="preserve"> It is transparent (three averages), needs no fitting, can be re-run instantly for any scope, comparison window, trend bucket or channel, and can be explained on one line of a report. </w:t>
      </w:r>
      <w:r>
        <w:rPr>
          <w:b/>
        </w:rPr>
        <w:t>Limitations:</w:t>
      </w:r>
      <w:r>
        <w:t xml:space="preserve"> it uses only days where all three flags are on or all are off; it ignores carryover (an ad on Monday also lifts Tuesday) and diminishing returns; and with few X or Y days it is noisy. For planning, the platform therefore uses the fitted response model (Part D), not this estimator.</w:t>
      </w:r>
    </w:p>
    <w:p>
      <w:pPr>
        <w:pStyle w:val="Heading2"/>
      </w:pPr>
      <w:r>
        <w:t>B.3 KPI cards</w:t>
      </w:r>
    </w:p>
    <w:p>
      <w:r>
        <w:t xml:space="preserve">Each card shows the value, its change against the </w:t>
      </w:r>
      <w:r>
        <w:rPr>
          <w:b/>
        </w:rPr>
        <w:t>Year Ago</w:t>
      </w:r>
      <w:r>
        <w:t xml:space="preserve"> window and a sub-label “vs &lt;period&gt;”. Currency and count changes are % changes, </w:t>
      </w:r>
      <w:r>
        <w:rPr>
          <w:rFonts w:ascii="Consolas" w:hAnsi="Consolas" w:eastAsia="Consolas"/>
          <w:sz w:val="19"/>
        </w:rPr>
        <w:t>(now − before) ÷ |before| × 100</w:t>
      </w:r>
      <w:r>
        <w:t xml:space="preserve">; ROAS changes are differences of multiples, </w:t>
      </w:r>
      <w:r>
        <w:rPr>
          <w:rFonts w:ascii="Consolas" w:hAnsi="Consolas" w:eastAsia="Consolas"/>
          <w:sz w:val="19"/>
        </w:rPr>
        <w:t>now − before</w:t>
      </w:r>
      <w:r>
        <w:t>. Ad spend is marked neither good nor bad; for every other card, up is good.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1"/>
            <w:shd w:val="clear" w:color="auto" w:fill="EAF0F8"/>
          </w:tcPr>
          <w:p>
            <w:r/>
            <w:r>
              <w:rPr>
                <w:b/>
                <w:color w:val="1F3A68"/>
                <w:sz w:val="17"/>
              </w:rPr>
              <w:t>Card</w:t>
            </w:r>
          </w:p>
        </w:tc>
        <w:tc>
          <w:tcPr>
            <w:tcW w:type="dxa" w:w="4195"/>
            <w:shd w:val="clear" w:color="auto" w:fill="EAF0F8"/>
          </w:tcPr>
          <w:p>
            <w:r/>
            <w:r>
              <w:rPr>
                <w:b/>
                <w:color w:val="1F3A68"/>
                <w:sz w:val="17"/>
              </w:rPr>
              <w:t>Formula</w:t>
            </w:r>
          </w:p>
        </w:tc>
        <w:tc>
          <w:tcPr>
            <w:tcW w:type="dxa" w:w="1701"/>
            <w:shd w:val="clear" w:color="auto" w:fill="EAF0F8"/>
          </w:tcPr>
          <w:p>
            <w:r/>
            <w:r>
              <w:rPr>
                <w:b/>
                <w:color w:val="1F3A68"/>
                <w:sz w:val="17"/>
              </w:rPr>
              <w:t>2025 value</w:t>
            </w:r>
          </w:p>
        </w:tc>
        <w:tc>
          <w:tcPr>
            <w:tcW w:type="dxa" w:w="1701"/>
            <w:shd w:val="clear" w:color="auto" w:fill="EAF0F8"/>
          </w:tcPr>
          <w:p>
            <w:r/>
            <w:r>
              <w:rPr>
                <w:b/>
                <w:color w:val="1F3A68"/>
                <w:sz w:val="17"/>
              </w:rPr>
              <w:t>vs 2024</w:t>
            </w:r>
          </w:p>
        </w:tc>
      </w:tr>
      <w:tr>
        <w:tc>
          <w:tcPr>
            <w:tcW w:type="dxa" w:w="2041"/>
          </w:tcPr>
          <w:p>
            <w:r/>
            <w:r>
              <w:rPr>
                <w:sz w:val="17"/>
              </w:rPr>
              <w:t>Total Revenue</w:t>
            </w:r>
          </w:p>
        </w:tc>
        <w:tc>
          <w:tcPr>
            <w:tcW w:type="dxa" w:w="4195"/>
          </w:tcPr>
          <w:p>
            <w:r/>
            <w:r>
              <w:rPr>
                <w:sz w:val="17"/>
              </w:rPr>
              <w:t>Σ Revenue over the days in scope</w:t>
            </w:r>
          </w:p>
        </w:tc>
        <w:tc>
          <w:tcPr>
            <w:tcW w:type="dxa" w:w="1701"/>
          </w:tcPr>
          <w:p>
            <w:r/>
            <w:r>
              <w:rPr>
                <w:sz w:val="17"/>
              </w:rPr>
              <w:t>₹1,523.67 Cr</w:t>
            </w:r>
          </w:p>
        </w:tc>
        <w:tc>
          <w:tcPr>
            <w:tcW w:type="dxa" w:w="1701"/>
          </w:tcPr>
          <w:p>
            <w:r/>
            <w:r>
              <w:rPr>
                <w:sz w:val="17"/>
              </w:rPr>
              <w:t>+2.64%</w:t>
            </w:r>
          </w:p>
        </w:tc>
      </w:tr>
      <w:tr>
        <w:tc>
          <w:tcPr>
            <w:tcW w:type="dxa" w:w="2041"/>
          </w:tcPr>
          <w:p>
            <w:r/>
            <w:r>
              <w:rPr>
                <w:sz w:val="17"/>
              </w:rPr>
              <w:t>Total Ad Spend</w:t>
            </w:r>
          </w:p>
        </w:tc>
        <w:tc>
          <w:tcPr>
            <w:tcW w:type="dxa" w:w="4195"/>
          </w:tcPr>
          <w:p>
            <w:r/>
            <w:r>
              <w:rPr>
                <w:sz w:val="17"/>
              </w:rPr>
              <w:t>Σ of every channel’s spend (the sub-channels; roll-ups never counted)</w:t>
            </w:r>
          </w:p>
        </w:tc>
        <w:tc>
          <w:tcPr>
            <w:tcW w:type="dxa" w:w="1701"/>
          </w:tcPr>
          <w:p>
            <w:r/>
            <w:r>
              <w:rPr>
                <w:sz w:val="17"/>
              </w:rPr>
              <w:t>₹225.48 Cr</w:t>
            </w:r>
          </w:p>
        </w:tc>
        <w:tc>
          <w:tcPr>
            <w:tcW w:type="dxa" w:w="1701"/>
          </w:tcPr>
          <w:p>
            <w:r/>
            <w:r>
              <w:rPr>
                <w:sz w:val="17"/>
              </w:rPr>
              <w:t>+6.29%</w:t>
            </w:r>
          </w:p>
        </w:tc>
      </w:tr>
      <w:tr>
        <w:tc>
          <w:tcPr>
            <w:tcW w:type="dxa" w:w="2041"/>
          </w:tcPr>
          <w:p>
            <w:r/>
            <w:r>
              <w:rPr>
                <w:sz w:val="17"/>
              </w:rPr>
              <w:t>ROAS</w:t>
            </w:r>
          </w:p>
        </w:tc>
        <w:tc>
          <w:tcPr>
            <w:tcW w:type="dxa" w:w="4195"/>
          </w:tcPr>
          <w:p>
            <w:r/>
            <w:r>
              <w:rPr>
                <w:sz w:val="17"/>
              </w:rPr>
              <w:t>Incremental revenue ÷ ad spend</w:t>
            </w:r>
          </w:p>
        </w:tc>
        <w:tc>
          <w:tcPr>
            <w:tcW w:type="dxa" w:w="1701"/>
          </w:tcPr>
          <w:p>
            <w:r/>
            <w:r>
              <w:rPr>
                <w:sz w:val="17"/>
              </w:rPr>
              <w:t>1.53x</w:t>
            </w:r>
          </w:p>
        </w:tc>
        <w:tc>
          <w:tcPr>
            <w:tcW w:type="dxa" w:w="1701"/>
          </w:tcPr>
          <w:p>
            <w:r/>
            <w:r>
              <w:rPr>
                <w:sz w:val="17"/>
              </w:rPr>
              <w:t>−0.44</w:t>
            </w:r>
          </w:p>
        </w:tc>
      </w:tr>
      <w:tr>
        <w:tc>
          <w:tcPr>
            <w:tcW w:type="dxa" w:w="2041"/>
          </w:tcPr>
          <w:p>
            <w:r/>
            <w:r>
              <w:rPr>
                <w:sz w:val="17"/>
              </w:rPr>
              <w:t>Baseline Revenue</w:t>
            </w:r>
          </w:p>
        </w:tc>
        <w:tc>
          <w:tcPr>
            <w:tcW w:type="dxa" w:w="4195"/>
          </w:tcPr>
          <w:p>
            <w:r/>
            <w:r>
              <w:rPr>
                <w:sz w:val="17"/>
              </w:rPr>
              <w:t>Baseline per day × days</w:t>
            </w:r>
          </w:p>
        </w:tc>
        <w:tc>
          <w:tcPr>
            <w:tcW w:type="dxa" w:w="1701"/>
          </w:tcPr>
          <w:p>
            <w:r/>
            <w:r>
              <w:rPr>
                <w:sz w:val="17"/>
              </w:rPr>
              <w:t>₹1,179.26 Cr</w:t>
            </w:r>
          </w:p>
        </w:tc>
        <w:tc>
          <w:tcPr>
            <w:tcW w:type="dxa" w:w="1701"/>
          </w:tcPr>
          <w:p>
            <w:r/>
            <w:r>
              <w:rPr>
                <w:sz w:val="17"/>
              </w:rPr>
              <w:t>+10.51%</w:t>
            </w:r>
          </w:p>
        </w:tc>
      </w:tr>
      <w:tr>
        <w:tc>
          <w:tcPr>
            <w:tcW w:type="dxa" w:w="2041"/>
          </w:tcPr>
          <w:p>
            <w:r/>
            <w:r>
              <w:rPr>
                <w:sz w:val="17"/>
              </w:rPr>
              <w:t>Incremental Revenue</w:t>
            </w:r>
          </w:p>
        </w:tc>
        <w:tc>
          <w:tcPr>
            <w:tcW w:type="dxa" w:w="4195"/>
          </w:tcPr>
          <w:p>
            <w:r/>
            <w:r>
              <w:rPr>
                <w:sz w:val="17"/>
              </w:rPr>
              <w:t>Revenue − baseline revenue</w:t>
            </w:r>
          </w:p>
        </w:tc>
        <w:tc>
          <w:tcPr>
            <w:tcW w:type="dxa" w:w="1701"/>
          </w:tcPr>
          <w:p>
            <w:r/>
            <w:r>
              <w:rPr>
                <w:sz w:val="17"/>
              </w:rPr>
              <w:t>₹344.41 Cr</w:t>
            </w:r>
          </w:p>
        </w:tc>
        <w:tc>
          <w:tcPr>
            <w:tcW w:type="dxa" w:w="1701"/>
          </w:tcPr>
          <w:p>
            <w:r/>
            <w:r>
              <w:rPr>
                <w:sz w:val="17"/>
              </w:rPr>
              <w:t>−17.48%</w:t>
            </w:r>
          </w:p>
        </w:tc>
      </w:tr>
      <w:tr>
        <w:tc>
          <w:tcPr>
            <w:tcW w:type="dxa" w:w="2041"/>
          </w:tcPr>
          <w:p>
            <w:r/>
            <w:r>
              <w:rPr>
                <w:sz w:val="17"/>
              </w:rPr>
              <w:t>Avg Daily Baseline</w:t>
            </w:r>
          </w:p>
        </w:tc>
        <w:tc>
          <w:tcPr>
            <w:tcW w:type="dxa" w:w="4195"/>
          </w:tcPr>
          <w:p>
            <w:r/>
            <w:r>
              <w:rPr>
                <w:sz w:val="17"/>
              </w:rPr>
              <w:t>mean(R) − (mean(X) − mean(Y))</w:t>
            </w:r>
          </w:p>
        </w:tc>
        <w:tc>
          <w:tcPr>
            <w:tcW w:type="dxa" w:w="1701"/>
          </w:tcPr>
          <w:p>
            <w:r/>
            <w:r>
              <w:rPr>
                <w:sz w:val="17"/>
              </w:rPr>
              <w:t>₹3.23 Cr</w:t>
            </w:r>
          </w:p>
        </w:tc>
        <w:tc>
          <w:tcPr>
            <w:tcW w:type="dxa" w:w="1701"/>
          </w:tcPr>
          <w:p>
            <w:r/>
            <w:r>
              <w:rPr>
                <w:sz w:val="17"/>
              </w:rPr>
              <w:t>+10.81%</w:t>
            </w:r>
          </w:p>
        </w:tc>
      </w:tr>
      <w:tr>
        <w:tc>
          <w:tcPr>
            <w:tcW w:type="dxa" w:w="2041"/>
          </w:tcPr>
          <w:p>
            <w:r/>
            <w:r>
              <w:rPr>
                <w:sz w:val="17"/>
              </w:rPr>
              <w:t>Avg Daily Revenue</w:t>
            </w:r>
          </w:p>
        </w:tc>
        <w:tc>
          <w:tcPr>
            <w:tcW w:type="dxa" w:w="4195"/>
          </w:tcPr>
          <w:p>
            <w:r/>
            <w:r>
              <w:rPr>
                <w:sz w:val="17"/>
              </w:rPr>
              <w:t>Revenue ÷ days</w:t>
            </w:r>
          </w:p>
        </w:tc>
        <w:tc>
          <w:tcPr>
            <w:tcW w:type="dxa" w:w="1701"/>
          </w:tcPr>
          <w:p>
            <w:r/>
            <w:r>
              <w:rPr>
                <w:sz w:val="17"/>
              </w:rPr>
              <w:t>₹4.17 Cr</w:t>
            </w:r>
          </w:p>
        </w:tc>
        <w:tc>
          <w:tcPr>
            <w:tcW w:type="dxa" w:w="1701"/>
          </w:tcPr>
          <w:p>
            <w:r/>
            <w:r>
              <w:rPr>
                <w:sz w:val="17"/>
              </w:rPr>
              <w:t>+2.92%</w:t>
            </w:r>
          </w:p>
        </w:tc>
      </w:tr>
      <w:tr>
        <w:tc>
          <w:tcPr>
            <w:tcW w:type="dxa" w:w="2041"/>
          </w:tcPr>
          <w:p>
            <w:r/>
            <w:r>
              <w:rPr>
                <w:sz w:val="17"/>
              </w:rPr>
              <w:t>Ad Revenue Lift / Day</w:t>
            </w:r>
          </w:p>
        </w:tc>
        <w:tc>
          <w:tcPr>
            <w:tcW w:type="dxa" w:w="4195"/>
          </w:tcPr>
          <w:p>
            <w:r/>
            <w:r>
              <w:rPr>
                <w:sz w:val="17"/>
              </w:rPr>
              <w:t>mean(X) − mean(Y)</w:t>
            </w:r>
          </w:p>
        </w:tc>
        <w:tc>
          <w:tcPr>
            <w:tcW w:type="dxa" w:w="1701"/>
          </w:tcPr>
          <w:p>
            <w:r/>
            <w:r>
              <w:rPr>
                <w:sz w:val="17"/>
              </w:rPr>
              <w:t>₹1.09 Cr</w:t>
            </w:r>
          </w:p>
        </w:tc>
        <w:tc>
          <w:tcPr>
            <w:tcW w:type="dxa" w:w="1701"/>
          </w:tcPr>
          <w:p>
            <w:r/>
            <w:r>
              <w:rPr>
                <w:sz w:val="17"/>
              </w:rPr>
              <w:t>−14.39%</w:t>
            </w:r>
          </w:p>
        </w:tc>
      </w:tr>
      <w:tr>
        <w:tc>
          <w:tcPr>
            <w:tcW w:type="dxa" w:w="2041"/>
          </w:tcPr>
          <w:p>
            <w:r/>
            <w:r>
              <w:rPr>
                <w:sz w:val="17"/>
              </w:rPr>
              <w:t>Days With Ad Spend</w:t>
            </w:r>
          </w:p>
        </w:tc>
        <w:tc>
          <w:tcPr>
            <w:tcW w:type="dxa" w:w="4195"/>
          </w:tcPr>
          <w:p>
            <w:r/>
            <w:r>
              <w:rPr>
                <w:sz w:val="17"/>
              </w:rPr>
              <w:t>Count of days with spend &gt; 0</w:t>
            </w:r>
          </w:p>
        </w:tc>
        <w:tc>
          <w:tcPr>
            <w:tcW w:type="dxa" w:w="1701"/>
          </w:tcPr>
          <w:p>
            <w:r/>
            <w:r>
              <w:rPr>
                <w:sz w:val="17"/>
              </w:rPr>
              <w:t>180</w:t>
            </w:r>
          </w:p>
        </w:tc>
        <w:tc>
          <w:tcPr>
            <w:tcW w:type="dxa" w:w="1701"/>
          </w:tcPr>
          <w:p>
            <w:r/>
            <w:r>
              <w:rPr>
                <w:sz w:val="17"/>
              </w:rPr>
              <w:t>+4.05%</w:t>
            </w:r>
          </w:p>
        </w:tc>
      </w:tr>
    </w:tbl>
    <w:p>
      <w:pPr>
        <w:spacing w:after="0"/>
      </w:pPr>
    </w:p>
    <w:p>
      <w:r>
        <w:rPr>
          <w:b/>
        </w:rPr>
        <w:t>Reading the example.</w:t>
      </w:r>
      <w:r>
        <w:t xml:space="preserve"> Revenue rose 2.6% while spend rose 6.3%, but the baseline rose 10.5%, so less of the revenue is credited to ads (incremental −17.5%) and ROAS fell from 1.97x to 1.53x.</w:t>
      </w:r>
    </w:p>
    <w:p>
      <w:pPr>
        <w:pStyle w:val="Heading2"/>
      </w:pPr>
      <w:r>
        <w:t>B.4 Ad Spend &amp; ROAS Trend</w:t>
      </w:r>
    </w:p>
    <w:p>
      <w:pPr>
        <w:pStyle w:val="ListBullet"/>
        <w:spacing w:after="40"/>
      </w:pPr>
      <w:r>
        <w:rPr>
          <w:b/>
        </w:rPr>
        <w:t>Buckets:</w:t>
      </w:r>
      <w:r>
        <w:t xml:space="preserve"> Monthly (default) or Weekly (weeks start Monday, labelled by their first day).</w:t>
      </w:r>
    </w:p>
    <w:p>
      <w:pPr>
        <w:pStyle w:val="ListBullet"/>
        <w:spacing w:after="40"/>
      </w:pPr>
      <w:r>
        <w:rPr>
          <w:b/>
        </w:rPr>
        <w:t>Per bucket:</w:t>
      </w:r>
      <w:r>
        <w:t xml:space="preserve"> spend = Σ spend; revenue = Σ revenue; baseline = baseline per day </w:t>
      </w:r>
      <w:r>
        <w:rPr>
          <w:b/>
        </w:rPr>
        <w:t>re-estimated inside the bucket</w:t>
      </w:r>
      <w:r>
        <w:t xml:space="preserve"> × its days; ROAS = (revenue − baseline) ÷ spend.</w:t>
      </w:r>
    </w:p>
    <w:p>
      <w:pPr>
        <w:pStyle w:val="ListBullet"/>
        <w:spacing w:after="40"/>
      </w:pPr>
      <w:r>
        <w:rPr>
          <w:b/>
        </w:rPr>
        <w:t>Axes:</w:t>
      </w:r>
      <w:r>
        <w:t xml:space="preserve"> ad spend on the left (₹), ROAS on the right (x); the dotted line is break-even at 1.00x. A month with no spend leaves a gap in the ROAS line.</w:t>
      </w:r>
    </w:p>
    <w:p>
      <w:pPr>
        <w:pStyle w:val="ListBullet"/>
        <w:spacing w:after="40"/>
      </w:pPr>
      <w:r>
        <w:rPr>
          <w:b/>
        </w:rPr>
        <w:t>Tooltip:</w:t>
      </w:r>
      <w:r>
        <w:t xml:space="preserve"> spend, ROAS (a red “Below break-even” badge under 1.00x), the number of ad days, and the </w:t>
      </w:r>
      <w:r>
        <w:rPr>
          <w:b/>
        </w:rPr>
        <w:t>event mix</w:t>
      </w:r>
      <w:r>
        <w:t xml:space="preserve"> of those days (e.g. “Festival + Seasonal + 5% Discount · 2 days · 15%”), plus a note if the baseline was widened.</w:t>
      </w:r>
    </w:p>
    <w:tbl>
      <w:tblPr>
        <w:tblW w:type="auto" w:w="0"/>
        <w:tblLook w:firstColumn="1" w:firstRow="1" w:lastColumn="0" w:lastRow="0" w:noHBand="0" w:noVBand="1" w:val="04A0"/>
      </w:tblPr>
      <w:tblGrid>
        <w:gridCol w:w="9638"/>
      </w:tblGrid>
      <w:tr>
        <w:tc>
          <w:tcPr>
            <w:tcW w:type="dxa" w:w="9638"/>
            <w:shd w:val="clear" w:color="auto" w:fill="EAF0F8"/>
          </w:tcPr>
          <w:p>
            <w:r>
              <w:rPr>
                <w:b/>
                <w:color w:val="1F3A68"/>
              </w:rPr>
              <w:t>Worked example</w:t>
            </w:r>
          </w:p>
          <w:p>
            <w:r>
              <w:t xml:space="preserve">Jan 2025: spend ₹15.66 Cr, revenue ₹111.81 Cr, baseline ₹97.44 Cr → ROAS = (111.81 − 97.44) ÷ 15.66 = </w:t>
            </w:r>
            <w:r>
              <w:rPr>
                <w:b/>
              </w:rPr>
              <w:t>0.92x</w:t>
            </w:r>
            <w:r>
              <w:t xml:space="preserve"> (below break-even). Feb 2025: </w:t>
            </w:r>
            <w:r>
              <w:rPr>
                <w:b/>
              </w:rPr>
              <w:t>1.59x</w:t>
            </w:r>
            <w:r>
              <w:t>.</w:t>
            </w:r>
          </w:p>
        </w:tc>
      </w:tr>
    </w:tbl>
    <w:p>
      <w:pPr>
        <w:spacing w:after="0"/>
      </w:pPr>
    </w:p>
    <w:p>
      <w:pPr>
        <w:pStyle w:val="Heading2"/>
      </w:pPr>
      <w:r>
        <w:t>B.5 Revenue Decomposition (donut)</w:t>
      </w:r>
    </w:p>
    <w:p>
      <w:r>
        <w:t>The identity behind the donut (</w:t>
      </w:r>
      <w:r>
        <w:rPr>
          <w:rFonts w:ascii="Consolas" w:hAnsi="Consolas" w:eastAsia="Consolas"/>
          <w:sz w:val="19"/>
        </w:rPr>
        <w:t>backend/app/mmm/decomposition.py</w:t>
      </w:r>
      <w:r>
        <w:t>):</w:t>
      </w:r>
    </w:p>
    <w:tbl>
      <w:tblPr>
        <w:tblW w:type="auto" w:w="0"/>
        <w:jc w:val="center"/>
        <w:tblLook w:firstColumn="1" w:firstRow="1" w:lastColumn="0" w:lastRow="0" w:noHBand="0" w:noVBand="1" w:val="04A0"/>
      </w:tblPr>
      <w:tblGrid>
        <w:gridCol w:w="9638"/>
      </w:tblGrid>
      <w:tr>
        <w:tc>
          <w:tcPr>
            <w:tcW w:type="dxa" w:w="9638"/>
            <w:shd w:val="clear" w:color="auto" w:fill="F3F4F6"/>
          </w:tcPr>
          <w:p>
            <w:pPr>
              <w:spacing w:after="0"/>
            </w:pPr>
            <w:r/>
            <w:r>
              <w:rPr>
                <w:rFonts w:ascii="Consolas" w:hAnsi="Consolas" w:eastAsia="Consolas"/>
                <w:sz w:val="19"/>
              </w:rPr>
              <w:t>Revenue = Baseline + Festival + Seasonal + Promotion + Σ channel contributions</w:t>
            </w:r>
          </w:p>
        </w:tc>
      </w:tr>
    </w:tbl>
    <w:p>
      <w:pPr>
        <w:spacing w:after="0"/>
      </w:pPr>
    </w:p>
    <w:p>
      <w:r>
        <w:rPr>
          <w:b/>
        </w:rPr>
        <w:t>Step 1 – a regression on every day of the file:</w:t>
      </w:r>
    </w:p>
    <w:tbl>
      <w:tblPr>
        <w:tblW w:type="auto" w:w="0"/>
        <w:jc w:val="center"/>
        <w:tblLook w:firstColumn="1" w:firstRow="1" w:lastColumn="0" w:lastRow="0" w:noHBand="0" w:noVBand="1" w:val="04A0"/>
      </w:tblPr>
      <w:tblGrid>
        <w:gridCol w:w="9638"/>
      </w:tblGrid>
      <w:tr>
        <w:tc>
          <w:tcPr>
            <w:tcW w:type="dxa" w:w="9638"/>
            <w:shd w:val="clear" w:color="auto" w:fill="F3F4F6"/>
          </w:tcPr>
          <w:p>
            <w:pPr>
              <w:spacing w:after="0"/>
            </w:pPr>
            <w:r/>
            <w:r>
              <w:rPr>
                <w:rFonts w:ascii="Consolas" w:hAnsi="Consolas" w:eastAsia="Consolas"/>
                <w:sz w:val="19"/>
              </w:rPr>
              <w:t>Revenue_t = b0 + b_trend·t + b_media·Spend_t + b_fest·Festival_t + b_seas·Seasonal_t + b_promo·Promotion_t + e_t</w:t>
            </w:r>
          </w:p>
        </w:tc>
      </w:tr>
    </w:tbl>
    <w:p>
      <w:pPr>
        <w:spacing w:after="0"/>
      </w:pPr>
    </w:p>
    <w:p>
      <w:r>
        <w:t xml:space="preserve">It is fitted by ordinary least squares with </w:t>
      </w:r>
      <w:r>
        <w:rPr>
          <w:b/>
        </w:rPr>
        <w:t>non-negativity</w:t>
      </w:r>
      <w:r>
        <w:t xml:space="preserve"> on the media and event coefficients, using an active-set loop: refit, drop the most negative coefficient, and repeat until none is negative. The trend is left free. The fit is cached per channel selection; its R² is reported (0.75 on the reference data).</w:t>
      </w:r>
    </w:p>
    <w:p>
      <w:r>
        <w:rPr>
          <w:b/>
        </w:rPr>
        <w:t>Step 2 – the split for the scope:</w:t>
      </w:r>
    </w:p>
    <w:p>
      <w:pPr>
        <w:pStyle w:val="ListBullet"/>
        <w:spacing w:after="40"/>
      </w:pPr>
      <w:r>
        <w:t>Baseline = the hub’s baseline revenue (B.2), clamped to [0, revenue]. If it is unavailable, the model’s Σ(b0 + b_trend·t) is used and labelled as such.</w:t>
      </w:r>
    </w:p>
    <w:p>
      <w:pPr>
        <w:pStyle w:val="ListBullet"/>
        <w:spacing w:after="40"/>
      </w:pPr>
      <w:r>
        <w:t xml:space="preserve">Incremental = revenue − baseline. It is divided among the drivers </w:t>
      </w:r>
      <w:r>
        <w:rPr>
          <w:b/>
        </w:rPr>
        <w:t>in proportion to their weights</w:t>
      </w:r>
      <w:r>
        <w:t xml:space="preserve"> over the scope: media = b_media × Σ spend; each event = b_event × Σ flag-days.</w:t>
      </w:r>
    </w:p>
    <w:p>
      <w:pPr>
        <w:pStyle w:val="ListBullet"/>
        <w:spacing w:after="40"/>
      </w:pPr>
      <w:r>
        <w:t xml:space="preserve">The media slice is divided among channels </w:t>
      </w:r>
      <w:r>
        <w:rPr>
          <w:b/>
        </w:rPr>
        <w:t>in proportion to spend</w:t>
      </w:r>
      <w:r>
        <w:t>, then summed into families. Each slice’s share is value ÷ revenue × 100.</w:t>
      </w:r>
    </w:p>
    <w:tbl>
      <w:tblPr>
        <w:tblW w:type="auto" w:w="0"/>
        <w:tblLook w:firstColumn="1" w:firstRow="1" w:lastColumn="0" w:lastRow="0" w:noHBand="0" w:noVBand="1" w:val="04A0"/>
      </w:tblPr>
      <w:tblGrid>
        <w:gridCol w:w="9638"/>
      </w:tblGrid>
      <w:tr>
        <w:tc>
          <w:tcPr>
            <w:tcW w:type="dxa" w:w="9638"/>
            <w:shd w:val="clear" w:color="auto" w:fill="EAF0F8"/>
          </w:tcPr>
          <w:p>
            <w:r>
              <w:rPr>
                <w:b/>
                <w:color w:val="1F3A68"/>
              </w:rPr>
              <w:t>Worked example</w:t>
            </w:r>
          </w:p>
          <w:p>
            <w:r>
              <w:t>2025: revenue ₹1,523.67 Cr; Baseline ₹1,179.26 Cr (77.40%), Festival ₹56.18 Cr (3.69%), Seasonal ₹40.94 Cr (2.69%), Promotion ₹33.16 Cr (2.18%), Ad Spend ₹214.13 Cr (14.05%).</w:t>
            </w:r>
          </w:p>
          <w:p>
            <w:r>
              <w:t>Ad Spend drills into Broadcast &amp; Video ₹66.41 Cr (TV ₹36.97 Cr, OTT ₹18.55 Cr, …), Search &amp; Programmatic ₹41.34 Cr, and so on.</w:t>
            </w:r>
          </w:p>
        </w:tc>
      </w:tr>
    </w:tbl>
    <w:p>
      <w:pPr>
        <w:spacing w:after="0"/>
      </w:pPr>
    </w:p>
    <w:p>
      <w:r>
        <w:rPr>
          <w:b/>
        </w:rPr>
        <w:t>Interaction:</w:t>
      </w:r>
      <w:r>
        <w:t xml:space="preserve"> the driver chips can be combined; the summary then shows the selected total and its % of revenue. With none selected it shows “Above baseline · events and ads” = revenue − baseline (₹344.41 Cr, 22.60%). Click Ad Spend → a family → its channels; “All drivers” and “Ad Spend” go back up.</w:t>
      </w:r>
    </w:p>
    <w:p>
      <w:r>
        <w:rPr>
          <w:b/>
        </w:rPr>
        <w:t>Why this design.</w:t>
      </w:r>
      <w:r>
        <w:t xml:space="preserve"> The regression gives each driver a weight learned from all 11 years; the scope’s own baseline keeps the donut consistent with the KPI cards; proportional splitting guarantees the slices add up exactly to revenue. </w:t>
      </w:r>
      <w:r>
        <w:rPr>
          <w:b/>
        </w:rPr>
        <w:t>Limitation:</w:t>
      </w:r>
      <w:r>
        <w:t xml:space="preserve"> splitting channels by spend assumes equal efficiency within the media slice. For channel efficiency use the channel card (B.6) or, better, the response model (Part D).</w:t>
      </w:r>
    </w:p>
    <w:p>
      <w:pPr>
        <w:pStyle w:val="Heading2"/>
      </w:pPr>
      <w:r>
        <w:t>B.6 Channel card: Revenue / Ad Spend / ROAS by Channel</w:t>
      </w:r>
    </w:p>
    <w:p>
      <w:pPr>
        <w:pStyle w:val="ListBullet"/>
        <w:spacing w:after="40"/>
      </w:pPr>
      <w:r>
        <w:rPr>
          <w:b/>
        </w:rPr>
        <w:t>Measure:</w:t>
      </w:r>
      <w:r>
        <w:t xml:space="preserve"> Revenue, Ad Spend (default) or ROAS. </w:t>
      </w:r>
      <w:r>
        <w:rPr>
          <w:b/>
        </w:rPr>
        <w:t>Chart:</w:t>
      </w:r>
      <w:r>
        <w:t xml:space="preserve"> Pie (default) or Bar; ROAS always uses bars. </w:t>
      </w:r>
      <w:r>
        <w:rPr>
          <w:b/>
        </w:rPr>
        <w:t>Rows:</w:t>
      </w:r>
      <w:r>
        <w:t xml:space="preserve"> Top 10 / All.</w:t>
      </w:r>
    </w:p>
    <w:p>
      <w:pPr>
        <w:pStyle w:val="ListBullet"/>
        <w:spacing w:after="40"/>
      </w:pPr>
      <w:r>
        <w:t xml:space="preserve">It opens on </w:t>
      </w:r>
      <w:r>
        <w:rPr>
          <w:b/>
        </w:rPr>
        <w:t>families</w:t>
      </w:r>
      <w:r>
        <w:t>; click one for its channels. Rows are sorted by the measure, with empty values last.</w:t>
      </w:r>
    </w:p>
    <w:tbl>
      <w:tblPr>
        <w:tblStyle w:val="TableGrid"/>
        <w:tblW w:type="auto" w:w="0"/>
        <w:jc w:val="center"/>
        <w:tblLook w:firstColumn="1" w:firstRow="1" w:lastColumn="0" w:lastRow="0" w:noHBand="0" w:noVBand="1" w:val="04A0"/>
      </w:tblPr>
      <w:tblGrid>
        <w:gridCol w:w="4819"/>
        <w:gridCol w:w="4819"/>
      </w:tblGrid>
      <w:tr>
        <w:tc>
          <w:tcPr>
            <w:tcW w:type="dxa" w:w="2041"/>
            <w:shd w:val="clear" w:color="auto" w:fill="EAF0F8"/>
          </w:tcPr>
          <w:p>
            <w:r/>
            <w:r>
              <w:rPr>
                <w:b/>
                <w:color w:val="1F3A68"/>
                <w:sz w:val="17"/>
              </w:rPr>
              <w:t>Figure</w:t>
            </w:r>
          </w:p>
        </w:tc>
        <w:tc>
          <w:tcPr>
            <w:tcW w:type="dxa" w:w="7597"/>
            <w:shd w:val="clear" w:color="auto" w:fill="EAF0F8"/>
          </w:tcPr>
          <w:p>
            <w:r/>
            <w:r>
              <w:rPr>
                <w:b/>
                <w:color w:val="1F3A68"/>
                <w:sz w:val="17"/>
              </w:rPr>
              <w:t>Formula</w:t>
            </w:r>
          </w:p>
        </w:tc>
      </w:tr>
      <w:tr>
        <w:tc>
          <w:tcPr>
            <w:tcW w:type="dxa" w:w="2041"/>
          </w:tcPr>
          <w:p>
            <w:r/>
            <w:r>
              <w:rPr>
                <w:sz w:val="17"/>
              </w:rPr>
              <w:t>Spend</w:t>
            </w:r>
          </w:p>
        </w:tc>
        <w:tc>
          <w:tcPr>
            <w:tcW w:type="dxa" w:w="7597"/>
          </w:tcPr>
          <w:p>
            <w:r/>
            <w:r>
              <w:rPr>
                <w:sz w:val="17"/>
              </w:rPr>
              <w:t>Σ the channel’s spend in scope; share = spend ÷ total spend</w:t>
            </w:r>
          </w:p>
        </w:tc>
      </w:tr>
      <w:tr>
        <w:tc>
          <w:tcPr>
            <w:tcW w:type="dxa" w:w="2041"/>
          </w:tcPr>
          <w:p>
            <w:r/>
            <w:r>
              <w:rPr>
                <w:sz w:val="17"/>
              </w:rPr>
              <w:t>Active days</w:t>
            </w:r>
          </w:p>
        </w:tc>
        <w:tc>
          <w:tcPr>
            <w:tcW w:type="dxa" w:w="7597"/>
          </w:tcPr>
          <w:p>
            <w:r/>
            <w:r>
              <w:rPr>
                <w:sz w:val="17"/>
              </w:rPr>
              <w:t>Days with the channel’s spend &gt; 0</w:t>
            </w:r>
          </w:p>
        </w:tc>
      </w:tr>
      <w:tr>
        <w:tc>
          <w:tcPr>
            <w:tcW w:type="dxa" w:w="2041"/>
          </w:tcPr>
          <w:p>
            <w:r/>
            <w:r>
              <w:rPr>
                <w:sz w:val="17"/>
              </w:rPr>
              <w:t>Revenue (attributed)</w:t>
            </w:r>
          </w:p>
        </w:tc>
        <w:tc>
          <w:tcPr>
            <w:tcW w:type="dxa" w:w="7597"/>
          </w:tcPr>
          <w:p>
            <w:r/>
            <w:r>
              <w:rPr>
                <w:sz w:val="17"/>
              </w:rPr>
              <w:t xml:space="preserve">On each ad day, that day’s revenue is shared among the channels on air </w:t>
            </w:r>
            <w:r>
              <w:rPr>
                <w:b/>
                <w:sz w:val="17"/>
              </w:rPr>
              <w:t>in proportion to their spend that day</w:t>
            </w:r>
            <w:r>
              <w:rPr>
                <w:sz w:val="17"/>
              </w:rPr>
              <w:t>: Σ_days (spend_c ÷ day spend) × revenue</w:t>
            </w:r>
          </w:p>
        </w:tc>
      </w:tr>
      <w:tr>
        <w:tc>
          <w:tcPr>
            <w:tcW w:type="dxa" w:w="2041"/>
          </w:tcPr>
          <w:p>
            <w:r/>
            <w:r>
              <w:rPr>
                <w:sz w:val="17"/>
              </w:rPr>
              <w:t>ROAS</w:t>
            </w:r>
          </w:p>
        </w:tc>
        <w:tc>
          <w:tcPr>
            <w:tcW w:type="dxa" w:w="7597"/>
          </w:tcPr>
          <w:p>
            <w:r/>
            <w:r>
              <w:rPr>
                <w:sz w:val="17"/>
              </w:rPr>
              <w:t>(revenue on the channel’s active days − the channel’s own baseline per day × active days) ÷ spend. The baseline is re-estimated (B.2) treating only this channel as “ad spend”</w:t>
            </w:r>
          </w:p>
        </w:tc>
      </w:tr>
      <w:tr>
        <w:tc>
          <w:tcPr>
            <w:tcW w:type="dxa" w:w="2041"/>
          </w:tcPr>
          <w:p>
            <w:r/>
            <w:r>
              <w:rPr>
                <w:sz w:val="17"/>
              </w:rPr>
              <w:t>Family ROAS</w:t>
            </w:r>
          </w:p>
        </w:tc>
        <w:tc>
          <w:tcPr>
            <w:tcW w:type="dxa" w:w="7597"/>
          </w:tcPr>
          <w:p>
            <w:r/>
            <w:r>
              <w:rPr>
                <w:sz w:val="17"/>
              </w:rPr>
              <w:t>The same, over days when any member spent, with the family as “ad spend”</w:t>
            </w:r>
          </w:p>
        </w:tc>
      </w:tr>
    </w:tbl>
    <w:p>
      <w:pPr>
        <w:spacing w:after="0"/>
      </w:pPr>
    </w:p>
    <w:tbl>
      <w:tblPr>
        <w:tblW w:type="auto" w:w="0"/>
        <w:tblLook w:firstColumn="1" w:firstRow="1" w:lastColumn="0" w:lastRow="0" w:noHBand="0" w:noVBand="1" w:val="04A0"/>
      </w:tblPr>
      <w:tblGrid>
        <w:gridCol w:w="9638"/>
      </w:tblGrid>
      <w:tr>
        <w:tc>
          <w:tcPr>
            <w:tcW w:type="dxa" w:w="9638"/>
            <w:shd w:val="clear" w:color="auto" w:fill="EAF0F8"/>
          </w:tcPr>
          <w:p>
            <w:r>
              <w:rPr>
                <w:b/>
                <w:color w:val="1F3A68"/>
              </w:rPr>
              <w:t>Worked example</w:t>
            </w:r>
          </w:p>
          <w:p>
            <w:r>
              <w:t xml:space="preserve">TV, 2025: spend ₹38.93 Cr (17.26% of spend) on 115 days; attributed revenue ₹146.87 Cr; </w:t>
            </w:r>
            <w:r>
              <w:rPr>
                <w:b/>
              </w:rPr>
              <w:t>ROAS 3.24x</w:t>
            </w:r>
            <w:r>
              <w:t>. Broadcast &amp; Video family: spend ₹69.93 Cr (31.01%), ROAS 3.91x.</w:t>
            </w:r>
          </w:p>
        </w:tc>
      </w:tr>
    </w:tbl>
    <w:p>
      <w:pPr>
        <w:spacing w:after="0"/>
      </w:pPr>
    </w:p>
    <w:tbl>
      <w:tblPr>
        <w:tblW w:type="auto" w:w="0"/>
        <w:tblLook w:firstColumn="1" w:firstRow="1" w:lastColumn="0" w:lastRow="0" w:noHBand="0" w:noVBand="1" w:val="04A0"/>
      </w:tblPr>
      <w:tblGrid>
        <w:gridCol w:w="9638"/>
      </w:tblGrid>
      <w:tr>
        <w:tc>
          <w:tcPr>
            <w:tcW w:type="dxa" w:w="9638"/>
            <w:shd w:val="clear" w:color="auto" w:fill="FFF8E6"/>
          </w:tcPr>
          <w:p>
            <w:r>
              <w:rPr>
                <w:b/>
              </w:rPr>
              <w:t xml:space="preserve">Why hub ROAS is higher than model ROAS. </w:t>
            </w:r>
            <w:r>
              <w:t xml:space="preserve">Hub channel ROAS compares ad days with that channel’s own baseline; it does not separate channels that run on the same days. Seven digital channels switch on and off together, so each one is credited with their combined lift. That is why TV reads 3.24x here but 1.52x in the response model (Part D), which fits all channels jointly with carryover and diminishing returns. </w:t>
            </w:r>
            <w:r>
              <w:rPr>
                <w:b/>
              </w:rPr>
              <w:t>Use the hub for description and the model for decisions.</w:t>
            </w:r>
          </w:p>
        </w:tc>
      </w:tr>
    </w:tbl>
    <w:p>
      <w:pPr>
        <w:spacing w:after="0"/>
      </w:pPr>
    </w:p>
    <w:p>
      <w:pPr>
        <w:pStyle w:val="Heading2"/>
      </w:pPr>
      <w:r>
        <w:t>B.7 Revenue by Promotion Type</w:t>
      </w:r>
    </w:p>
    <w:tbl>
      <w:tblPr>
        <w:tblW w:type="auto" w:w="0"/>
        <w:jc w:val="center"/>
        <w:tblLook w:firstColumn="1" w:firstRow="1" w:lastColumn="0" w:lastRow="0" w:noHBand="0" w:noVBand="1" w:val="04A0"/>
      </w:tblPr>
      <w:tblGrid>
        <w:gridCol w:w="9638"/>
      </w:tblGrid>
      <w:tr>
        <w:tc>
          <w:tcPr>
            <w:tcW w:type="dxa" w:w="9638"/>
            <w:shd w:val="clear" w:color="auto" w:fill="F3F4F6"/>
          </w:tcPr>
          <w:p>
            <w:pPr>
              <w:spacing w:after="0"/>
            </w:pPr>
            <w:r/>
            <w:r>
              <w:rPr>
                <w:rFonts w:ascii="Consolas" w:hAnsi="Consolas" w:eastAsia="Consolas"/>
                <w:sz w:val="19"/>
              </w:rPr>
              <w:t>Per promotion type, over the days in scope:</w:t>
            </w:r>
          </w:p>
          <w:p>
            <w:pPr>
              <w:spacing w:after="0"/>
            </w:pPr>
            <w:r>
              <w:rPr>
                <w:rFonts w:ascii="Consolas" w:hAnsi="Consolas" w:eastAsia="Consolas"/>
                <w:sz w:val="19"/>
              </w:rPr>
              <w:t xml:space="preserve">  days, revenue = Σ Revenue, average revenue = revenue ÷ days, spend = Σ ad spend</w:t>
            </w:r>
          </w:p>
          <w:p>
            <w:pPr>
              <w:spacing w:after="0"/>
            </w:pPr>
            <w:r>
              <w:rPr>
                <w:rFonts w:ascii="Consolas" w:hAnsi="Consolas" w:eastAsia="Consolas"/>
                <w:sz w:val="19"/>
              </w:rPr>
              <w:t xml:space="preserve">  ROAS = (revenue − scope baseline per day × days) ÷ spend</w:t>
            </w:r>
          </w:p>
          <w:p>
            <w:pPr>
              <w:spacing w:after="0"/>
            </w:pPr>
            <w:r>
              <w:rPr>
                <w:rFonts w:ascii="Consolas" w:hAnsi="Consolas" w:eastAsia="Consolas"/>
                <w:sz w:val="19"/>
              </w:rPr>
              <w:t xml:space="preserve">  share of days, share of revenue</w:t>
            </w:r>
          </w:p>
        </w:tc>
      </w:tr>
    </w:tbl>
    <w:p>
      <w:pPr>
        <w:spacing w:after="0"/>
      </w:pPr>
    </w:p>
    <w:tbl>
      <w:tblPr>
        <w:tblW w:type="auto" w:w="0"/>
        <w:tblLook w:firstColumn="1" w:firstRow="1" w:lastColumn="0" w:lastRow="0" w:noHBand="0" w:noVBand="1" w:val="04A0"/>
      </w:tblPr>
      <w:tblGrid>
        <w:gridCol w:w="9638"/>
      </w:tblGrid>
      <w:tr>
        <w:tc>
          <w:tcPr>
            <w:tcW w:type="dxa" w:w="9638"/>
            <w:shd w:val="clear" w:color="auto" w:fill="EAF0F8"/>
          </w:tcPr>
          <w:p>
            <w:r>
              <w:rPr>
                <w:b/>
                <w:color w:val="1F3A68"/>
              </w:rPr>
              <w:t>Worked example</w:t>
            </w:r>
          </w:p>
          <w:p>
            <w:r>
              <w:t xml:space="preserve">2025: 15% Discount — 33 days, ₹151.56 Cr, </w:t>
            </w:r>
            <w:r>
              <w:rPr>
                <w:b/>
              </w:rPr>
              <w:t>ROAS 2.14x</w:t>
            </w:r>
            <w:r>
              <w:t>; 5% Discount — 76 days, ROAS 1.38x; No Offer — 184 days, ROAS 1.37x. The ROAS under each bar is green at ≥ 1.00x and red below.</w:t>
            </w:r>
          </w:p>
        </w:tc>
      </w:tr>
    </w:tbl>
    <w:p>
      <w:pPr>
        <w:spacing w:after="0"/>
      </w:pPr>
    </w:p>
    <w:p>
      <w:pPr>
        <w:pStyle w:val="Heading2"/>
      </w:pPr>
      <w:r>
        <w:t>B.8 Performance Comparison</w:t>
      </w:r>
    </w:p>
    <w:p>
      <w:pPr>
        <w:pStyle w:val="ListBullet"/>
        <w:spacing w:after="40"/>
      </w:pPr>
      <w:r>
        <w:rPr>
          <w:b/>
        </w:rPr>
        <w:t>Measure:</w:t>
      </w:r>
      <w:r>
        <w:t xml:space="preserve"> Total Revenue, Total Ad Spend, ROAS, Baseline Revenue, Incremental Revenue or Days With Ad Spend.</w:t>
      </w:r>
    </w:p>
    <w:p>
      <w:pPr>
        <w:pStyle w:val="ListBullet"/>
        <w:spacing w:after="40"/>
      </w:pPr>
      <w:r>
        <w:rPr>
          <w:b/>
        </w:rPr>
        <w:t>Against:</w:t>
      </w:r>
      <w:r>
        <w:t xml:space="preserve"> YAGO, PAGO, MAGO, or YTD (hidden for a custom range). </w:t>
      </w:r>
      <w:r>
        <w:rPr>
          <w:b/>
        </w:rPr>
        <w:t>Month / Year</w:t>
      </w:r>
      <w:r>
        <w:t xml:space="preserve"> selectors pick the period; it opens on the latest month with data.</w:t>
      </w:r>
    </w:p>
    <w:p>
      <w:pPr>
        <w:pStyle w:val="ListBullet"/>
        <w:spacing w:after="40"/>
      </w:pPr>
      <w:r>
        <w:rPr>
          <w:b/>
        </w:rPr>
        <w:t>Charts:</w:t>
      </w:r>
      <w:r>
        <w:t xml:space="preserve"> columns for the selected period against each comparison (click one to switch); with one month picked, 13 months of context with the two months highlighted; for YTD, running totals this year vs last year (dashed).</w:t>
      </w:r>
    </w:p>
    <w:p>
      <w:pPr>
        <w:pStyle w:val="ListBullet"/>
        <w:spacing w:after="40"/>
      </w:pPr>
      <w:r>
        <w:t xml:space="preserve">Each comparison window gets its </w:t>
      </w:r>
      <w:r>
        <w:rPr>
          <w:b/>
        </w:rPr>
        <w:t>own full computation, including its own baseline</w:t>
      </w:r>
      <w:r>
        <w:t>, so the deltas are like for like.</w:t>
      </w:r>
    </w:p>
    <w:p>
      <w:pPr>
        <w:pStyle w:val="Heading2"/>
      </w:pPr>
      <w:r>
        <w:t>B.9 Days With vs Without Events</w:t>
      </w:r>
    </w:p>
    <w:tbl>
      <w:tblPr>
        <w:tblW w:type="auto" w:w="0"/>
        <w:jc w:val="center"/>
        <w:tblLook w:firstColumn="1" w:firstRow="1" w:lastColumn="0" w:lastRow="0" w:noHBand="0" w:noVBand="1" w:val="04A0"/>
      </w:tblPr>
      <w:tblGrid>
        <w:gridCol w:w="9638"/>
      </w:tblGrid>
      <w:tr>
        <w:tc>
          <w:tcPr>
            <w:tcW w:type="dxa" w:w="9638"/>
            <w:shd w:val="clear" w:color="auto" w:fill="F3F4F6"/>
          </w:tcPr>
          <w:p>
            <w:pPr>
              <w:spacing w:after="0"/>
            </w:pPr>
            <w:r/>
            <w:r>
              <w:rPr>
                <w:rFonts w:ascii="Consolas" w:hAnsi="Consolas" w:eastAsia="Consolas"/>
                <w:sz w:val="19"/>
              </w:rPr>
              <w:t>Difference = (mean revenue on days WITH the event − mean on days WITHOUT) ÷ mean WITHOUT × 100</w:t>
            </w:r>
          </w:p>
        </w:tc>
      </w:tr>
    </w:tbl>
    <w:p>
      <w:pPr>
        <w:spacing w:after="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shd w:val="clear" w:color="auto" w:fill="EAF0F8"/>
          </w:tcPr>
          <w:p>
            <w:r/>
            <w:r>
              <w:rPr>
                <w:b/>
                <w:color w:val="1F3A68"/>
                <w:sz w:val="18"/>
              </w:rPr>
              <w:t>Event</w:t>
            </w:r>
          </w:p>
        </w:tc>
        <w:tc>
          <w:tcPr>
            <w:tcW w:type="dxa" w:w="2041"/>
            <w:shd w:val="clear" w:color="auto" w:fill="EAF0F8"/>
          </w:tcPr>
          <w:p>
            <w:r/>
            <w:r>
              <w:rPr>
                <w:b/>
                <w:color w:val="1F3A68"/>
                <w:sz w:val="18"/>
              </w:rPr>
              <w:t>Days with / without</w:t>
            </w:r>
          </w:p>
        </w:tc>
        <w:tc>
          <w:tcPr>
            <w:tcW w:type="dxa" w:w="3061"/>
            <w:shd w:val="clear" w:color="auto" w:fill="EAF0F8"/>
          </w:tcPr>
          <w:p>
            <w:r/>
            <w:r>
              <w:rPr>
                <w:b/>
                <w:color w:val="1F3A68"/>
                <w:sz w:val="18"/>
              </w:rPr>
              <w:t>Avg revenue with / without</w:t>
            </w:r>
          </w:p>
        </w:tc>
        <w:tc>
          <w:tcPr>
            <w:tcW w:type="dxa" w:w="1701"/>
            <w:shd w:val="clear" w:color="auto" w:fill="EAF0F8"/>
          </w:tcPr>
          <w:p>
            <w:r/>
            <w:r>
              <w:rPr>
                <w:b/>
                <w:color w:val="1F3A68"/>
                <w:sz w:val="18"/>
              </w:rPr>
              <w:t>Difference</w:t>
            </w:r>
          </w:p>
        </w:tc>
      </w:tr>
      <w:tr>
        <w:tc>
          <w:tcPr>
            <w:tcW w:type="dxa" w:w="1701"/>
          </w:tcPr>
          <w:p>
            <w:r/>
            <w:r>
              <w:rPr>
                <w:sz w:val="18"/>
              </w:rPr>
              <w:t>Ad spend</w:t>
            </w:r>
          </w:p>
        </w:tc>
        <w:tc>
          <w:tcPr>
            <w:tcW w:type="dxa" w:w="2041"/>
          </w:tcPr>
          <w:p>
            <w:r/>
            <w:r>
              <w:rPr>
                <w:sz w:val="18"/>
              </w:rPr>
              <w:t>180 / 185</w:t>
            </w:r>
          </w:p>
        </w:tc>
        <w:tc>
          <w:tcPr>
            <w:tcW w:type="dxa" w:w="3061"/>
          </w:tcPr>
          <w:p>
            <w:r/>
            <w:r>
              <w:rPr>
                <w:sz w:val="18"/>
              </w:rPr>
              <w:t>₹4.75 Cr / ₹3.62 Cr</w:t>
            </w:r>
          </w:p>
        </w:tc>
        <w:tc>
          <w:tcPr>
            <w:tcW w:type="dxa" w:w="1701"/>
          </w:tcPr>
          <w:p>
            <w:r/>
            <w:r>
              <w:rPr>
                <w:sz w:val="18"/>
              </w:rPr>
              <w:t>+31.33%</w:t>
            </w:r>
          </w:p>
        </w:tc>
      </w:tr>
      <w:tr>
        <w:tc>
          <w:tcPr>
            <w:tcW w:type="dxa" w:w="1701"/>
          </w:tcPr>
          <w:p>
            <w:r/>
            <w:r>
              <w:rPr>
                <w:sz w:val="18"/>
              </w:rPr>
              <w:t>Festival</w:t>
            </w:r>
          </w:p>
        </w:tc>
        <w:tc>
          <w:tcPr>
            <w:tcW w:type="dxa" w:w="2041"/>
          </w:tcPr>
          <w:p>
            <w:r/>
            <w:r>
              <w:rPr>
                <w:sz w:val="18"/>
              </w:rPr>
              <w:t>197 / 168</w:t>
            </w:r>
          </w:p>
        </w:tc>
        <w:tc>
          <w:tcPr>
            <w:tcW w:type="dxa" w:w="3061"/>
          </w:tcPr>
          <w:p>
            <w:r/>
            <w:r>
              <w:rPr>
                <w:sz w:val="18"/>
              </w:rPr>
              <w:t>₹4.34 Cr / ₹3.98 Cr</w:t>
            </w:r>
          </w:p>
        </w:tc>
        <w:tc>
          <w:tcPr>
            <w:tcW w:type="dxa" w:w="1701"/>
          </w:tcPr>
          <w:p>
            <w:r/>
            <w:r>
              <w:rPr>
                <w:sz w:val="18"/>
              </w:rPr>
              <w:t>+8.91%</w:t>
            </w:r>
          </w:p>
        </w:tc>
      </w:tr>
      <w:tr>
        <w:tc>
          <w:tcPr>
            <w:tcW w:type="dxa" w:w="1701"/>
          </w:tcPr>
          <w:p>
            <w:r/>
            <w:r>
              <w:rPr>
                <w:sz w:val="18"/>
              </w:rPr>
              <w:t>Seasonal</w:t>
            </w:r>
          </w:p>
        </w:tc>
        <w:tc>
          <w:tcPr>
            <w:tcW w:type="dxa" w:w="2041"/>
          </w:tcPr>
          <w:p>
            <w:r/>
            <w:r>
              <w:rPr>
                <w:sz w:val="18"/>
              </w:rPr>
              <w:t>191 / 174</w:t>
            </w:r>
          </w:p>
        </w:tc>
        <w:tc>
          <w:tcPr>
            <w:tcW w:type="dxa" w:w="3061"/>
          </w:tcPr>
          <w:p>
            <w:r/>
            <w:r>
              <w:rPr>
                <w:sz w:val="18"/>
              </w:rPr>
              <w:t>₹4.31 Cr / ₹4.02 Cr</w:t>
            </w:r>
          </w:p>
        </w:tc>
        <w:tc>
          <w:tcPr>
            <w:tcW w:type="dxa" w:w="1701"/>
          </w:tcPr>
          <w:p>
            <w:r/>
            <w:r>
              <w:rPr>
                <w:sz w:val="18"/>
              </w:rPr>
              <w:t>+7.16%</w:t>
            </w:r>
          </w:p>
        </w:tc>
      </w:tr>
      <w:tr>
        <w:tc>
          <w:tcPr>
            <w:tcW w:type="dxa" w:w="1701"/>
          </w:tcPr>
          <w:p>
            <w:r/>
            <w:r>
              <w:rPr>
                <w:sz w:val="18"/>
              </w:rPr>
              <w:t>Promotion</w:t>
            </w:r>
          </w:p>
        </w:tc>
        <w:tc>
          <w:tcPr>
            <w:tcW w:type="dxa" w:w="2041"/>
          </w:tcPr>
          <w:p>
            <w:r/>
            <w:r>
              <w:rPr>
                <w:sz w:val="18"/>
              </w:rPr>
              <w:t>181 / 184</w:t>
            </w:r>
          </w:p>
        </w:tc>
        <w:tc>
          <w:tcPr>
            <w:tcW w:type="dxa" w:w="3061"/>
          </w:tcPr>
          <w:p>
            <w:r/>
            <w:r>
              <w:rPr>
                <w:sz w:val="18"/>
              </w:rPr>
              <w:t>₹4.32 Cr / ₹4.03 Cr</w:t>
            </w:r>
          </w:p>
        </w:tc>
        <w:tc>
          <w:tcPr>
            <w:tcW w:type="dxa" w:w="1701"/>
          </w:tcPr>
          <w:p>
            <w:r/>
            <w:r>
              <w:rPr>
                <w:sz w:val="18"/>
              </w:rPr>
              <w:t>+7.32%</w:t>
            </w:r>
          </w:p>
        </w:tc>
      </w:tr>
      <w:tr>
        <w:tc>
          <w:tcPr>
            <w:tcW w:type="dxa" w:w="1701"/>
          </w:tcPr>
          <w:p>
            <w:r/>
            <w:r>
              <w:rPr>
                <w:sz w:val="18"/>
              </w:rPr>
              <w:t>Any event</w:t>
            </w:r>
          </w:p>
        </w:tc>
        <w:tc>
          <w:tcPr>
            <w:tcW w:type="dxa" w:w="2041"/>
          </w:tcPr>
          <w:p>
            <w:r/>
            <w:r>
              <w:rPr>
                <w:sz w:val="18"/>
              </w:rPr>
              <w:t>335 / 30</w:t>
            </w:r>
          </w:p>
        </w:tc>
        <w:tc>
          <w:tcPr>
            <w:tcW w:type="dxa" w:w="3061"/>
          </w:tcPr>
          <w:p>
            <w:r/>
            <w:r>
              <w:rPr>
                <w:sz w:val="18"/>
              </w:rPr>
              <w:t>₹4.16 Cr / ₹4.32 Cr</w:t>
            </w:r>
          </w:p>
        </w:tc>
        <w:tc>
          <w:tcPr>
            <w:tcW w:type="dxa" w:w="1701"/>
          </w:tcPr>
          <w:p>
            <w:r/>
            <w:r>
              <w:rPr>
                <w:sz w:val="18"/>
              </w:rPr>
              <w:t>−3.64%</w:t>
            </w:r>
          </w:p>
        </w:tc>
      </w:tr>
    </w:tbl>
    <w:p>
      <w:pPr>
        <w:spacing w:after="0"/>
      </w:pPr>
    </w:p>
    <w:p>
      <w:r>
        <w:rPr>
          <w:b/>
        </w:rPr>
        <w:t>Why it is useful, and its limit.</w:t>
      </w:r>
      <w:r>
        <w:t xml:space="preserve"> It is the simplest possible evidence that ads move revenue (+31% on ad days). It is a raw comparison: events overlap, so “Any event” can even be negative because almost every day has some event. Order: As listed, or Biggest gap.</w:t>
      </w:r>
    </w:p>
    <w:p>
      <w:pPr>
        <w:pStyle w:val="Heading2"/>
      </w:pPr>
      <w:r>
        <w:t>B.10 Caching</w:t>
      </w:r>
    </w:p>
    <w:p>
      <w:r>
        <w:t>Hub payloads (64 scopes), filter options, decomposition fits (16) and calendar views are cached in memory and cleared whenever a dataset is installed or removed.</w:t>
      </w:r>
    </w:p>
    <w:p>
      <w:r>
        <w:br w:type="page"/>
      </w:r>
    </w:p>
    <w:p>
      <w:pPr>
        <w:pStyle w:val="Heading1"/>
      </w:pPr>
      <w:r>
        <w:t>Part C — Calendar</w:t>
      </w:r>
    </w:p>
    <w:p>
      <w:pPr>
        <w:jc w:val="center"/>
      </w:pPr>
      <w:r>
        <w:drawing>
          <wp:inline xmlns:a="http://schemas.openxmlformats.org/drawingml/2006/main" xmlns:pic="http://schemas.openxmlformats.org/drawingml/2006/picture">
            <wp:extent cx="5940000" cy="4125000"/>
            <wp:docPr id="15" name="Picture 15"/>
            <wp:cNvGraphicFramePr>
              <a:graphicFrameLocks noChangeAspect="1"/>
            </wp:cNvGraphicFramePr>
            <a:graphic>
              <a:graphicData uri="http://schemas.openxmlformats.org/drawingml/2006/picture">
                <pic:pic>
                  <pic:nvPicPr>
                    <pic:cNvPr id="0" name="mmm-calendar-0.png"/>
                    <pic:cNvPicPr/>
                  </pic:nvPicPr>
                  <pic:blipFill>
                    <a:blip r:embed="rId14"/>
                    <a:stretch>
                      <a:fillRect/>
                    </a:stretch>
                  </pic:blipFill>
                  <pic:spPr>
                    <a:xfrm>
                      <a:off x="0" y="0"/>
                      <a:ext cx="5940000" cy="4125000"/>
                    </a:xfrm>
                    <a:prstGeom prst="rect"/>
                  </pic:spPr>
                </pic:pic>
              </a:graphicData>
            </a:graphic>
          </wp:inline>
        </w:drawing>
      </w:r>
    </w:p>
    <w:p>
      <w:pPr>
        <w:jc w:val="center"/>
      </w:pPr>
      <w:r>
        <w:rPr>
          <w:i/>
          <w:color w:val="555F6D"/>
          <w:sz w:val="18"/>
        </w:rPr>
        <w:t>Figure C.1 – Channel flighting and month detail.</w:t>
      </w:r>
    </w:p>
    <w:p>
      <w:pPr>
        <w:pStyle w:val="ListBullet"/>
        <w:spacing w:after="40"/>
      </w:pPr>
      <w:r>
        <w:rPr>
          <w:b/>
        </w:rPr>
        <w:t>Matrix:</w:t>
      </w:r>
      <w:r>
        <w:t xml:space="preserve"> for each channel and month, spend = Σ spend and active days = days with spend &gt; 0. Rows are sorted by the channel’s yearly spend.</w:t>
      </w:r>
    </w:p>
    <w:p>
      <w:pPr>
        <w:pStyle w:val="ListBullet"/>
        <w:spacing w:after="40"/>
      </w:pPr>
      <w:r>
        <w:rPr>
          <w:b/>
        </w:rPr>
        <w:t>Shade level:</w:t>
      </w:r>
      <w:r>
        <w:t xml:space="preserve"> 0 when off air, otherwise 1 + the number of the year’s </w:t>
      </w:r>
      <w:r>
        <w:rPr>
          <w:b/>
        </w:rPr>
        <w:t>quartile cuts</w:t>
      </w:r>
      <w:r>
        <w:t xml:space="preserve"> (25/50/75% of all non-zero channel-month spends) that the cell exceeds, giving Low, Medium, High or Heaviest. Opacity steps are 0, 16, 36, 62 and 92% of the spend colour.</w:t>
      </w:r>
    </w:p>
    <w:p>
      <w:pPr>
        <w:pStyle w:val="ListBullet"/>
        <w:spacing w:after="40"/>
      </w:pPr>
      <w:r>
        <w:rPr>
          <w:b/>
        </w:rPr>
        <w:t>Why quartiles of the year:</w:t>
      </w:r>
      <w:r>
        <w:t xml:space="preserve"> the shading adapts to each year’s scale, so a heavy month always reads heavy.</w:t>
      </w:r>
    </w:p>
    <w:p>
      <w:pPr>
        <w:pStyle w:val="ListBullet"/>
        <w:spacing w:after="40"/>
      </w:pPr>
      <w:r>
        <w:rPr>
          <w:b/>
        </w:rPr>
        <w:t>Month header:</w:t>
      </w:r>
      <w:r>
        <w:t xml:space="preserve"> spend, days with any media, promotion days (P) and festival days (F).</w:t>
      </w:r>
    </w:p>
    <w:p>
      <w:pPr>
        <w:pStyle w:val="ListBullet"/>
        <w:spacing w:after="40"/>
      </w:pPr>
      <w:r>
        <w:rPr>
          <w:b/>
        </w:rPr>
        <w:t>Month detail:</w:t>
      </w:r>
      <w:r>
        <w:t xml:space="preserve"> per day, the revenue, Festival / Seasonal / promotion-type tags, total media and the number of channels, and the top three channels (the rest as “+N”).</w:t>
      </w:r>
    </w:p>
    <w:p>
      <w:r>
        <w:br w:type="page"/>
      </w:r>
    </w:p>
    <w:p>
      <w:pPr>
        <w:pStyle w:val="Heading1"/>
      </w:pPr>
      <w:r>
        <w:t>Part D — The response model (planning pages)</w:t>
      </w:r>
    </w:p>
    <w:p>
      <w:r>
        <w:t>The Budget Optimizer, Budget Allocator and Revenue Forecast share one fitted model (</w:t>
      </w:r>
      <w:r>
        <w:rPr>
          <w:rFonts w:ascii="Consolas" w:hAnsi="Consolas" w:eastAsia="Consolas"/>
          <w:sz w:val="19"/>
        </w:rPr>
        <w:t>backend/app/mmm/budget_model.py</w:t>
      </w:r>
      <w:r>
        <w:t>). It describes a day’s revenue as:</w:t>
      </w:r>
    </w:p>
    <w:tbl>
      <w:tblPr>
        <w:tblW w:type="auto" w:w="0"/>
        <w:jc w:val="center"/>
        <w:tblLook w:firstColumn="1" w:firstRow="1" w:lastColumn="0" w:lastRow="0" w:noHBand="0" w:noVBand="1" w:val="04A0"/>
      </w:tblPr>
      <w:tblGrid>
        <w:gridCol w:w="9638"/>
      </w:tblGrid>
      <w:tr>
        <w:tc>
          <w:tcPr>
            <w:tcW w:type="dxa" w:w="9638"/>
            <w:shd w:val="clear" w:color="auto" w:fill="F3F4F6"/>
          </w:tcPr>
          <w:p>
            <w:pPr>
              <w:spacing w:after="0"/>
            </w:pPr>
            <w:r/>
            <w:r>
              <w:rPr>
                <w:rFonts w:ascii="Consolas" w:hAnsi="Consolas" w:eastAsia="Consolas"/>
                <w:sz w:val="19"/>
              </w:rPr>
              <w:t>revenue_t = baseline_t + Σ_c β_c · hill( adstock_c,t )</w:t>
            </w:r>
          </w:p>
          <w:p>
            <w:pPr>
              <w:spacing w:after="0"/>
            </w:pPr>
            <w:r>
              <w:rPr>
                <w:rFonts w:ascii="Consolas" w:hAnsi="Consolas" w:eastAsia="Consolas"/>
                <w:sz w:val="19"/>
              </w:rPr>
            </w:r>
          </w:p>
          <w:p>
            <w:pPr>
              <w:spacing w:after="0"/>
            </w:pPr>
            <w:r>
              <w:rPr>
                <w:rFonts w:ascii="Consolas" w:hAnsi="Consolas" w:eastAsia="Consolas"/>
                <w:sz w:val="19"/>
              </w:rPr>
              <w:t>adstock_c,t = spend_c,t + decay_c · adstock_c,t−1                 (carryover)</w:t>
            </w:r>
          </w:p>
          <w:p>
            <w:pPr>
              <w:spacing w:after="0"/>
            </w:pPr>
            <w:r>
              <w:rPr>
                <w:rFonts w:ascii="Consolas" w:hAnsi="Consolas" w:eastAsia="Consolas"/>
                <w:sz w:val="19"/>
              </w:rPr>
              <w:t>hill(x)     = x^α_c ÷ ( x^α_c + κ_c^α_c )                        (diminishing returns)</w:t>
            </w:r>
          </w:p>
          <w:p>
            <w:pPr>
              <w:spacing w:after="0"/>
            </w:pPr>
            <w:r>
              <w:rPr>
                <w:rFonts w:ascii="Consolas" w:hAnsi="Consolas" w:eastAsia="Consolas"/>
                <w:sz w:val="19"/>
              </w:rPr>
              <w:t>baseline_t  = w · features_t                                    (no ads)</w:t>
            </w:r>
          </w:p>
        </w:tc>
      </w:tr>
    </w:tbl>
    <w:p>
      <w:pPr>
        <w:spacing w:after="0"/>
      </w:pPr>
    </w:p>
    <w:p>
      <w:pPr>
        <w:pStyle w:val="Heading2"/>
      </w:pPr>
      <w:r>
        <w:t>D.1 Carryover (adstock)</w:t>
      </w:r>
    </w:p>
    <w:p>
      <w:pPr>
        <w:jc w:val="center"/>
      </w:pPr>
      <w:r>
        <w:drawing>
          <wp:inline xmlns:a="http://schemas.openxmlformats.org/drawingml/2006/main" xmlns:pic="http://schemas.openxmlformats.org/drawingml/2006/picture">
            <wp:extent cx="5040000" cy="2160000"/>
            <wp:docPr id="16" name="Picture 16"/>
            <wp:cNvGraphicFramePr>
              <a:graphicFrameLocks noChangeAspect="1"/>
            </wp:cNvGraphicFramePr>
            <a:graphic>
              <a:graphicData uri="http://schemas.openxmlformats.org/drawingml/2006/picture">
                <pic:pic>
                  <pic:nvPicPr>
                    <pic:cNvPr id="0" name="fig_adstock.png"/>
                    <pic:cNvPicPr/>
                  </pic:nvPicPr>
                  <pic:blipFill>
                    <a:blip r:embed="rId23"/>
                    <a:stretch>
                      <a:fillRect/>
                    </a:stretch>
                  </pic:blipFill>
                  <pic:spPr>
                    <a:xfrm>
                      <a:off x="0" y="0"/>
                      <a:ext cx="5040000" cy="2160000"/>
                    </a:xfrm>
                    <a:prstGeom prst="rect"/>
                  </pic:spPr>
                </pic:pic>
              </a:graphicData>
            </a:graphic>
          </wp:inline>
        </w:drawing>
      </w:r>
    </w:p>
    <w:p>
      <w:pPr>
        <w:jc w:val="center"/>
      </w:pPr>
      <w:r>
        <w:rPr>
          <w:i/>
          <w:color w:val="555F6D"/>
          <w:sz w:val="18"/>
        </w:rPr>
        <w:t>Figure D.1 – A ₹100 spend on day 0: the pressure left on later days, for three decays.</w:t>
      </w:r>
    </w:p>
    <w:p>
      <w:r>
        <w:t xml:space="preserve">Advertising keeps working after the day it runs: viewers remember, search later and buy later. </w:t>
      </w:r>
      <w:r>
        <w:rPr>
          <w:b/>
        </w:rPr>
        <w:t>Geometric adstock</w:t>
      </w:r>
      <w:r>
        <w:t xml:space="preserve"> keeps a fixed share (</w:t>
      </w:r>
      <w:r>
        <w:rPr>
          <w:rFonts w:ascii="Consolas" w:hAnsi="Consolas" w:eastAsia="Consolas"/>
          <w:sz w:val="19"/>
        </w:rPr>
        <w:t>decay</w:t>
      </w:r>
      <w:r>
        <w:t>) of yesterday’s pressure. Half-life = ln 0.5 ÷ ln decay: decay 0.5 → 1 day, 0.7 → 1.9 days. The model tries decay ∈ {0, 0.1, …, 0.7} per channel.</w:t>
      </w:r>
    </w:p>
    <w:p>
      <w:pPr>
        <w:pStyle w:val="Heading2"/>
      </w:pPr>
      <w:r>
        <w:t>D.2 Diminishing returns (Hill curve)</w:t>
      </w:r>
    </w:p>
    <w:p>
      <w:pPr>
        <w:jc w:val="center"/>
      </w:pPr>
      <w:r>
        <w:drawing>
          <wp:inline xmlns:a="http://schemas.openxmlformats.org/drawingml/2006/main" xmlns:pic="http://schemas.openxmlformats.org/drawingml/2006/picture">
            <wp:extent cx="5040000" cy="2448000"/>
            <wp:docPr id="17" name="Picture 17"/>
            <wp:cNvGraphicFramePr>
              <a:graphicFrameLocks noChangeAspect="1"/>
            </wp:cNvGraphicFramePr>
            <a:graphic>
              <a:graphicData uri="http://schemas.openxmlformats.org/drawingml/2006/picture">
                <pic:pic>
                  <pic:nvPicPr>
                    <pic:cNvPr id="0" name="fig_hill.png"/>
                    <pic:cNvPicPr/>
                  </pic:nvPicPr>
                  <pic:blipFill>
                    <a:blip r:embed="rId24"/>
                    <a:stretch>
                      <a:fillRect/>
                    </a:stretch>
                  </pic:blipFill>
                  <pic:spPr>
                    <a:xfrm>
                      <a:off x="0" y="0"/>
                      <a:ext cx="5040000" cy="2448000"/>
                    </a:xfrm>
                    <a:prstGeom prst="rect"/>
                  </pic:spPr>
                </pic:pic>
              </a:graphicData>
            </a:graphic>
          </wp:inline>
        </w:drawing>
      </w:r>
    </w:p>
    <w:p>
      <w:pPr>
        <w:jc w:val="center"/>
      </w:pPr>
      <w:r>
        <w:rPr>
          <w:i/>
          <w:color w:val="555F6D"/>
          <w:sz w:val="18"/>
        </w:rPr>
        <w:t>Figure D.2 – Fitted response curves for three channels.</w:t>
      </w:r>
    </w:p>
    <w:p>
      <w:r>
        <w:t xml:space="preserve">Each extra rupee in a channel reaches people who have already seen the ad, so it earns less. The </w:t>
      </w:r>
      <w:r>
        <w:rPr>
          <w:b/>
        </w:rPr>
        <w:t>Hill function</w:t>
      </w:r>
      <w:r>
        <w:t xml:space="preserve"> rises from 0 towards a ceiling β (rupees a day at full saturation). </w:t>
      </w:r>
      <w:r>
        <w:rPr>
          <w:b/>
        </w:rPr>
        <w:t>κ (kappa)</w:t>
      </w:r>
      <w:r>
        <w:t xml:space="preserve"> is the pressure at which the channel gives half its maximum; </w:t>
      </w:r>
      <w:r>
        <w:rPr>
          <w:b/>
        </w:rPr>
        <w:t>α (alpha)</w:t>
      </w:r>
      <w:r>
        <w:t xml:space="preserve"> sets the shape. The model tries κ ∈ {0.5, 0.75, 1, 1.5, 2} × the channel’s average pressure on active days, and α ∈ {0.8, 0.9, 1.0}.</w:t>
      </w:r>
    </w:p>
    <w:p>
      <w:r>
        <w:rPr>
          <w:b/>
        </w:rPr>
        <w:t>Why these shapes.</w:t>
      </w:r>
      <w:r>
        <w:t xml:space="preserve"> Adstock and Hill saturation are the standard building blocks of modern MMM (used by Google’s Meridian and LightweightMMM and Meta’s Robyn). They express the two facts any budget decision depends on — timing and saturation — with three numbers per channel that can be read and checked.</w:t>
      </w:r>
    </w:p>
    <w:p>
      <w:pPr>
        <w:pStyle w:val="Heading2"/>
      </w:pPr>
      <w:r>
        <w:t>D.3 The baseline features (26 columns)</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EAF0F8"/>
          </w:tcPr>
          <w:p>
            <w:r/>
            <w:r>
              <w:rPr>
                <w:b/>
                <w:color w:val="1F3A68"/>
                <w:sz w:val="17"/>
              </w:rPr>
              <w:t>Group</w:t>
            </w:r>
          </w:p>
        </w:tc>
        <w:tc>
          <w:tcPr>
            <w:tcW w:type="dxa" w:w="4819"/>
            <w:shd w:val="clear" w:color="auto" w:fill="EAF0F8"/>
          </w:tcPr>
          <w:p>
            <w:r/>
            <w:r>
              <w:rPr>
                <w:b/>
                <w:color w:val="1F3A68"/>
                <w:sz w:val="17"/>
              </w:rPr>
              <w:t>Columns</w:t>
            </w:r>
          </w:p>
        </w:tc>
        <w:tc>
          <w:tcPr>
            <w:tcW w:type="dxa" w:w="3118"/>
            <w:shd w:val="clear" w:color="auto" w:fill="EAF0F8"/>
          </w:tcPr>
          <w:p>
            <w:r/>
            <w:r>
              <w:rPr>
                <w:b/>
                <w:color w:val="1F3A68"/>
                <w:sz w:val="17"/>
              </w:rPr>
              <w:t>Captures</w:t>
            </w:r>
          </w:p>
        </w:tc>
      </w:tr>
      <w:tr>
        <w:tc>
          <w:tcPr>
            <w:tcW w:type="dxa" w:w="1701"/>
          </w:tcPr>
          <w:p>
            <w:r/>
            <w:r>
              <w:rPr>
                <w:sz w:val="17"/>
              </w:rPr>
              <w:t>Intercept</w:t>
            </w:r>
          </w:p>
        </w:tc>
        <w:tc>
          <w:tcPr>
            <w:tcW w:type="dxa" w:w="4819"/>
          </w:tcPr>
          <w:p>
            <w:r/>
            <w:r>
              <w:rPr>
                <w:sz w:val="17"/>
              </w:rPr>
              <w:t>1</w:t>
            </w:r>
          </w:p>
        </w:tc>
        <w:tc>
          <w:tcPr>
            <w:tcW w:type="dxa" w:w="3118"/>
          </w:tcPr>
          <w:p>
            <w:r/>
            <w:r>
              <w:rPr>
                <w:sz w:val="17"/>
              </w:rPr>
              <w:t>Average level</w:t>
            </w:r>
          </w:p>
        </w:tc>
      </w:tr>
      <w:tr>
        <w:tc>
          <w:tcPr>
            <w:tcW w:type="dxa" w:w="1701"/>
          </w:tcPr>
          <w:p>
            <w:r/>
            <w:r>
              <w:rPr>
                <w:sz w:val="17"/>
              </w:rPr>
              <w:t>Trend</w:t>
            </w:r>
          </w:p>
        </w:tc>
        <w:tc>
          <w:tcPr>
            <w:tcW w:type="dxa" w:w="4819"/>
          </w:tcPr>
          <w:p>
            <w:r/>
            <w:r>
              <w:rPr>
                <w:sz w:val="17"/>
              </w:rPr>
              <w:t>t, t² (t in decades since the first day)</w:t>
            </w:r>
          </w:p>
        </w:tc>
        <w:tc>
          <w:tcPr>
            <w:tcW w:type="dxa" w:w="3118"/>
          </w:tcPr>
          <w:p>
            <w:r/>
            <w:r>
              <w:rPr>
                <w:sz w:val="17"/>
              </w:rPr>
              <w:t>Long-run growth (~3.5% a year in the data)</w:t>
            </w:r>
          </w:p>
        </w:tc>
      </w:tr>
      <w:tr>
        <w:tc>
          <w:tcPr>
            <w:tcW w:type="dxa" w:w="1701"/>
          </w:tcPr>
          <w:p>
            <w:r/>
            <w:r>
              <w:rPr>
                <w:sz w:val="17"/>
              </w:rPr>
              <w:t>Yearly season</w:t>
            </w:r>
          </w:p>
        </w:tc>
        <w:tc>
          <w:tcPr>
            <w:tcW w:type="dxa" w:w="4819"/>
          </w:tcPr>
          <w:p>
            <w:r/>
            <w:r>
              <w:rPr>
                <w:sz w:val="17"/>
              </w:rPr>
              <w:t>sin and cos of 2πk·day-of-year ÷ 365.25, k = 1…4 (8 columns)</w:t>
            </w:r>
          </w:p>
        </w:tc>
        <w:tc>
          <w:tcPr>
            <w:tcW w:type="dxa" w:w="3118"/>
          </w:tcPr>
          <w:p>
            <w:r/>
            <w:r>
              <w:rPr>
                <w:sz w:val="17"/>
              </w:rPr>
              <w:t>Smooth annual cycle</w:t>
            </w:r>
          </w:p>
        </w:tc>
      </w:tr>
      <w:tr>
        <w:tc>
          <w:tcPr>
            <w:tcW w:type="dxa" w:w="1701"/>
          </w:tcPr>
          <w:p>
            <w:r/>
            <w:r>
              <w:rPr>
                <w:sz w:val="17"/>
              </w:rPr>
              <w:t>Day of week</w:t>
            </w:r>
          </w:p>
        </w:tc>
        <w:tc>
          <w:tcPr>
            <w:tcW w:type="dxa" w:w="4819"/>
          </w:tcPr>
          <w:p>
            <w:r/>
            <w:r>
              <w:rPr>
                <w:sz w:val="17"/>
              </w:rPr>
              <w:t>6 weekday dummies</w:t>
            </w:r>
          </w:p>
        </w:tc>
        <w:tc>
          <w:tcPr>
            <w:tcW w:type="dxa" w:w="3118"/>
          </w:tcPr>
          <w:p>
            <w:r/>
            <w:r>
              <w:rPr>
                <w:sz w:val="17"/>
              </w:rPr>
              <w:t>Weekly pattern</w:t>
            </w:r>
          </w:p>
        </w:tc>
      </w:tr>
      <w:tr>
        <w:tc>
          <w:tcPr>
            <w:tcW w:type="dxa" w:w="1701"/>
          </w:tcPr>
          <w:p>
            <w:r/>
            <w:r>
              <w:rPr>
                <w:sz w:val="17"/>
              </w:rPr>
              <w:t>Events</w:t>
            </w:r>
          </w:p>
        </w:tc>
        <w:tc>
          <w:tcPr>
            <w:tcW w:type="dxa" w:w="4819"/>
          </w:tcPr>
          <w:p>
            <w:r/>
            <w:r>
              <w:rPr>
                <w:sz w:val="17"/>
              </w:rPr>
              <w:t>Festival, Seasonal, Promotion flags; Discount %</w:t>
            </w:r>
          </w:p>
        </w:tc>
        <w:tc>
          <w:tcPr>
            <w:tcW w:type="dxa" w:w="3118"/>
          </w:tcPr>
          <w:p>
            <w:r/>
            <w:r>
              <w:rPr>
                <w:sz w:val="17"/>
              </w:rPr>
              <w:t>Event lifts</w:t>
            </w:r>
          </w:p>
        </w:tc>
      </w:tr>
      <w:tr>
        <w:tc>
          <w:tcPr>
            <w:tcW w:type="dxa" w:w="1701"/>
          </w:tcPr>
          <w:p>
            <w:r/>
            <w:r>
              <w:rPr>
                <w:sz w:val="17"/>
              </w:rPr>
              <w:t>Promotion type</w:t>
            </w:r>
          </w:p>
        </w:tc>
        <w:tc>
          <w:tcPr>
            <w:tcW w:type="dxa" w:w="4819"/>
          </w:tcPr>
          <w:p>
            <w:r/>
            <w:r>
              <w:rPr>
                <w:sz w:val="17"/>
              </w:rPr>
              <w:t>One dummy per type except the first (5 columns)</w:t>
            </w:r>
          </w:p>
        </w:tc>
        <w:tc>
          <w:tcPr>
            <w:tcW w:type="dxa" w:w="3118"/>
          </w:tcPr>
          <w:p>
            <w:r/>
            <w:r>
              <w:rPr>
                <w:sz w:val="17"/>
              </w:rPr>
              <w:t>Offer-specific lifts</w:t>
            </w:r>
          </w:p>
        </w:tc>
      </w:tr>
    </w:tbl>
    <w:p>
      <w:pPr>
        <w:spacing w:after="0"/>
      </w:pPr>
    </w:p>
    <w:p>
      <w:r>
        <w:t xml:space="preserve">Columns are standardised (mean 0, sd 1) with the history’s statistics. For future dates (Part G) the same statistics are reused, and past the data’s last day the quadratic trend continues along its </w:t>
      </w:r>
      <w:r>
        <w:rPr>
          <w:b/>
        </w:rPr>
        <w:t>tangent</w:t>
      </w:r>
      <w:r>
        <w:t>: straight on at its latest rate, instead of bending.</w:t>
      </w:r>
    </w:p>
    <w:p>
      <w:pPr>
        <w:pStyle w:val="Heading2"/>
      </w:pPr>
      <w:r>
        <w:t>D.4 How the model is fitted</w:t>
      </w:r>
    </w:p>
    <w:p>
      <w:pPr>
        <w:pStyle w:val="ListBullet"/>
        <w:spacing w:after="40"/>
      </w:pPr>
      <w:r>
        <w:rPr>
          <w:b/>
        </w:rPr>
        <w:t>Joint fit.</w:t>
      </w:r>
      <w:r>
        <w:t xml:space="preserve"> The baseline and all 22 media curves are fitted together on every day. Ad days and no-ad days alternate in runs of about two days, so most no-ad days still carry earlier ads; fitting jointly credits that carryover to the spend that caused it.</w:t>
      </w:r>
    </w:p>
    <w:p>
      <w:pPr>
        <w:pStyle w:val="ListBullet"/>
        <w:spacing w:after="40"/>
      </w:pPr>
      <w:r>
        <w:rPr>
          <w:b/>
        </w:rPr>
        <w:t>Coordinate search over curves.</w:t>
      </w:r>
      <w:r>
        <w:t xml:space="preserve"> For each channel in turn, every candidate (8 decays × 5 kappas × 3 alphas = 120) is scored by how much it improves the fit. Everything else is projected out once with a QR decomposition, so each candidate is scored exactly without refitting. 3 sweeps over the 22 channels.</w:t>
      </w:r>
    </w:p>
    <w:p>
      <w:pPr>
        <w:pStyle w:val="ListBullet"/>
        <w:spacing w:after="40"/>
      </w:pPr>
      <w:r>
        <w:rPr>
          <w:b/>
        </w:rPr>
        <w:t>Pooled channel effects.</w:t>
      </w:r>
      <w:r>
        <w:t xml:space="preserve"> Seven digital channels switch on and off on the same days (spend correlation ≈ 0.95), so the data fixes their combined effect but not the split. Each channel’s ROAS gets a </w:t>
      </w:r>
      <w:r>
        <w:rPr>
          <w:b/>
        </w:rPr>
        <w:t>hierarchical prior</w:t>
      </w:r>
      <w:r>
        <w:t xml:space="preserve"> ROAS_c ~ N(mean ROAS, 0.75²), with the mean itself estimated, and is kept ≥ 0. A channel moves away from the shared mean only as far as its own data supports.</w:t>
      </w:r>
    </w:p>
    <w:p>
      <w:pPr>
        <w:pStyle w:val="ListBullet"/>
        <w:spacing w:after="40"/>
      </w:pPr>
      <w:r>
        <w:rPr>
          <w:b/>
        </w:rPr>
        <w:t>Ridge</w:t>
      </w:r>
      <w:r>
        <w:t xml:space="preserve"> (penalty 1.0) on the standardised baseline coefficients for stability.</w:t>
      </w:r>
    </w:p>
    <w:p>
      <w:pPr>
        <w:pStyle w:val="ListBullet"/>
        <w:spacing w:after="40"/>
      </w:pPr>
      <w:r>
        <w:rPr>
          <w:b/>
        </w:rPr>
        <w:t>Solved</w:t>
      </w:r>
      <w:r>
        <w:t xml:space="preserve"> with bounded linear least squares (</w:t>
      </w:r>
      <w:r>
        <w:rPr>
          <w:rFonts w:ascii="Consolas" w:hAnsi="Consolas" w:eastAsia="Consolas"/>
          <w:sz w:val="19"/>
        </w:rPr>
        <w:t>scipy.optimize.lsq_linear</w:t>
      </w:r>
      <w:r>
        <w:t>).</w:t>
      </w:r>
    </w:p>
    <w:p>
      <w:pPr>
        <w:pStyle w:val="Heading2"/>
      </w:pPr>
      <w:r>
        <w:t>D.5 Uncertainty: the block bootstrap</w:t>
      </w:r>
    </w:p>
    <w:p>
      <w:pPr>
        <w:jc w:val="center"/>
      </w:pPr>
      <w:r>
        <w:drawing>
          <wp:inline xmlns:a="http://schemas.openxmlformats.org/drawingml/2006/main" xmlns:pic="http://schemas.openxmlformats.org/drawingml/2006/picture">
            <wp:extent cx="5040000" cy="1872000"/>
            <wp:docPr id="18" name="Picture 18"/>
            <wp:cNvGraphicFramePr>
              <a:graphicFrameLocks noChangeAspect="1"/>
            </wp:cNvGraphicFramePr>
            <a:graphic>
              <a:graphicData uri="http://schemas.openxmlformats.org/drawingml/2006/picture">
                <pic:pic>
                  <pic:nvPicPr>
                    <pic:cNvPr id="0" name="fig_bootstrap.png"/>
                    <pic:cNvPicPr/>
                  </pic:nvPicPr>
                  <pic:blipFill>
                    <a:blip r:embed="rId25"/>
                    <a:stretch>
                      <a:fillRect/>
                    </a:stretch>
                  </pic:blipFill>
                  <pic:spPr>
                    <a:xfrm>
                      <a:off x="0" y="0"/>
                      <a:ext cx="5040000" cy="1872000"/>
                    </a:xfrm>
                    <a:prstGeom prst="rect"/>
                  </pic:spPr>
                </pic:pic>
              </a:graphicData>
            </a:graphic>
          </wp:inline>
        </w:drawing>
      </w:r>
    </w:p>
    <w:p>
      <w:pPr>
        <w:jc w:val="center"/>
      </w:pPr>
      <w:r>
        <w:rPr>
          <w:i/>
          <w:color w:val="555F6D"/>
          <w:sz w:val="18"/>
        </w:rPr>
        <w:t>Figure D.3 – Illustration: 40 refits give 40 answers; P10 – P90 is the middle 80%.</w:t>
      </w:r>
    </w:p>
    <w:p>
      <w:r>
        <w:t xml:space="preserve">The whole fit, curves included, is repeated </w:t>
      </w:r>
      <w:r>
        <w:rPr>
          <w:b/>
        </w:rPr>
        <w:t>40 times</w:t>
      </w:r>
      <w:r>
        <w:t xml:space="preserve"> on resamples of the </w:t>
      </w:r>
      <w:r>
        <w:rPr>
          <w:b/>
        </w:rPr>
        <w:t>calendar months</w:t>
      </w:r>
      <w:r>
        <w:t xml:space="preserve"> (months drawn with replacement). Months, not days, are resampled so carryover and seasonality stay intact. </w:t>
      </w:r>
      <w:r>
        <w:rPr>
          <w:b/>
        </w:rPr>
        <w:t>Every plan is scored on all 41 fits</w:t>
      </w:r>
      <w:r>
        <w:t xml:space="preserve"> (central + 40). That is where every </w:t>
      </w:r>
      <w:r>
        <w:rPr>
          <w:b/>
        </w:rPr>
        <w:t>P10 – P90</w:t>
      </w:r>
      <w:r>
        <w:t xml:space="preserve"> range and every “refits where the plan gains” share come from.</w:t>
      </w:r>
    </w:p>
    <w:p>
      <w:pPr>
        <w:pStyle w:val="Heading2"/>
      </w:pPr>
      <w:r>
        <w:t>D.6 Validation and the fitted parameters</w:t>
      </w:r>
    </w:p>
    <w:p>
      <w:r>
        <w:t xml:space="preserve">Refitted without the last 365 days and then predicting them unseen, daily revenue is off by </w:t>
      </w:r>
      <w:r>
        <w:rPr>
          <w:b/>
        </w:rPr>
        <w:t>4.78%</w:t>
      </w:r>
      <w:r>
        <w:t xml:space="preserve"> on average (MAPE), with </w:t>
      </w:r>
      <w:r>
        <w:rPr>
          <w:b/>
        </w:rPr>
        <w:t>R² 0.905</w:t>
      </w:r>
      <w:r>
        <w:t>. Media explains 27.86% of revenue.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2381"/>
            <w:shd w:val="clear" w:color="auto" w:fill="EAF0F8"/>
          </w:tcPr>
          <w:p>
            <w:r/>
            <w:r>
              <w:rPr>
                <w:b/>
                <w:color w:val="1F3A68"/>
                <w:sz w:val="16"/>
              </w:rPr>
              <w:t>Channel</w:t>
            </w:r>
          </w:p>
        </w:tc>
        <w:tc>
          <w:tcPr>
            <w:tcW w:type="dxa" w:w="794"/>
            <w:shd w:val="clear" w:color="auto" w:fill="EAF0F8"/>
          </w:tcPr>
          <w:p>
            <w:r/>
            <w:r>
              <w:rPr>
                <w:b/>
                <w:color w:val="1F3A68"/>
                <w:sz w:val="16"/>
              </w:rPr>
              <w:t>Decay</w:t>
            </w:r>
          </w:p>
        </w:tc>
        <w:tc>
          <w:tcPr>
            <w:tcW w:type="dxa" w:w="624"/>
            <w:shd w:val="clear" w:color="auto" w:fill="EAF0F8"/>
          </w:tcPr>
          <w:p>
            <w:r/>
            <w:r>
              <w:rPr>
                <w:b/>
                <w:color w:val="1F3A68"/>
                <w:sz w:val="16"/>
              </w:rPr>
              <w:t>α</w:t>
            </w:r>
          </w:p>
        </w:tc>
        <w:tc>
          <w:tcPr>
            <w:tcW w:type="dxa" w:w="1247"/>
            <w:shd w:val="clear" w:color="auto" w:fill="EAF0F8"/>
          </w:tcPr>
          <w:p>
            <w:r/>
            <w:r>
              <w:rPr>
                <w:b/>
                <w:color w:val="1F3A68"/>
                <w:sz w:val="16"/>
              </w:rPr>
              <w:t>κ</w:t>
            </w:r>
          </w:p>
        </w:tc>
        <w:tc>
          <w:tcPr>
            <w:tcW w:type="dxa" w:w="1247"/>
            <w:shd w:val="clear" w:color="auto" w:fill="EAF0F8"/>
          </w:tcPr>
          <w:p>
            <w:r/>
            <w:r>
              <w:rPr>
                <w:b/>
                <w:color w:val="1F3A68"/>
                <w:sz w:val="16"/>
              </w:rPr>
              <w:t>ROAS (fit)</w:t>
            </w:r>
          </w:p>
        </w:tc>
        <w:tc>
          <w:tcPr>
            <w:tcW w:type="dxa" w:w="1701"/>
            <w:shd w:val="clear" w:color="auto" w:fill="EAF0F8"/>
          </w:tcPr>
          <w:p>
            <w:r/>
            <w:r>
              <w:rPr>
                <w:b/>
                <w:color w:val="1F3A68"/>
                <w:sz w:val="16"/>
              </w:rPr>
              <w:t>P10 – P90</w:t>
            </w:r>
          </w:p>
        </w:tc>
        <w:tc>
          <w:tcPr>
            <w:tcW w:type="dxa" w:w="1247"/>
            <w:shd w:val="clear" w:color="auto" w:fill="EAF0F8"/>
          </w:tcPr>
          <w:p>
            <w:r/>
            <w:r>
              <w:rPr>
                <w:b/>
                <w:color w:val="1F3A68"/>
                <w:sz w:val="16"/>
              </w:rPr>
              <w:t>True ROAS</w:t>
            </w:r>
          </w:p>
        </w:tc>
      </w:tr>
      <w:tr>
        <w:tc>
          <w:tcPr>
            <w:tcW w:type="dxa" w:w="2381"/>
          </w:tcPr>
          <w:p>
            <w:r/>
            <w:r>
              <w:rPr>
                <w:sz w:val="16"/>
              </w:rPr>
              <w:t>TV</w:t>
            </w:r>
          </w:p>
        </w:tc>
        <w:tc>
          <w:tcPr>
            <w:tcW w:type="dxa" w:w="794"/>
          </w:tcPr>
          <w:p>
            <w:r/>
            <w:r>
              <w:rPr>
                <w:sz w:val="16"/>
              </w:rPr>
              <w:t>0.5</w:t>
            </w:r>
          </w:p>
        </w:tc>
        <w:tc>
          <w:tcPr>
            <w:tcW w:type="dxa" w:w="624"/>
          </w:tcPr>
          <w:p>
            <w:r/>
            <w:r>
              <w:rPr>
                <w:sz w:val="16"/>
              </w:rPr>
              <w:t>0.9</w:t>
            </w:r>
          </w:p>
        </w:tc>
        <w:tc>
          <w:tcPr>
            <w:tcW w:type="dxa" w:w="1247"/>
          </w:tcPr>
          <w:p>
            <w:r/>
            <w:r>
              <w:rPr>
                <w:sz w:val="16"/>
              </w:rPr>
              <w:t>₹50.7 L</w:t>
            </w:r>
          </w:p>
        </w:tc>
        <w:tc>
          <w:tcPr>
            <w:tcW w:type="dxa" w:w="1247"/>
          </w:tcPr>
          <w:p>
            <w:r/>
            <w:r>
              <w:rPr>
                <w:sz w:val="16"/>
              </w:rPr>
              <w:t>1.52x</w:t>
            </w:r>
          </w:p>
        </w:tc>
        <w:tc>
          <w:tcPr>
            <w:tcW w:type="dxa" w:w="1701"/>
          </w:tcPr>
          <w:p>
            <w:r/>
            <w:r>
              <w:rPr>
                <w:sz w:val="16"/>
              </w:rPr>
              <w:t>1.43 – 1.66</w:t>
            </w:r>
          </w:p>
        </w:tc>
        <w:tc>
          <w:tcPr>
            <w:tcW w:type="dxa" w:w="1247"/>
          </w:tcPr>
          <w:p>
            <w:r/>
            <w:r>
              <w:rPr>
                <w:sz w:val="16"/>
              </w:rPr>
              <w:t>1.40x</w:t>
            </w:r>
          </w:p>
        </w:tc>
      </w:tr>
      <w:tr>
        <w:tc>
          <w:tcPr>
            <w:tcW w:type="dxa" w:w="2381"/>
          </w:tcPr>
          <w:p>
            <w:r/>
            <w:r>
              <w:rPr>
                <w:sz w:val="16"/>
              </w:rPr>
              <w:t>OTT</w:t>
            </w:r>
          </w:p>
        </w:tc>
        <w:tc>
          <w:tcPr>
            <w:tcW w:type="dxa" w:w="794"/>
          </w:tcPr>
          <w:p>
            <w:r/>
            <w:r>
              <w:rPr>
                <w:sz w:val="16"/>
              </w:rPr>
              <w:t>0.5</w:t>
            </w:r>
          </w:p>
        </w:tc>
        <w:tc>
          <w:tcPr>
            <w:tcW w:type="dxa" w:w="624"/>
          </w:tcPr>
          <w:p>
            <w:r/>
            <w:r>
              <w:rPr>
                <w:sz w:val="16"/>
              </w:rPr>
              <w:t>1.0</w:t>
            </w:r>
          </w:p>
        </w:tc>
        <w:tc>
          <w:tcPr>
            <w:tcW w:type="dxa" w:w="1247"/>
          </w:tcPr>
          <w:p>
            <w:r/>
            <w:r>
              <w:rPr>
                <w:sz w:val="16"/>
              </w:rPr>
              <w:t>₹21.4 L</w:t>
            </w:r>
          </w:p>
        </w:tc>
        <w:tc>
          <w:tcPr>
            <w:tcW w:type="dxa" w:w="1247"/>
          </w:tcPr>
          <w:p>
            <w:r/>
            <w:r>
              <w:rPr>
                <w:sz w:val="16"/>
              </w:rPr>
              <w:t>1.49x</w:t>
            </w:r>
          </w:p>
        </w:tc>
        <w:tc>
          <w:tcPr>
            <w:tcW w:type="dxa" w:w="1701"/>
          </w:tcPr>
          <w:p>
            <w:r/>
            <w:r>
              <w:rPr>
                <w:sz w:val="16"/>
              </w:rPr>
              <w:t>1.25 – 1.93</w:t>
            </w:r>
          </w:p>
        </w:tc>
        <w:tc>
          <w:tcPr>
            <w:tcW w:type="dxa" w:w="1247"/>
          </w:tcPr>
          <w:p>
            <w:r/>
            <w:r>
              <w:rPr>
                <w:sz w:val="16"/>
              </w:rPr>
              <w:t>1.60x</w:t>
            </w:r>
          </w:p>
        </w:tc>
      </w:tr>
      <w:tr>
        <w:tc>
          <w:tcPr>
            <w:tcW w:type="dxa" w:w="2381"/>
          </w:tcPr>
          <w:p>
            <w:r/>
            <w:r>
              <w:rPr>
                <w:sz w:val="16"/>
              </w:rPr>
              <w:t>Streaming Audio</w:t>
            </w:r>
          </w:p>
        </w:tc>
        <w:tc>
          <w:tcPr>
            <w:tcW w:type="dxa" w:w="794"/>
          </w:tcPr>
          <w:p>
            <w:r/>
            <w:r>
              <w:rPr>
                <w:sz w:val="16"/>
              </w:rPr>
              <w:t>0.7</w:t>
            </w:r>
          </w:p>
        </w:tc>
        <w:tc>
          <w:tcPr>
            <w:tcW w:type="dxa" w:w="624"/>
          </w:tcPr>
          <w:p>
            <w:r/>
            <w:r>
              <w:rPr>
                <w:sz w:val="16"/>
              </w:rPr>
              <w:t>1.0</w:t>
            </w:r>
          </w:p>
        </w:tc>
        <w:tc>
          <w:tcPr>
            <w:tcW w:type="dxa" w:w="1247"/>
          </w:tcPr>
          <w:p>
            <w:r/>
            <w:r>
              <w:rPr>
                <w:sz w:val="16"/>
              </w:rPr>
              <w:t>₹13.9 L</w:t>
            </w:r>
          </w:p>
        </w:tc>
        <w:tc>
          <w:tcPr>
            <w:tcW w:type="dxa" w:w="1247"/>
          </w:tcPr>
          <w:p>
            <w:r/>
            <w:r>
              <w:rPr>
                <w:sz w:val="16"/>
              </w:rPr>
              <w:t>2.08x</w:t>
            </w:r>
          </w:p>
        </w:tc>
        <w:tc>
          <w:tcPr>
            <w:tcW w:type="dxa" w:w="1701"/>
          </w:tcPr>
          <w:p>
            <w:r/>
            <w:r>
              <w:rPr>
                <w:sz w:val="16"/>
              </w:rPr>
              <w:t>1.22 – 2.65</w:t>
            </w:r>
          </w:p>
        </w:tc>
        <w:tc>
          <w:tcPr>
            <w:tcW w:type="dxa" w:w="1247"/>
          </w:tcPr>
          <w:p>
            <w:r/>
            <w:r>
              <w:rPr>
                <w:sz w:val="16"/>
              </w:rPr>
              <w:t>0.90x</w:t>
            </w:r>
          </w:p>
        </w:tc>
      </w:tr>
      <w:tr>
        <w:tc>
          <w:tcPr>
            <w:tcW w:type="dxa" w:w="2381"/>
          </w:tcPr>
          <w:p>
            <w:r/>
            <w:r>
              <w:rPr>
                <w:sz w:val="16"/>
              </w:rPr>
              <w:t>Cinema Advertising</w:t>
            </w:r>
          </w:p>
        </w:tc>
        <w:tc>
          <w:tcPr>
            <w:tcW w:type="dxa" w:w="794"/>
          </w:tcPr>
          <w:p>
            <w:r/>
            <w:r>
              <w:rPr>
                <w:sz w:val="16"/>
              </w:rPr>
              <w:t>0.4</w:t>
            </w:r>
          </w:p>
        </w:tc>
        <w:tc>
          <w:tcPr>
            <w:tcW w:type="dxa" w:w="624"/>
          </w:tcPr>
          <w:p>
            <w:r/>
            <w:r>
              <w:rPr>
                <w:sz w:val="16"/>
              </w:rPr>
              <w:t>0.8</w:t>
            </w:r>
          </w:p>
        </w:tc>
        <w:tc>
          <w:tcPr>
            <w:tcW w:type="dxa" w:w="1247"/>
          </w:tcPr>
          <w:p>
            <w:r/>
            <w:r>
              <w:rPr>
                <w:sz w:val="16"/>
              </w:rPr>
              <w:t>₹6.0 L</w:t>
            </w:r>
          </w:p>
        </w:tc>
        <w:tc>
          <w:tcPr>
            <w:tcW w:type="dxa" w:w="1247"/>
          </w:tcPr>
          <w:p>
            <w:r/>
            <w:r>
              <w:rPr>
                <w:sz w:val="16"/>
              </w:rPr>
              <w:t>0.79x</w:t>
            </w:r>
          </w:p>
        </w:tc>
        <w:tc>
          <w:tcPr>
            <w:tcW w:type="dxa" w:w="1701"/>
          </w:tcPr>
          <w:p>
            <w:r/>
            <w:r>
              <w:rPr>
                <w:sz w:val="16"/>
              </w:rPr>
              <w:t>0.36 – 1.28</w:t>
            </w:r>
          </w:p>
        </w:tc>
        <w:tc>
          <w:tcPr>
            <w:tcW w:type="dxa" w:w="1247"/>
          </w:tcPr>
          <w:p>
            <w:r/>
            <w:r>
              <w:rPr>
                <w:sz w:val="16"/>
              </w:rPr>
              <w:t>0.70x</w:t>
            </w:r>
          </w:p>
        </w:tc>
      </w:tr>
      <w:tr>
        <w:tc>
          <w:tcPr>
            <w:tcW w:type="dxa" w:w="2381"/>
          </w:tcPr>
          <w:p>
            <w:r/>
            <w:r>
              <w:rPr>
                <w:sz w:val="16"/>
              </w:rPr>
              <w:t>Meta Ads</w:t>
            </w:r>
          </w:p>
        </w:tc>
        <w:tc>
          <w:tcPr>
            <w:tcW w:type="dxa" w:w="794"/>
          </w:tcPr>
          <w:p>
            <w:r/>
            <w:r>
              <w:rPr>
                <w:sz w:val="16"/>
              </w:rPr>
              <w:t>0.1</w:t>
            </w:r>
          </w:p>
        </w:tc>
        <w:tc>
          <w:tcPr>
            <w:tcW w:type="dxa" w:w="624"/>
          </w:tcPr>
          <w:p>
            <w:r/>
            <w:r>
              <w:rPr>
                <w:sz w:val="16"/>
              </w:rPr>
              <w:t>0.8</w:t>
            </w:r>
          </w:p>
        </w:tc>
        <w:tc>
          <w:tcPr>
            <w:tcW w:type="dxa" w:w="1247"/>
          </w:tcPr>
          <w:p>
            <w:r/>
            <w:r>
              <w:rPr>
                <w:sz w:val="16"/>
              </w:rPr>
              <w:t>₹5.5 L</w:t>
            </w:r>
          </w:p>
        </w:tc>
        <w:tc>
          <w:tcPr>
            <w:tcW w:type="dxa" w:w="1247"/>
          </w:tcPr>
          <w:p>
            <w:r/>
            <w:r>
              <w:rPr>
                <w:sz w:val="16"/>
              </w:rPr>
              <w:t>2.21x</w:t>
            </w:r>
          </w:p>
        </w:tc>
        <w:tc>
          <w:tcPr>
            <w:tcW w:type="dxa" w:w="1701"/>
          </w:tcPr>
          <w:p>
            <w:r/>
            <w:r>
              <w:rPr>
                <w:sz w:val="16"/>
              </w:rPr>
              <w:t>0.19 – 2.88</w:t>
            </w:r>
          </w:p>
        </w:tc>
        <w:tc>
          <w:tcPr>
            <w:tcW w:type="dxa" w:w="1247"/>
          </w:tcPr>
          <w:p>
            <w:r/>
            <w:r>
              <w:rPr>
                <w:sz w:val="16"/>
              </w:rPr>
              <w:t>1.90x</w:t>
            </w:r>
          </w:p>
        </w:tc>
      </w:tr>
      <w:tr>
        <w:tc>
          <w:tcPr>
            <w:tcW w:type="dxa" w:w="2381"/>
          </w:tcPr>
          <w:p>
            <w:r/>
            <w:r>
              <w:rPr>
                <w:sz w:val="16"/>
              </w:rPr>
              <w:t>YouTube Ads</w:t>
            </w:r>
          </w:p>
        </w:tc>
        <w:tc>
          <w:tcPr>
            <w:tcW w:type="dxa" w:w="794"/>
          </w:tcPr>
          <w:p>
            <w:r/>
            <w:r>
              <w:rPr>
                <w:sz w:val="16"/>
              </w:rPr>
              <w:t>0.1</w:t>
            </w:r>
          </w:p>
        </w:tc>
        <w:tc>
          <w:tcPr>
            <w:tcW w:type="dxa" w:w="624"/>
          </w:tcPr>
          <w:p>
            <w:r/>
            <w:r>
              <w:rPr>
                <w:sz w:val="16"/>
              </w:rPr>
              <w:t>0.8</w:t>
            </w:r>
          </w:p>
        </w:tc>
        <w:tc>
          <w:tcPr>
            <w:tcW w:type="dxa" w:w="1247"/>
          </w:tcPr>
          <w:p>
            <w:r/>
            <w:r>
              <w:rPr>
                <w:sz w:val="16"/>
              </w:rPr>
              <w:t>₹4.2 L</w:t>
            </w:r>
          </w:p>
        </w:tc>
        <w:tc>
          <w:tcPr>
            <w:tcW w:type="dxa" w:w="1247"/>
          </w:tcPr>
          <w:p>
            <w:r/>
            <w:r>
              <w:rPr>
                <w:sz w:val="16"/>
              </w:rPr>
              <w:t>2.60x</w:t>
            </w:r>
          </w:p>
        </w:tc>
        <w:tc>
          <w:tcPr>
            <w:tcW w:type="dxa" w:w="1701"/>
          </w:tcPr>
          <w:p>
            <w:r/>
            <w:r>
              <w:rPr>
                <w:sz w:val="16"/>
              </w:rPr>
              <w:t>0.00 – 4.01</w:t>
            </w:r>
          </w:p>
        </w:tc>
        <w:tc>
          <w:tcPr>
            <w:tcW w:type="dxa" w:w="1247"/>
          </w:tcPr>
          <w:p>
            <w:r/>
            <w:r>
              <w:rPr>
                <w:sz w:val="16"/>
              </w:rPr>
              <w:t>1.70x</w:t>
            </w:r>
          </w:p>
        </w:tc>
      </w:tr>
      <w:tr>
        <w:tc>
          <w:tcPr>
            <w:tcW w:type="dxa" w:w="2381"/>
          </w:tcPr>
          <w:p>
            <w:r/>
            <w:r>
              <w:rPr>
                <w:sz w:val="16"/>
              </w:rPr>
              <w:t>Google Ads</w:t>
            </w:r>
          </w:p>
        </w:tc>
        <w:tc>
          <w:tcPr>
            <w:tcW w:type="dxa" w:w="794"/>
          </w:tcPr>
          <w:p>
            <w:r/>
            <w:r>
              <w:rPr>
                <w:sz w:val="16"/>
              </w:rPr>
              <w:t>0.1</w:t>
            </w:r>
          </w:p>
        </w:tc>
        <w:tc>
          <w:tcPr>
            <w:tcW w:type="dxa" w:w="624"/>
          </w:tcPr>
          <w:p>
            <w:r/>
            <w:r>
              <w:rPr>
                <w:sz w:val="16"/>
              </w:rPr>
              <w:t>0.8</w:t>
            </w:r>
          </w:p>
        </w:tc>
        <w:tc>
          <w:tcPr>
            <w:tcW w:type="dxa" w:w="1247"/>
          </w:tcPr>
          <w:p>
            <w:r/>
            <w:r>
              <w:rPr>
                <w:sz w:val="16"/>
              </w:rPr>
              <w:t>₹3.8 L</w:t>
            </w:r>
          </w:p>
        </w:tc>
        <w:tc>
          <w:tcPr>
            <w:tcW w:type="dxa" w:w="1247"/>
          </w:tcPr>
          <w:p>
            <w:r/>
            <w:r>
              <w:rPr>
                <w:sz w:val="16"/>
              </w:rPr>
              <w:t>2.20x</w:t>
            </w:r>
          </w:p>
        </w:tc>
        <w:tc>
          <w:tcPr>
            <w:tcW w:type="dxa" w:w="1701"/>
          </w:tcPr>
          <w:p>
            <w:r/>
            <w:r>
              <w:rPr>
                <w:sz w:val="16"/>
              </w:rPr>
              <w:t>0.00 – 3.23</w:t>
            </w:r>
          </w:p>
        </w:tc>
        <w:tc>
          <w:tcPr>
            <w:tcW w:type="dxa" w:w="1247"/>
          </w:tcPr>
          <w:p>
            <w:r/>
            <w:r>
              <w:rPr>
                <w:sz w:val="16"/>
              </w:rPr>
              <w:t>2.20x</w:t>
            </w:r>
          </w:p>
        </w:tc>
      </w:tr>
      <w:tr>
        <w:tc>
          <w:tcPr>
            <w:tcW w:type="dxa" w:w="2381"/>
          </w:tcPr>
          <w:p>
            <w:r/>
            <w:r>
              <w:rPr>
                <w:sz w:val="16"/>
              </w:rPr>
              <w:t>TikTok Ads</w:t>
            </w:r>
          </w:p>
        </w:tc>
        <w:tc>
          <w:tcPr>
            <w:tcW w:type="dxa" w:w="794"/>
          </w:tcPr>
          <w:p>
            <w:r/>
            <w:r>
              <w:rPr>
                <w:sz w:val="16"/>
              </w:rPr>
              <w:t>0.1</w:t>
            </w:r>
          </w:p>
        </w:tc>
        <w:tc>
          <w:tcPr>
            <w:tcW w:type="dxa" w:w="624"/>
          </w:tcPr>
          <w:p>
            <w:r/>
            <w:r>
              <w:rPr>
                <w:sz w:val="16"/>
              </w:rPr>
              <w:t>1.0</w:t>
            </w:r>
          </w:p>
        </w:tc>
        <w:tc>
          <w:tcPr>
            <w:tcW w:type="dxa" w:w="1247"/>
          </w:tcPr>
          <w:p>
            <w:r/>
            <w:r>
              <w:rPr>
                <w:sz w:val="16"/>
              </w:rPr>
              <w:t>₹2.9 L</w:t>
            </w:r>
          </w:p>
        </w:tc>
        <w:tc>
          <w:tcPr>
            <w:tcW w:type="dxa" w:w="1247"/>
          </w:tcPr>
          <w:p>
            <w:r/>
            <w:r>
              <w:rPr>
                <w:sz w:val="16"/>
              </w:rPr>
              <w:t>0.58x</w:t>
            </w:r>
          </w:p>
        </w:tc>
        <w:tc>
          <w:tcPr>
            <w:tcW w:type="dxa" w:w="1701"/>
          </w:tcPr>
          <w:p>
            <w:r/>
            <w:r>
              <w:rPr>
                <w:sz w:val="16"/>
              </w:rPr>
              <w:t>0.00 – 1.23</w:t>
            </w:r>
          </w:p>
        </w:tc>
        <w:tc>
          <w:tcPr>
            <w:tcW w:type="dxa" w:w="1247"/>
          </w:tcPr>
          <w:p>
            <w:r/>
            <w:r>
              <w:rPr>
                <w:sz w:val="16"/>
              </w:rPr>
              <w:t>1.10x</w:t>
            </w:r>
          </w:p>
        </w:tc>
      </w:tr>
      <w:tr>
        <w:tc>
          <w:tcPr>
            <w:tcW w:type="dxa" w:w="2381"/>
          </w:tcPr>
          <w:p>
            <w:r/>
            <w:r>
              <w:rPr>
                <w:sz w:val="16"/>
              </w:rPr>
              <w:t>Billboard</w:t>
            </w:r>
          </w:p>
        </w:tc>
        <w:tc>
          <w:tcPr>
            <w:tcW w:type="dxa" w:w="794"/>
          </w:tcPr>
          <w:p>
            <w:r/>
            <w:r>
              <w:rPr>
                <w:sz w:val="16"/>
              </w:rPr>
              <w:t>0.7</w:t>
            </w:r>
          </w:p>
        </w:tc>
        <w:tc>
          <w:tcPr>
            <w:tcW w:type="dxa" w:w="624"/>
          </w:tcPr>
          <w:p>
            <w:r/>
            <w:r>
              <w:rPr>
                <w:sz w:val="16"/>
              </w:rPr>
              <w:t>1.0</w:t>
            </w:r>
          </w:p>
        </w:tc>
        <w:tc>
          <w:tcPr>
            <w:tcW w:type="dxa" w:w="1247"/>
          </w:tcPr>
          <w:p>
            <w:r/>
            <w:r>
              <w:rPr>
                <w:sz w:val="16"/>
              </w:rPr>
              <w:t>₹51.6 L</w:t>
            </w:r>
          </w:p>
        </w:tc>
        <w:tc>
          <w:tcPr>
            <w:tcW w:type="dxa" w:w="1247"/>
          </w:tcPr>
          <w:p>
            <w:r/>
            <w:r>
              <w:rPr>
                <w:sz w:val="16"/>
              </w:rPr>
              <w:t>0.60x</w:t>
            </w:r>
          </w:p>
        </w:tc>
        <w:tc>
          <w:tcPr>
            <w:tcW w:type="dxa" w:w="1701"/>
          </w:tcPr>
          <w:p>
            <w:r/>
            <w:r>
              <w:rPr>
                <w:sz w:val="16"/>
              </w:rPr>
              <w:t>0.23 – 1.02</w:t>
            </w:r>
          </w:p>
        </w:tc>
        <w:tc>
          <w:tcPr>
            <w:tcW w:type="dxa" w:w="1247"/>
          </w:tcPr>
          <w:p>
            <w:r/>
            <w:r>
              <w:rPr>
                <w:sz w:val="16"/>
              </w:rPr>
              <w:t>0.80x</w:t>
            </w:r>
          </w:p>
        </w:tc>
      </w:tr>
      <w:tr>
        <w:tc>
          <w:tcPr>
            <w:tcW w:type="dxa" w:w="2381"/>
          </w:tcPr>
          <w:p>
            <w:r/>
            <w:r>
              <w:rPr>
                <w:sz w:val="16"/>
              </w:rPr>
              <w:t>Transit Advertising</w:t>
            </w:r>
          </w:p>
        </w:tc>
        <w:tc>
          <w:tcPr>
            <w:tcW w:type="dxa" w:w="794"/>
          </w:tcPr>
          <w:p>
            <w:r/>
            <w:r>
              <w:rPr>
                <w:sz w:val="16"/>
              </w:rPr>
              <w:t>0.3</w:t>
            </w:r>
          </w:p>
        </w:tc>
        <w:tc>
          <w:tcPr>
            <w:tcW w:type="dxa" w:w="624"/>
          </w:tcPr>
          <w:p>
            <w:r/>
            <w:r>
              <w:rPr>
                <w:sz w:val="16"/>
              </w:rPr>
              <w:t>1.0</w:t>
            </w:r>
          </w:p>
        </w:tc>
        <w:tc>
          <w:tcPr>
            <w:tcW w:type="dxa" w:w="1247"/>
          </w:tcPr>
          <w:p>
            <w:r/>
            <w:r>
              <w:rPr>
                <w:sz w:val="16"/>
              </w:rPr>
              <w:t>₹3.3 L</w:t>
            </w:r>
          </w:p>
        </w:tc>
        <w:tc>
          <w:tcPr>
            <w:tcW w:type="dxa" w:w="1247"/>
          </w:tcPr>
          <w:p>
            <w:r/>
            <w:r>
              <w:rPr>
                <w:sz w:val="16"/>
              </w:rPr>
              <w:t>0.09x</w:t>
            </w:r>
          </w:p>
        </w:tc>
        <w:tc>
          <w:tcPr>
            <w:tcW w:type="dxa" w:w="1701"/>
          </w:tcPr>
          <w:p>
            <w:r/>
            <w:r>
              <w:rPr>
                <w:sz w:val="16"/>
              </w:rPr>
              <w:t>0.00 – 0.63</w:t>
            </w:r>
          </w:p>
        </w:tc>
        <w:tc>
          <w:tcPr>
            <w:tcW w:type="dxa" w:w="1247"/>
          </w:tcPr>
          <w:p>
            <w:r/>
            <w:r>
              <w:rPr>
                <w:sz w:val="16"/>
              </w:rPr>
              <w:t>0.60x</w:t>
            </w:r>
          </w:p>
        </w:tc>
      </w:tr>
      <w:tr>
        <w:tc>
          <w:tcPr>
            <w:tcW w:type="dxa" w:w="2381"/>
          </w:tcPr>
          <w:p>
            <w:r/>
            <w:r>
              <w:rPr>
                <w:sz w:val="16"/>
              </w:rPr>
              <w:t>Airport Advertising</w:t>
            </w:r>
          </w:p>
        </w:tc>
        <w:tc>
          <w:tcPr>
            <w:tcW w:type="dxa" w:w="794"/>
          </w:tcPr>
          <w:p>
            <w:r/>
            <w:r>
              <w:rPr>
                <w:sz w:val="16"/>
              </w:rPr>
              <w:t>0.7</w:t>
            </w:r>
          </w:p>
        </w:tc>
        <w:tc>
          <w:tcPr>
            <w:tcW w:type="dxa" w:w="624"/>
          </w:tcPr>
          <w:p>
            <w:r/>
            <w:r>
              <w:rPr>
                <w:sz w:val="16"/>
              </w:rPr>
              <w:t>1.0</w:t>
            </w:r>
          </w:p>
        </w:tc>
        <w:tc>
          <w:tcPr>
            <w:tcW w:type="dxa" w:w="1247"/>
          </w:tcPr>
          <w:p>
            <w:r/>
            <w:r>
              <w:rPr>
                <w:sz w:val="16"/>
              </w:rPr>
              <w:t>₹9.5 L</w:t>
            </w:r>
          </w:p>
        </w:tc>
        <w:tc>
          <w:tcPr>
            <w:tcW w:type="dxa" w:w="1247"/>
          </w:tcPr>
          <w:p>
            <w:r/>
            <w:r>
              <w:rPr>
                <w:sz w:val="16"/>
              </w:rPr>
              <w:t>1.01x</w:t>
            </w:r>
          </w:p>
        </w:tc>
        <w:tc>
          <w:tcPr>
            <w:tcW w:type="dxa" w:w="1701"/>
          </w:tcPr>
          <w:p>
            <w:r/>
            <w:r>
              <w:rPr>
                <w:sz w:val="16"/>
              </w:rPr>
              <w:t>0.63 – 2.02</w:t>
            </w:r>
          </w:p>
        </w:tc>
        <w:tc>
          <w:tcPr>
            <w:tcW w:type="dxa" w:w="1247"/>
          </w:tcPr>
          <w:p>
            <w:r/>
            <w:r>
              <w:rPr>
                <w:sz w:val="16"/>
              </w:rPr>
              <w:t>0.50x</w:t>
            </w:r>
          </w:p>
        </w:tc>
      </w:tr>
      <w:tr>
        <w:tc>
          <w:tcPr>
            <w:tcW w:type="dxa" w:w="2381"/>
          </w:tcPr>
          <w:p>
            <w:r/>
            <w:r>
              <w:rPr>
                <w:sz w:val="16"/>
              </w:rPr>
              <w:t>Newspaper</w:t>
            </w:r>
          </w:p>
        </w:tc>
        <w:tc>
          <w:tcPr>
            <w:tcW w:type="dxa" w:w="794"/>
          </w:tcPr>
          <w:p>
            <w:r/>
            <w:r>
              <w:rPr>
                <w:sz w:val="16"/>
              </w:rPr>
              <w:t>0.4</w:t>
            </w:r>
          </w:p>
        </w:tc>
        <w:tc>
          <w:tcPr>
            <w:tcW w:type="dxa" w:w="624"/>
          </w:tcPr>
          <w:p>
            <w:r/>
            <w:r>
              <w:rPr>
                <w:sz w:val="16"/>
              </w:rPr>
              <w:t>1.0</w:t>
            </w:r>
          </w:p>
        </w:tc>
        <w:tc>
          <w:tcPr>
            <w:tcW w:type="dxa" w:w="1247"/>
          </w:tcPr>
          <w:p>
            <w:r/>
            <w:r>
              <w:rPr>
                <w:sz w:val="16"/>
              </w:rPr>
              <w:t>₹23.7 L</w:t>
            </w:r>
          </w:p>
        </w:tc>
        <w:tc>
          <w:tcPr>
            <w:tcW w:type="dxa" w:w="1247"/>
          </w:tcPr>
          <w:p>
            <w:r/>
            <w:r>
              <w:rPr>
                <w:sz w:val="16"/>
              </w:rPr>
              <w:t>0.60x</w:t>
            </w:r>
          </w:p>
        </w:tc>
        <w:tc>
          <w:tcPr>
            <w:tcW w:type="dxa" w:w="1701"/>
          </w:tcPr>
          <w:p>
            <w:r/>
            <w:r>
              <w:rPr>
                <w:sz w:val="16"/>
              </w:rPr>
              <w:t>0.53 – 0.81</w:t>
            </w:r>
          </w:p>
        </w:tc>
        <w:tc>
          <w:tcPr>
            <w:tcW w:type="dxa" w:w="1247"/>
          </w:tcPr>
          <w:p>
            <w:r/>
            <w:r>
              <w:rPr>
                <w:sz w:val="16"/>
              </w:rPr>
              <w:t>0.70x</w:t>
            </w:r>
          </w:p>
        </w:tc>
      </w:tr>
      <w:tr>
        <w:tc>
          <w:tcPr>
            <w:tcW w:type="dxa" w:w="2381"/>
          </w:tcPr>
          <w:p>
            <w:r/>
            <w:r>
              <w:rPr>
                <w:sz w:val="16"/>
              </w:rPr>
              <w:t>Magazine</w:t>
            </w:r>
          </w:p>
        </w:tc>
        <w:tc>
          <w:tcPr>
            <w:tcW w:type="dxa" w:w="794"/>
          </w:tcPr>
          <w:p>
            <w:r/>
            <w:r>
              <w:rPr>
                <w:sz w:val="16"/>
              </w:rPr>
              <w:t>0.7</w:t>
            </w:r>
          </w:p>
        </w:tc>
        <w:tc>
          <w:tcPr>
            <w:tcW w:type="dxa" w:w="624"/>
          </w:tcPr>
          <w:p>
            <w:r/>
            <w:r>
              <w:rPr>
                <w:sz w:val="16"/>
              </w:rPr>
              <w:t>1.0</w:t>
            </w:r>
          </w:p>
        </w:tc>
        <w:tc>
          <w:tcPr>
            <w:tcW w:type="dxa" w:w="1247"/>
          </w:tcPr>
          <w:p>
            <w:r/>
            <w:r>
              <w:rPr>
                <w:sz w:val="16"/>
              </w:rPr>
              <w:t>₹37.8 L</w:t>
            </w:r>
          </w:p>
        </w:tc>
        <w:tc>
          <w:tcPr>
            <w:tcW w:type="dxa" w:w="1247"/>
          </w:tcPr>
          <w:p>
            <w:r/>
            <w:r>
              <w:rPr>
                <w:sz w:val="16"/>
              </w:rPr>
              <w:t>0.78x</w:t>
            </w:r>
          </w:p>
        </w:tc>
        <w:tc>
          <w:tcPr>
            <w:tcW w:type="dxa" w:w="1701"/>
          </w:tcPr>
          <w:p>
            <w:r/>
            <w:r>
              <w:rPr>
                <w:sz w:val="16"/>
              </w:rPr>
              <w:t>0.43 – 1.22</w:t>
            </w:r>
          </w:p>
        </w:tc>
        <w:tc>
          <w:tcPr>
            <w:tcW w:type="dxa" w:w="1247"/>
          </w:tcPr>
          <w:p>
            <w:r/>
            <w:r>
              <w:rPr>
                <w:sz w:val="16"/>
              </w:rPr>
              <w:t>0.50x</w:t>
            </w:r>
          </w:p>
        </w:tc>
      </w:tr>
      <w:tr>
        <w:tc>
          <w:tcPr>
            <w:tcW w:type="dxa" w:w="2381"/>
          </w:tcPr>
          <w:p>
            <w:r/>
            <w:r>
              <w:rPr>
                <w:sz w:val="16"/>
              </w:rPr>
              <w:t>Google Search</w:t>
            </w:r>
          </w:p>
        </w:tc>
        <w:tc>
          <w:tcPr>
            <w:tcW w:type="dxa" w:w="794"/>
          </w:tcPr>
          <w:p>
            <w:r/>
            <w:r>
              <w:rPr>
                <w:sz w:val="16"/>
              </w:rPr>
              <w:t>0.1</w:t>
            </w:r>
          </w:p>
        </w:tc>
        <w:tc>
          <w:tcPr>
            <w:tcW w:type="dxa" w:w="624"/>
          </w:tcPr>
          <w:p>
            <w:r/>
            <w:r>
              <w:rPr>
                <w:sz w:val="16"/>
              </w:rPr>
              <w:t>1.0</w:t>
            </w:r>
          </w:p>
        </w:tc>
        <w:tc>
          <w:tcPr>
            <w:tcW w:type="dxa" w:w="1247"/>
          </w:tcPr>
          <w:p>
            <w:r/>
            <w:r>
              <w:rPr>
                <w:sz w:val="16"/>
              </w:rPr>
              <w:t>₹4.2 L</w:t>
            </w:r>
          </w:p>
        </w:tc>
        <w:tc>
          <w:tcPr>
            <w:tcW w:type="dxa" w:w="1247"/>
          </w:tcPr>
          <w:p>
            <w:r/>
            <w:r>
              <w:rPr>
                <w:sz w:val="16"/>
              </w:rPr>
              <w:t>2.62x</w:t>
            </w:r>
          </w:p>
        </w:tc>
        <w:tc>
          <w:tcPr>
            <w:tcW w:type="dxa" w:w="1701"/>
          </w:tcPr>
          <w:p>
            <w:r/>
            <w:r>
              <w:rPr>
                <w:sz w:val="16"/>
              </w:rPr>
              <w:t>1.24 – 4.03</w:t>
            </w:r>
          </w:p>
        </w:tc>
        <w:tc>
          <w:tcPr>
            <w:tcW w:type="dxa" w:w="1247"/>
          </w:tcPr>
          <w:p>
            <w:r/>
            <w:r>
              <w:rPr>
                <w:sz w:val="16"/>
              </w:rPr>
              <w:t>2.80x</w:t>
            </w:r>
          </w:p>
        </w:tc>
      </w:tr>
      <w:tr>
        <w:tc>
          <w:tcPr>
            <w:tcW w:type="dxa" w:w="2381"/>
          </w:tcPr>
          <w:p>
            <w:r/>
            <w:r>
              <w:rPr>
                <w:sz w:val="16"/>
              </w:rPr>
              <w:t>Programmatic Display</w:t>
            </w:r>
          </w:p>
        </w:tc>
        <w:tc>
          <w:tcPr>
            <w:tcW w:type="dxa" w:w="794"/>
          </w:tcPr>
          <w:p>
            <w:r/>
            <w:r>
              <w:rPr>
                <w:sz w:val="16"/>
              </w:rPr>
              <w:t>0.6</w:t>
            </w:r>
          </w:p>
        </w:tc>
        <w:tc>
          <w:tcPr>
            <w:tcW w:type="dxa" w:w="624"/>
          </w:tcPr>
          <w:p>
            <w:r/>
            <w:r>
              <w:rPr>
                <w:sz w:val="16"/>
              </w:rPr>
              <w:t>1.0</w:t>
            </w:r>
          </w:p>
        </w:tc>
        <w:tc>
          <w:tcPr>
            <w:tcW w:type="dxa" w:w="1247"/>
          </w:tcPr>
          <w:p>
            <w:r/>
            <w:r>
              <w:rPr>
                <w:sz w:val="16"/>
              </w:rPr>
              <w:t>₹12.0 L</w:t>
            </w:r>
          </w:p>
        </w:tc>
        <w:tc>
          <w:tcPr>
            <w:tcW w:type="dxa" w:w="1247"/>
          </w:tcPr>
          <w:p>
            <w:r/>
            <w:r>
              <w:rPr>
                <w:sz w:val="16"/>
              </w:rPr>
              <w:t>0.00x</w:t>
            </w:r>
          </w:p>
        </w:tc>
        <w:tc>
          <w:tcPr>
            <w:tcW w:type="dxa" w:w="1701"/>
          </w:tcPr>
          <w:p>
            <w:r/>
            <w:r>
              <w:rPr>
                <w:sz w:val="16"/>
              </w:rPr>
              <w:t>0.00 – 2.19</w:t>
            </w:r>
          </w:p>
        </w:tc>
        <w:tc>
          <w:tcPr>
            <w:tcW w:type="dxa" w:w="1247"/>
          </w:tcPr>
          <w:p>
            <w:r/>
            <w:r>
              <w:rPr>
                <w:sz w:val="16"/>
              </w:rPr>
              <w:t>1.00x</w:t>
            </w:r>
          </w:p>
        </w:tc>
      </w:tr>
      <w:tr>
        <w:tc>
          <w:tcPr>
            <w:tcW w:type="dxa" w:w="2381"/>
          </w:tcPr>
          <w:p>
            <w:r/>
            <w:r>
              <w:rPr>
                <w:sz w:val="16"/>
              </w:rPr>
              <w:t>Native Advertising</w:t>
            </w:r>
          </w:p>
        </w:tc>
        <w:tc>
          <w:tcPr>
            <w:tcW w:type="dxa" w:w="794"/>
          </w:tcPr>
          <w:p>
            <w:r/>
            <w:r>
              <w:rPr>
                <w:sz w:val="16"/>
              </w:rPr>
              <w:t>0.1</w:t>
            </w:r>
          </w:p>
        </w:tc>
        <w:tc>
          <w:tcPr>
            <w:tcW w:type="dxa" w:w="624"/>
          </w:tcPr>
          <w:p>
            <w:r/>
            <w:r>
              <w:rPr>
                <w:sz w:val="16"/>
              </w:rPr>
              <w:t>0.8</w:t>
            </w:r>
          </w:p>
        </w:tc>
        <w:tc>
          <w:tcPr>
            <w:tcW w:type="dxa" w:w="1247"/>
          </w:tcPr>
          <w:p>
            <w:r/>
            <w:r>
              <w:rPr>
                <w:sz w:val="16"/>
              </w:rPr>
              <w:t>₹0.9 L</w:t>
            </w:r>
          </w:p>
        </w:tc>
        <w:tc>
          <w:tcPr>
            <w:tcW w:type="dxa" w:w="1247"/>
          </w:tcPr>
          <w:p>
            <w:r/>
            <w:r>
              <w:rPr>
                <w:sz w:val="16"/>
              </w:rPr>
              <w:t>1.92x</w:t>
            </w:r>
          </w:p>
        </w:tc>
        <w:tc>
          <w:tcPr>
            <w:tcW w:type="dxa" w:w="1701"/>
          </w:tcPr>
          <w:p>
            <w:r/>
            <w:r>
              <w:rPr>
                <w:sz w:val="16"/>
              </w:rPr>
              <w:t>0.81 – 2.53</w:t>
            </w:r>
          </w:p>
        </w:tc>
        <w:tc>
          <w:tcPr>
            <w:tcW w:type="dxa" w:w="1247"/>
          </w:tcPr>
          <w:p>
            <w:r/>
            <w:r>
              <w:rPr>
                <w:sz w:val="16"/>
              </w:rPr>
              <w:t>1.20x</w:t>
            </w:r>
          </w:p>
        </w:tc>
      </w:tr>
      <w:tr>
        <w:tc>
          <w:tcPr>
            <w:tcW w:type="dxa" w:w="2381"/>
          </w:tcPr>
          <w:p>
            <w:r/>
            <w:r>
              <w:rPr>
                <w:sz w:val="16"/>
              </w:rPr>
              <w:t>E-commerce Ads</w:t>
            </w:r>
          </w:p>
        </w:tc>
        <w:tc>
          <w:tcPr>
            <w:tcW w:type="dxa" w:w="794"/>
          </w:tcPr>
          <w:p>
            <w:r/>
            <w:r>
              <w:rPr>
                <w:sz w:val="16"/>
              </w:rPr>
              <w:t>0.2</w:t>
            </w:r>
          </w:p>
        </w:tc>
        <w:tc>
          <w:tcPr>
            <w:tcW w:type="dxa" w:w="624"/>
          </w:tcPr>
          <w:p>
            <w:r/>
            <w:r>
              <w:rPr>
                <w:sz w:val="16"/>
              </w:rPr>
              <w:t>1.0</w:t>
            </w:r>
          </w:p>
        </w:tc>
        <w:tc>
          <w:tcPr>
            <w:tcW w:type="dxa" w:w="1247"/>
          </w:tcPr>
          <w:p>
            <w:r/>
            <w:r>
              <w:rPr>
                <w:sz w:val="16"/>
              </w:rPr>
              <w:t>₹11.7 L</w:t>
            </w:r>
          </w:p>
        </w:tc>
        <w:tc>
          <w:tcPr>
            <w:tcW w:type="dxa" w:w="1247"/>
          </w:tcPr>
          <w:p>
            <w:r/>
            <w:r>
              <w:rPr>
                <w:sz w:val="16"/>
              </w:rPr>
              <w:t>3.20x</w:t>
            </w:r>
          </w:p>
        </w:tc>
        <w:tc>
          <w:tcPr>
            <w:tcW w:type="dxa" w:w="1701"/>
          </w:tcPr>
          <w:p>
            <w:r/>
            <w:r>
              <w:rPr>
                <w:sz w:val="16"/>
              </w:rPr>
              <w:t>2.68 – 4.13</w:t>
            </w:r>
          </w:p>
        </w:tc>
        <w:tc>
          <w:tcPr>
            <w:tcW w:type="dxa" w:w="1247"/>
          </w:tcPr>
          <w:p>
            <w:r/>
            <w:r>
              <w:rPr>
                <w:sz w:val="16"/>
              </w:rPr>
              <w:t>3.00x</w:t>
            </w:r>
          </w:p>
        </w:tc>
      </w:tr>
      <w:tr>
        <w:tc>
          <w:tcPr>
            <w:tcW w:type="dxa" w:w="2381"/>
          </w:tcPr>
          <w:p>
            <w:r/>
            <w:r>
              <w:rPr>
                <w:sz w:val="16"/>
              </w:rPr>
              <w:t>Quick Commerce Ads</w:t>
            </w:r>
          </w:p>
        </w:tc>
        <w:tc>
          <w:tcPr>
            <w:tcW w:type="dxa" w:w="794"/>
          </w:tcPr>
          <w:p>
            <w:r/>
            <w:r>
              <w:rPr>
                <w:sz w:val="16"/>
              </w:rPr>
              <w:t>0.6</w:t>
            </w:r>
          </w:p>
        </w:tc>
        <w:tc>
          <w:tcPr>
            <w:tcW w:type="dxa" w:w="624"/>
          </w:tcPr>
          <w:p>
            <w:r/>
            <w:r>
              <w:rPr>
                <w:sz w:val="16"/>
              </w:rPr>
              <w:t>0.8</w:t>
            </w:r>
          </w:p>
        </w:tc>
        <w:tc>
          <w:tcPr>
            <w:tcW w:type="dxa" w:w="1247"/>
          </w:tcPr>
          <w:p>
            <w:r/>
            <w:r>
              <w:rPr>
                <w:sz w:val="16"/>
              </w:rPr>
              <w:t>₹4.1 L</w:t>
            </w:r>
          </w:p>
        </w:tc>
        <w:tc>
          <w:tcPr>
            <w:tcW w:type="dxa" w:w="1247"/>
          </w:tcPr>
          <w:p>
            <w:r/>
            <w:r>
              <w:rPr>
                <w:sz w:val="16"/>
              </w:rPr>
              <w:t>4.01x</w:t>
            </w:r>
          </w:p>
        </w:tc>
        <w:tc>
          <w:tcPr>
            <w:tcW w:type="dxa" w:w="1701"/>
          </w:tcPr>
          <w:p>
            <w:r/>
            <w:r>
              <w:rPr>
                <w:sz w:val="16"/>
              </w:rPr>
              <w:t>2.98 – 5.07</w:t>
            </w:r>
          </w:p>
        </w:tc>
        <w:tc>
          <w:tcPr>
            <w:tcW w:type="dxa" w:w="1247"/>
          </w:tcPr>
          <w:p>
            <w:r/>
            <w:r>
              <w:rPr>
                <w:sz w:val="16"/>
              </w:rPr>
              <w:t>2.40x</w:t>
            </w:r>
          </w:p>
        </w:tc>
      </w:tr>
      <w:tr>
        <w:tc>
          <w:tcPr>
            <w:tcW w:type="dxa" w:w="2381"/>
          </w:tcPr>
          <w:p>
            <w:r/>
            <w:r>
              <w:rPr>
                <w:sz w:val="16"/>
              </w:rPr>
              <w:t>In Store Digital Ads</w:t>
            </w:r>
          </w:p>
        </w:tc>
        <w:tc>
          <w:tcPr>
            <w:tcW w:type="dxa" w:w="794"/>
          </w:tcPr>
          <w:p>
            <w:r/>
            <w:r>
              <w:rPr>
                <w:sz w:val="16"/>
              </w:rPr>
              <w:t>0.0</w:t>
            </w:r>
          </w:p>
        </w:tc>
        <w:tc>
          <w:tcPr>
            <w:tcW w:type="dxa" w:w="624"/>
          </w:tcPr>
          <w:p>
            <w:r/>
            <w:r>
              <w:rPr>
                <w:sz w:val="16"/>
              </w:rPr>
              <w:t>1.0</w:t>
            </w:r>
          </w:p>
        </w:tc>
        <w:tc>
          <w:tcPr>
            <w:tcW w:type="dxa" w:w="1247"/>
          </w:tcPr>
          <w:p>
            <w:r/>
            <w:r>
              <w:rPr>
                <w:sz w:val="16"/>
              </w:rPr>
              <w:t>₹4.0 L</w:t>
            </w:r>
          </w:p>
        </w:tc>
        <w:tc>
          <w:tcPr>
            <w:tcW w:type="dxa" w:w="1247"/>
          </w:tcPr>
          <w:p>
            <w:r/>
            <w:r>
              <w:rPr>
                <w:sz w:val="16"/>
              </w:rPr>
              <w:t>2.22x</w:t>
            </w:r>
          </w:p>
        </w:tc>
        <w:tc>
          <w:tcPr>
            <w:tcW w:type="dxa" w:w="1701"/>
          </w:tcPr>
          <w:p>
            <w:r/>
            <w:r>
              <w:rPr>
                <w:sz w:val="16"/>
              </w:rPr>
              <w:t>1.83 – 3.15</w:t>
            </w:r>
          </w:p>
        </w:tc>
        <w:tc>
          <w:tcPr>
            <w:tcW w:type="dxa" w:w="1247"/>
          </w:tcPr>
          <w:p>
            <w:r/>
            <w:r>
              <w:rPr>
                <w:sz w:val="16"/>
              </w:rPr>
              <w:t>2.00x</w:t>
            </w:r>
          </w:p>
        </w:tc>
      </w:tr>
      <w:tr>
        <w:tc>
          <w:tcPr>
            <w:tcW w:type="dxa" w:w="2381"/>
          </w:tcPr>
          <w:p>
            <w:r/>
            <w:r>
              <w:rPr>
                <w:sz w:val="16"/>
              </w:rPr>
              <w:t>Influencer Marketing</w:t>
            </w:r>
          </w:p>
        </w:tc>
        <w:tc>
          <w:tcPr>
            <w:tcW w:type="dxa" w:w="794"/>
          </w:tcPr>
          <w:p>
            <w:r/>
            <w:r>
              <w:rPr>
                <w:sz w:val="16"/>
              </w:rPr>
              <w:t>0.7</w:t>
            </w:r>
          </w:p>
        </w:tc>
        <w:tc>
          <w:tcPr>
            <w:tcW w:type="dxa" w:w="624"/>
          </w:tcPr>
          <w:p>
            <w:r/>
            <w:r>
              <w:rPr>
                <w:sz w:val="16"/>
              </w:rPr>
              <w:t>0.8</w:t>
            </w:r>
          </w:p>
        </w:tc>
        <w:tc>
          <w:tcPr>
            <w:tcW w:type="dxa" w:w="1247"/>
          </w:tcPr>
          <w:p>
            <w:r/>
            <w:r>
              <w:rPr>
                <w:sz w:val="16"/>
              </w:rPr>
              <w:t>₹5.9 L</w:t>
            </w:r>
          </w:p>
        </w:tc>
        <w:tc>
          <w:tcPr>
            <w:tcW w:type="dxa" w:w="1247"/>
          </w:tcPr>
          <w:p>
            <w:r/>
            <w:r>
              <w:rPr>
                <w:sz w:val="16"/>
              </w:rPr>
              <w:t>1.56x</w:t>
            </w:r>
          </w:p>
        </w:tc>
        <w:tc>
          <w:tcPr>
            <w:tcW w:type="dxa" w:w="1701"/>
          </w:tcPr>
          <w:p>
            <w:r/>
            <w:r>
              <w:rPr>
                <w:sz w:val="16"/>
              </w:rPr>
              <w:t>0.78 – 2.17</w:t>
            </w:r>
          </w:p>
        </w:tc>
        <w:tc>
          <w:tcPr>
            <w:tcW w:type="dxa" w:w="1247"/>
          </w:tcPr>
          <w:p>
            <w:r/>
            <w:r>
              <w:rPr>
                <w:sz w:val="16"/>
              </w:rPr>
              <w:t>1.30x</w:t>
            </w:r>
          </w:p>
        </w:tc>
      </w:tr>
      <w:tr>
        <w:tc>
          <w:tcPr>
            <w:tcW w:type="dxa" w:w="2381"/>
          </w:tcPr>
          <w:p>
            <w:r/>
            <w:r>
              <w:rPr>
                <w:sz w:val="16"/>
              </w:rPr>
              <w:t>Creator Content</w:t>
            </w:r>
          </w:p>
        </w:tc>
        <w:tc>
          <w:tcPr>
            <w:tcW w:type="dxa" w:w="794"/>
          </w:tcPr>
          <w:p>
            <w:r/>
            <w:r>
              <w:rPr>
                <w:sz w:val="16"/>
              </w:rPr>
              <w:t>0.1</w:t>
            </w:r>
          </w:p>
        </w:tc>
        <w:tc>
          <w:tcPr>
            <w:tcW w:type="dxa" w:w="624"/>
          </w:tcPr>
          <w:p>
            <w:r/>
            <w:r>
              <w:rPr>
                <w:sz w:val="16"/>
              </w:rPr>
              <w:t>1.0</w:t>
            </w:r>
          </w:p>
        </w:tc>
        <w:tc>
          <w:tcPr>
            <w:tcW w:type="dxa" w:w="1247"/>
          </w:tcPr>
          <w:p>
            <w:r/>
            <w:r>
              <w:rPr>
                <w:sz w:val="16"/>
              </w:rPr>
              <w:t>₹12.3 L</w:t>
            </w:r>
          </w:p>
        </w:tc>
        <w:tc>
          <w:tcPr>
            <w:tcW w:type="dxa" w:w="1247"/>
          </w:tcPr>
          <w:p>
            <w:r/>
            <w:r>
              <w:rPr>
                <w:sz w:val="16"/>
              </w:rPr>
              <w:t>1.16x</w:t>
            </w:r>
          </w:p>
        </w:tc>
        <w:tc>
          <w:tcPr>
            <w:tcW w:type="dxa" w:w="1701"/>
          </w:tcPr>
          <w:p>
            <w:r/>
            <w:r>
              <w:rPr>
                <w:sz w:val="16"/>
              </w:rPr>
              <w:t>0.84 – 1.98</w:t>
            </w:r>
          </w:p>
        </w:tc>
        <w:tc>
          <w:tcPr>
            <w:tcW w:type="dxa" w:w="1247"/>
          </w:tcPr>
          <w:p>
            <w:r/>
            <w:r>
              <w:rPr>
                <w:sz w:val="16"/>
              </w:rPr>
              <w:t>1.10x</w:t>
            </w:r>
          </w:p>
        </w:tc>
      </w:tr>
      <w:tr>
        <w:tc>
          <w:tcPr>
            <w:tcW w:type="dxa" w:w="2381"/>
          </w:tcPr>
          <w:p>
            <w:r/>
            <w:r>
              <w:rPr>
                <w:sz w:val="16"/>
              </w:rPr>
              <w:t>Sponsored Content</w:t>
            </w:r>
          </w:p>
        </w:tc>
        <w:tc>
          <w:tcPr>
            <w:tcW w:type="dxa" w:w="794"/>
          </w:tcPr>
          <w:p>
            <w:r/>
            <w:r>
              <w:rPr>
                <w:sz w:val="16"/>
              </w:rPr>
              <w:t>0.7</w:t>
            </w:r>
          </w:p>
        </w:tc>
        <w:tc>
          <w:tcPr>
            <w:tcW w:type="dxa" w:w="624"/>
          </w:tcPr>
          <w:p>
            <w:r/>
            <w:r>
              <w:rPr>
                <w:sz w:val="16"/>
              </w:rPr>
              <w:t>0.8</w:t>
            </w:r>
          </w:p>
        </w:tc>
        <w:tc>
          <w:tcPr>
            <w:tcW w:type="dxa" w:w="1247"/>
          </w:tcPr>
          <w:p>
            <w:r/>
            <w:r>
              <w:rPr>
                <w:sz w:val="16"/>
              </w:rPr>
              <w:t>₹4.3 L</w:t>
            </w:r>
          </w:p>
        </w:tc>
        <w:tc>
          <w:tcPr>
            <w:tcW w:type="dxa" w:w="1247"/>
          </w:tcPr>
          <w:p>
            <w:r/>
            <w:r>
              <w:rPr>
                <w:sz w:val="16"/>
              </w:rPr>
              <w:t>2.39x</w:t>
            </w:r>
          </w:p>
        </w:tc>
        <w:tc>
          <w:tcPr>
            <w:tcW w:type="dxa" w:w="1701"/>
          </w:tcPr>
          <w:p>
            <w:r/>
            <w:r>
              <w:rPr>
                <w:sz w:val="16"/>
              </w:rPr>
              <w:t>1.37 – 3.08</w:t>
            </w:r>
          </w:p>
        </w:tc>
        <w:tc>
          <w:tcPr>
            <w:tcW w:type="dxa" w:w="1247"/>
          </w:tcPr>
          <w:p>
            <w:r/>
            <w:r>
              <w:rPr>
                <w:sz w:val="16"/>
              </w:rPr>
              <w:t>0.90x</w:t>
            </w:r>
          </w:p>
        </w:tc>
      </w:tr>
    </w:tbl>
    <w:p>
      <w:pPr>
        <w:spacing w:after="0"/>
      </w:pPr>
    </w:p>
    <w:p>
      <w:pPr>
        <w:jc w:val="center"/>
      </w:pPr>
      <w:r>
        <w:drawing>
          <wp:inline xmlns:a="http://schemas.openxmlformats.org/drawingml/2006/main" xmlns:pic="http://schemas.openxmlformats.org/drawingml/2006/picture">
            <wp:extent cx="5400000" cy="3312000"/>
            <wp:docPr id="19" name="Picture 19"/>
            <wp:cNvGraphicFramePr>
              <a:graphicFrameLocks noChangeAspect="1"/>
            </wp:cNvGraphicFramePr>
            <a:graphic>
              <a:graphicData uri="http://schemas.openxmlformats.org/drawingml/2006/picture">
                <pic:pic>
                  <pic:nvPicPr>
                    <pic:cNvPr id="0" name="fig_truth.png"/>
                    <pic:cNvPicPr/>
                  </pic:nvPicPr>
                  <pic:blipFill>
                    <a:blip r:embed="rId26"/>
                    <a:stretch>
                      <a:fillRect/>
                    </a:stretch>
                  </pic:blipFill>
                  <pic:spPr>
                    <a:xfrm>
                      <a:off x="0" y="0"/>
                      <a:ext cx="5400000" cy="3312000"/>
                    </a:xfrm>
                    <a:prstGeom prst="rect"/>
                  </pic:spPr>
                </pic:pic>
              </a:graphicData>
            </a:graphic>
          </wp:inline>
        </w:drawing>
      </w:r>
    </w:p>
    <w:p>
      <w:pPr>
        <w:jc w:val="center"/>
      </w:pPr>
      <w:r>
        <w:rPr>
          <w:i/>
          <w:color w:val="555F6D"/>
          <w:sz w:val="18"/>
        </w:rPr>
        <w:t>Figure D.4 – Fitted ROAS (dot, with P10–P90 bar) against the injected truth (×).</w:t>
      </w:r>
    </w:p>
    <w:p>
      <w:r>
        <w:rPr>
          <w:b/>
        </w:rPr>
        <w:t>Reading the check.</w:t>
      </w:r>
      <w:r>
        <w:t xml:space="preserve"> The large, independent channels are recovered closely (TV 1.52x vs 1.40x true; E-commerce Ads 3.20x vs 3.00x; Google Ads 2.20x vs 2.20x). The correlated digital channels have wide ranges (YouTube 0.00 – 4.01x): the data cannot separate them, and the ranges say so honestly. The model is conservative where it is unsure, which is the right behaviour for budget moves.</w:t>
      </w:r>
    </w:p>
    <w:p>
      <w:pPr>
        <w:pStyle w:val="Heading2"/>
      </w:pPr>
      <w:r>
        <w:t>D.7 Why this model, and its limits</w:t>
      </w:r>
    </w:p>
    <w:p>
      <w:pPr>
        <w:pStyle w:val="ListBullet"/>
        <w:spacing w:after="40"/>
      </w:pPr>
      <w:r>
        <w:rPr>
          <w:b/>
        </w:rPr>
        <w:t>Why not a full Bayesian MMM (Meridian, Robyn, PyMC)?</w:t>
      </w:r>
      <w:r>
        <w:t xml:space="preserve"> The deployment can load only numpy, pandas and scipy (no native ML packages), and the page must answer in about a second. The model keeps the same structure (adstock, Hill, priors and uncertainty) with fast linear algebra, and a bootstrap in place of MCMC.</w:t>
      </w:r>
    </w:p>
    <w:p>
      <w:pPr>
        <w:pStyle w:val="ListBullet"/>
        <w:spacing w:after="40"/>
      </w:pPr>
      <w:r>
        <w:rPr>
          <w:b/>
        </w:rPr>
        <w:t>Fitted once per dataset</w:t>
      </w:r>
      <w:r>
        <w:t xml:space="preserve"> (about a minute), then cached on disk as plain arrays (never pickle) and reused.</w:t>
      </w:r>
    </w:p>
    <w:p>
      <w:pPr>
        <w:pStyle w:val="ListBullet"/>
        <w:spacing w:after="40"/>
      </w:pPr>
      <w:r>
        <w:rPr>
          <w:b/>
        </w:rPr>
        <w:t>Limits:</w:t>
      </w:r>
      <w:r>
        <w:t xml:space="preserve"> effects are assumed stable over time; channels are assumed additive (no synergy); spend far outside what the data saw is extrapolated (the pages flag it); net profit excludes the cost of goods because the data has none.</w:t>
      </w:r>
    </w:p>
    <w:p>
      <w:r>
        <w:br w:type="page"/>
      </w:r>
    </w:p>
    <w:p>
      <w:pPr>
        <w:pStyle w:val="Heading1"/>
      </w:pPr>
      <w:r>
        <w:t>Part E — Budget Optimizer</w:t>
      </w:r>
    </w:p>
    <w:p>
      <w:pPr>
        <w:jc w:val="center"/>
      </w:pPr>
      <w:r>
        <w:drawing>
          <wp:inline xmlns:a="http://schemas.openxmlformats.org/drawingml/2006/main" xmlns:pic="http://schemas.openxmlformats.org/drawingml/2006/picture">
            <wp:extent cx="5940000" cy="4125000"/>
            <wp:docPr id="20" name="Picture 20"/>
            <wp:cNvGraphicFramePr>
              <a:graphicFrameLocks noChangeAspect="1"/>
            </wp:cNvGraphicFramePr>
            <a:graphic>
              <a:graphicData uri="http://schemas.openxmlformats.org/drawingml/2006/picture">
                <pic:pic>
                  <pic:nvPicPr>
                    <pic:cNvPr id="0" name="mmm-optimizer-0.png"/>
                    <pic:cNvPicPr/>
                  </pic:nvPicPr>
                  <pic:blipFill>
                    <a:blip r:embed="rId15"/>
                    <a:stretch>
                      <a:fillRect/>
                    </a:stretch>
                  </pic:blipFill>
                  <pic:spPr>
                    <a:xfrm>
                      <a:off x="0" y="0"/>
                      <a:ext cx="5940000" cy="4125000"/>
                    </a:xfrm>
                    <a:prstGeom prst="rect"/>
                  </pic:spPr>
                </pic:pic>
              </a:graphicData>
            </a:graphic>
          </wp:inline>
        </w:drawing>
      </w:r>
    </w:p>
    <w:p>
      <w:pPr>
        <w:jc w:val="center"/>
      </w:pPr>
      <w:r>
        <w:rPr>
          <w:i/>
          <w:color w:val="555F6D"/>
          <w:sz w:val="18"/>
        </w:rPr>
        <w:t>Figure E.1 – Budget Optimizer.</w:t>
      </w:r>
    </w:p>
    <w:p>
      <w:pPr>
        <w:pStyle w:val="Heading2"/>
      </w:pPr>
      <w:r>
        <w:t>E.1 Controls</w:t>
      </w:r>
    </w:p>
    <w:tbl>
      <w:tblPr>
        <w:tblStyle w:val="TableGrid"/>
        <w:tblW w:type="auto" w:w="0"/>
        <w:jc w:val="center"/>
        <w:tblLook w:firstColumn="1" w:firstRow="1" w:lastColumn="0" w:lastRow="0" w:noHBand="0" w:noVBand="1" w:val="04A0"/>
      </w:tblPr>
      <w:tblGrid>
        <w:gridCol w:w="4819"/>
        <w:gridCol w:w="4819"/>
      </w:tblGrid>
      <w:tr>
        <w:tc>
          <w:tcPr>
            <w:tcW w:type="dxa" w:w="2268"/>
            <w:shd w:val="clear" w:color="auto" w:fill="EAF0F8"/>
          </w:tcPr>
          <w:p>
            <w:r/>
            <w:r>
              <w:rPr>
                <w:b/>
                <w:color w:val="1F3A68"/>
                <w:sz w:val="18"/>
              </w:rPr>
              <w:t>Control</w:t>
            </w:r>
          </w:p>
        </w:tc>
        <w:tc>
          <w:tcPr>
            <w:tcW w:type="dxa" w:w="7370"/>
            <w:shd w:val="clear" w:color="auto" w:fill="EAF0F8"/>
          </w:tcPr>
          <w:p>
            <w:r/>
            <w:r>
              <w:rPr>
                <w:b/>
                <w:color w:val="1F3A68"/>
                <w:sz w:val="18"/>
              </w:rPr>
              <w:t>Detail</w:t>
            </w:r>
          </w:p>
        </w:tc>
      </w:tr>
      <w:tr>
        <w:tc>
          <w:tcPr>
            <w:tcW w:type="dxa" w:w="2268"/>
          </w:tcPr>
          <w:p>
            <w:r/>
            <w:r>
              <w:rPr>
                <w:sz w:val="18"/>
              </w:rPr>
              <w:t>Past data / Forecast plan</w:t>
            </w:r>
          </w:p>
        </w:tc>
        <w:tc>
          <w:tcPr>
            <w:tcW w:type="dxa" w:w="7370"/>
          </w:tcPr>
          <w:p>
            <w:r/>
            <w:r>
              <w:rPr>
                <w:rFonts w:ascii="Consolas" w:hAnsi="Consolas" w:eastAsia="Consolas"/>
                <w:sz w:val="18"/>
              </w:rPr>
              <w:t>source=history</w:t>
            </w:r>
            <w:r>
              <w:rPr>
                <w:sz w:val="18"/>
              </w:rPr>
              <w:t xml:space="preserve"> or </w:t>
            </w:r>
            <w:r>
              <w:rPr>
                <w:rFonts w:ascii="Consolas" w:hAnsi="Consolas" w:eastAsia="Consolas"/>
                <w:sz w:val="18"/>
              </w:rPr>
              <w:t>source=forecast</w:t>
            </w:r>
            <w:r>
              <w:rPr>
                <w:sz w:val="18"/>
              </w:rPr>
              <w:t xml:space="preserve"> (Part G). Shown once a forecast plan is uploaded; kept in the URL.</w:t>
            </w:r>
          </w:p>
        </w:tc>
      </w:tr>
      <w:tr>
        <w:tc>
          <w:tcPr>
            <w:tcW w:type="dxa" w:w="2268"/>
          </w:tcPr>
          <w:p>
            <w:r/>
            <w:r>
              <w:rPr>
                <w:sz w:val="18"/>
              </w:rPr>
              <w:t>Period</w:t>
            </w:r>
          </w:p>
        </w:tc>
        <w:tc>
          <w:tcPr>
            <w:tcW w:type="dxa" w:w="7370"/>
          </w:tcPr>
          <w:p>
            <w:r/>
            <w:r>
              <w:rPr>
                <w:sz w:val="18"/>
              </w:rPr>
              <w:t xml:space="preserve">Whole ISO weeks (Monday – Sunday), keyed year×100 + week (e.g. 202627). Default: the latest </w:t>
            </w:r>
            <w:r>
              <w:rPr>
                <w:b/>
                <w:sz w:val="18"/>
              </w:rPr>
              <w:t>13 whole weeks</w:t>
            </w:r>
            <w:r>
              <w:rPr>
                <w:sz w:val="18"/>
              </w:rPr>
              <w:t>.</w:t>
            </w:r>
          </w:p>
        </w:tc>
      </w:tr>
      <w:tr>
        <w:tc>
          <w:tcPr>
            <w:tcW w:type="dxa" w:w="2268"/>
          </w:tcPr>
          <w:p>
            <w:r/>
            <w:r>
              <w:rPr>
                <w:sz w:val="18"/>
              </w:rPr>
              <w:t>Reallocate across</w:t>
            </w:r>
          </w:p>
        </w:tc>
        <w:tc>
          <w:tcPr>
            <w:tcW w:type="dxa" w:w="7370"/>
          </w:tcPr>
          <w:p>
            <w:r/>
            <w:r>
              <w:rPr>
                <w:sz w:val="18"/>
              </w:rPr>
              <w:t>anywhere (Channels and weeks), within_channel (Weeks only), across_channels (Channels only).</w:t>
            </w:r>
          </w:p>
        </w:tc>
      </w:tr>
      <w:tr>
        <w:tc>
          <w:tcPr>
            <w:tcW w:type="dxa" w:w="2268"/>
          </w:tcPr>
          <w:p>
            <w:r/>
            <w:r>
              <w:rPr>
                <w:sz w:val="18"/>
              </w:rPr>
              <w:t>Currency</w:t>
            </w:r>
          </w:p>
        </w:tc>
        <w:tc>
          <w:tcPr>
            <w:tcW w:type="dxa" w:w="7370"/>
          </w:tcPr>
          <w:p>
            <w:r/>
            <w:r>
              <w:rPr>
                <w:sz w:val="18"/>
              </w:rPr>
              <w:t>Display only.</w:t>
            </w:r>
          </w:p>
        </w:tc>
      </w:tr>
    </w:tbl>
    <w:p>
      <w:pPr>
        <w:spacing w:after="0"/>
      </w:pPr>
    </w:p>
    <w:p>
      <w:pPr>
        <w:pStyle w:val="Heading2"/>
      </w:pPr>
      <w:r>
        <w:t>E.2 How a plan is scored</w:t>
      </w:r>
    </w:p>
    <w:p>
      <w:r>
        <w:t xml:space="preserve">A plan is a matrix of </w:t>
      </w:r>
      <w:r>
        <w:rPr>
          <w:b/>
        </w:rPr>
        <w:t>channel × week</w:t>
      </w:r>
      <w:r>
        <w:t xml:space="preserve"> spend. To score it (</w:t>
      </w:r>
      <w:r>
        <w:rPr>
          <w:rFonts w:ascii="Consolas" w:hAnsi="Consolas" w:eastAsia="Consolas"/>
          <w:sz w:val="19"/>
        </w:rPr>
        <w:t>budget.score</w:t>
      </w:r>
      <w:r>
        <w:t>):</w:t>
      </w:r>
    </w:p>
    <w:p>
      <w:pPr>
        <w:pStyle w:val="ListBullet"/>
        <w:spacing w:after="40"/>
      </w:pPr>
      <w:r>
        <w:t xml:space="preserve">Each week’s spend is spread over its days in that channel’s </w:t>
      </w:r>
      <w:r>
        <w:rPr>
          <w:b/>
        </w:rPr>
        <w:t>own daily pattern for that week</w:t>
      </w:r>
      <w:r>
        <w:t xml:space="preserve"> (evenly if the channel was dark that week), so a plan keeps the real on/off rhythm.</w:t>
      </w:r>
    </w:p>
    <w:p>
      <w:pPr>
        <w:pStyle w:val="ListBullet"/>
        <w:spacing w:after="40"/>
      </w:pPr>
      <w:r>
        <w:t xml:space="preserve">The model runs over a window from </w:t>
      </w:r>
      <w:r>
        <w:rPr>
          <w:b/>
        </w:rPr>
        <w:t>90 days before</w:t>
      </w:r>
      <w:r>
        <w:t xml:space="preserve"> the period (to set the starting carryover) to </w:t>
      </w:r>
      <w:r>
        <w:rPr>
          <w:b/>
        </w:rPr>
        <w:t>28 days after</w:t>
      </w:r>
      <w:r>
        <w:t xml:space="preserve"> it (to credit late spend with what it earns after the period ends).</w:t>
      </w:r>
    </w:p>
    <w:p>
      <w:pPr>
        <w:pStyle w:val="ListBullet"/>
        <w:spacing w:after="40"/>
      </w:pPr>
      <w:r>
        <w:rPr>
          <w:b/>
        </w:rPr>
        <w:t>Incremental revenue</w:t>
      </w:r>
      <w:r>
        <w:t xml:space="preserve"> = media revenue with the plan − media revenue with the period’s spend set to zero, over the period and the 28-day tail.</w:t>
      </w:r>
    </w:p>
    <w:tbl>
      <w:tblPr>
        <w:tblW w:type="auto" w:w="0"/>
        <w:jc w:val="center"/>
        <w:tblLook w:firstColumn="1" w:firstRow="1" w:lastColumn="0" w:lastRow="0" w:noHBand="0" w:noVBand="1" w:val="04A0"/>
      </w:tblPr>
      <w:tblGrid>
        <w:gridCol w:w="9638"/>
      </w:tblGrid>
      <w:tr>
        <w:tc>
          <w:tcPr>
            <w:tcW w:type="dxa" w:w="9638"/>
            <w:shd w:val="clear" w:color="auto" w:fill="F3F4F6"/>
          </w:tcPr>
          <w:p>
            <w:pPr>
              <w:spacing w:after="0"/>
            </w:pPr>
            <w:r/>
            <w:r>
              <w:rPr>
                <w:rFonts w:ascii="Consolas" w:hAnsi="Consolas" w:eastAsia="Consolas"/>
                <w:sz w:val="19"/>
              </w:rPr>
              <w:t>Revenue      = baseline over the period’s days + incremental revenue</w:t>
            </w:r>
          </w:p>
          <w:p>
            <w:pPr>
              <w:spacing w:after="0"/>
            </w:pPr>
            <w:r>
              <w:rPr>
                <w:rFonts w:ascii="Consolas" w:hAnsi="Consolas" w:eastAsia="Consolas"/>
                <w:sz w:val="19"/>
              </w:rPr>
              <w:t>Net profit   = Revenue − ad spend</w:t>
            </w:r>
          </w:p>
          <w:p>
            <w:pPr>
              <w:spacing w:after="0"/>
            </w:pPr>
            <w:r>
              <w:rPr>
                <w:rFonts w:ascii="Consolas" w:hAnsi="Consolas" w:eastAsia="Consolas"/>
                <w:sz w:val="19"/>
              </w:rPr>
              <w:t>Profit %     = Net profit ÷ ad spend × 100</w:t>
            </w:r>
          </w:p>
          <w:p>
            <w:pPr>
              <w:spacing w:after="0"/>
            </w:pPr>
            <w:r>
              <w:rPr>
                <w:rFonts w:ascii="Consolas" w:hAnsi="Consolas" w:eastAsia="Consolas"/>
                <w:sz w:val="19"/>
              </w:rPr>
              <w:t>ROAS         = incremental revenue ÷ ad spend</w:t>
            </w:r>
          </w:p>
        </w:tc>
      </w:tr>
    </w:tbl>
    <w:p>
      <w:pPr>
        <w:spacing w:after="0"/>
      </w:pPr>
    </w:p>
    <w:p>
      <w:r>
        <w:t>Every figure is computed on the central fit and the 40 refits. Ranges are the 10th and 90th percentiles; ad spend is chosen, not estimated, so it has no range.</w:t>
      </w:r>
    </w:p>
    <w:p>
      <w:pPr>
        <w:pStyle w:val="Heading2"/>
      </w:pPr>
      <w:r>
        <w:t>E.3 The optimizer</w:t>
      </w:r>
    </w:p>
    <w:p>
      <w:pPr>
        <w:jc w:val="center"/>
      </w:pPr>
      <w:r>
        <w:drawing>
          <wp:inline xmlns:a="http://schemas.openxmlformats.org/drawingml/2006/main" xmlns:pic="http://schemas.openxmlformats.org/drawingml/2006/picture">
            <wp:extent cx="5040000" cy="2304000"/>
            <wp:docPr id="21" name="Picture 21"/>
            <wp:cNvGraphicFramePr>
              <a:graphicFrameLocks noChangeAspect="1"/>
            </wp:cNvGraphicFramePr>
            <a:graphic>
              <a:graphicData uri="http://schemas.openxmlformats.org/drawingml/2006/picture">
                <pic:pic>
                  <pic:nvPicPr>
                    <pic:cNvPr id="0" name="fig_marginal.png"/>
                    <pic:cNvPicPr/>
                  </pic:nvPicPr>
                  <pic:blipFill>
                    <a:blip r:embed="rId27"/>
                    <a:stretch>
                      <a:fillRect/>
                    </a:stretch>
                  </pic:blipFill>
                  <pic:spPr>
                    <a:xfrm>
                      <a:off x="0" y="0"/>
                      <a:ext cx="5040000" cy="2304000"/>
                    </a:xfrm>
                    <a:prstGeom prst="rect"/>
                  </pic:spPr>
                </pic:pic>
              </a:graphicData>
            </a:graphic>
          </wp:inline>
        </w:drawing>
      </w:r>
    </w:p>
    <w:p>
      <w:pPr>
        <w:jc w:val="center"/>
      </w:pPr>
      <w:r>
        <w:rPr>
          <w:i/>
          <w:color w:val="555F6D"/>
          <w:sz w:val="18"/>
        </w:rPr>
        <w:t>Figure E.2 – The optimality condition: equal return on the next rupee.</w:t>
      </w:r>
    </w:p>
    <w:p>
      <w:r>
        <w:rPr>
          <w:b/>
        </w:rPr>
        <w:t>Goal:</w:t>
      </w:r>
      <w:r>
        <w:t xml:space="preserve"> maximise net profit with the total budget fixed. Spend is fixed, so this is the same as maximising incremental revenue.</w:t>
      </w:r>
    </w:p>
    <w:p>
      <w:pPr>
        <w:pStyle w:val="ListBullet"/>
        <w:spacing w:after="40"/>
      </w:pPr>
      <w:r>
        <w:rPr>
          <w:b/>
        </w:rPr>
        <w:t>Method:</w:t>
      </w:r>
      <w:r>
        <w:t xml:space="preserve"> projected gradient ascent with an Armijo backtracking line search, up to 400 iterations, on the central fit.</w:t>
      </w:r>
    </w:p>
    <w:p>
      <w:pPr>
        <w:pStyle w:val="ListBullet"/>
        <w:spacing w:after="40"/>
      </w:pPr>
      <w:r>
        <w:rPr>
          <w:b/>
        </w:rPr>
        <w:t>Exact gradient through carryover:</w:t>
      </w:r>
      <w:r>
        <w:t xml:space="preserve"> the return of one more rupee on day t includes its effect on every later day τ, weighted decay^(τ−t). This is computed with one reverse-time filter per channel.</w:t>
      </w:r>
    </w:p>
    <w:p>
      <w:pPr>
        <w:pStyle w:val="ListBullet"/>
        <w:spacing w:after="40"/>
      </w:pPr>
      <w:r>
        <w:rPr>
          <w:b/>
        </w:rPr>
        <w:t>Projection</w:t>
      </w:r>
      <w:r>
        <w:t xml:space="preserve"> onto the allowed plans: {x ≥ 0, Σ x = budget} for anywhere; one such constraint per channel for Weeks only; one per week for Channels only. The exact Euclidean projection onto the simplex is used.</w:t>
      </w:r>
    </w:p>
    <w:p>
      <w:pPr>
        <w:pStyle w:val="ListBullet"/>
        <w:spacing w:after="40"/>
      </w:pPr>
      <w:r>
        <w:rPr>
          <w:b/>
        </w:rPr>
        <w:t>One best plan exists:</w:t>
      </w:r>
      <w:r>
        <w:t xml:space="preserve"> every response curve is concave, so the optimum is unique, and the search finds it.</w:t>
      </w:r>
    </w:p>
    <w:p>
      <w:pPr>
        <w:pStyle w:val="ListBullet"/>
        <w:spacing w:after="40"/>
      </w:pPr>
      <w:r>
        <w:rPr>
          <w:b/>
        </w:rPr>
        <w:t>Optimality condition (theory):</w:t>
      </w:r>
      <w:r>
        <w:t xml:space="preserve"> at the optimum, every channel-week that receives money has the </w:t>
      </w:r>
      <w:r>
        <w:rPr>
          <w:b/>
        </w:rPr>
        <w:t>same marginal return</w:t>
      </w:r>
      <w:r>
        <w:t xml:space="preserve"> (the next rupee returns the same everywhere). Otherwise, moving a rupee from a low-return cell to a high-return cell would add profit. This is why the optimized plan shows “next ₹1 returns” nearly equal across channels.</w:t>
      </w:r>
    </w:p>
    <w:p>
      <w:pPr>
        <w:pStyle w:val="Heading2"/>
      </w:pPr>
      <w:r>
        <w:t>E.4 From a plan to moves</w:t>
      </w:r>
    </w:p>
    <w:p>
      <w:r>
        <w:t xml:space="preserve">The difference between the optimized and current plans is turned into </w:t>
      </w:r>
      <w:r>
        <w:rPr>
          <w:b/>
        </w:rPr>
        <w:t>moves</w:t>
      </w:r>
      <w:r>
        <w:t xml:space="preserve"> of money, matched largest first in three passes: </w:t>
      </w:r>
      <w:r>
        <w:rPr>
          <w:b/>
        </w:rPr>
        <w:t>re-timed</w:t>
      </w:r>
      <w:r>
        <w:t xml:space="preserve"> (same channel, other weeks), </w:t>
      </w:r>
      <w:r>
        <w:rPr>
          <w:b/>
        </w:rPr>
        <w:t>across channels</w:t>
      </w:r>
      <w:r>
        <w:t xml:space="preserve"> (same week, other channels) and, in the anywhere mode only, </w:t>
      </w:r>
      <w:r>
        <w:rPr>
          <w:b/>
        </w:rPr>
        <w:t>across channels and weeks</w:t>
      </w:r>
      <w:r>
        <w:t xml:space="preserve"> for what is left. Amounts below 0.01% of the budget are not listed.</w:t>
      </w:r>
    </w:p>
    <w:p>
      <w:pPr>
        <w:pStyle w:val="Heading2"/>
      </w:pPr>
      <w:r>
        <w:t>E.5 Every panel and number</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color="auto" w:fill="EAF0F8"/>
          </w:tcPr>
          <w:p>
            <w:r/>
            <w:r>
              <w:rPr>
                <w:b/>
                <w:color w:val="1F3A68"/>
                <w:sz w:val="17"/>
              </w:rPr>
              <w:t>Panel</w:t>
            </w:r>
          </w:p>
        </w:tc>
        <w:tc>
          <w:tcPr>
            <w:tcW w:type="dxa" w:w="2494"/>
            <w:shd w:val="clear" w:color="auto" w:fill="EAF0F8"/>
          </w:tcPr>
          <w:p>
            <w:r/>
            <w:r>
              <w:rPr>
                <w:b/>
                <w:color w:val="1F3A68"/>
                <w:sz w:val="17"/>
              </w:rPr>
              <w:t>Number</w:t>
            </w:r>
          </w:p>
        </w:tc>
        <w:tc>
          <w:tcPr>
            <w:tcW w:type="dxa" w:w="5216"/>
            <w:shd w:val="clear" w:color="auto" w:fill="EAF0F8"/>
          </w:tcPr>
          <w:p>
            <w:r/>
            <w:r>
              <w:rPr>
                <w:b/>
                <w:color w:val="1F3A68"/>
                <w:sz w:val="17"/>
              </w:rPr>
              <w:t>Definition</w:t>
            </w:r>
          </w:p>
        </w:tc>
      </w:tr>
      <w:tr>
        <w:tc>
          <w:tcPr>
            <w:tcW w:type="dxa" w:w="1928"/>
          </w:tcPr>
          <w:p>
            <w:r/>
            <w:r>
              <w:rPr>
                <w:sz w:val="17"/>
              </w:rPr>
              <w:t>Current plan strip</w:t>
            </w:r>
          </w:p>
        </w:tc>
        <w:tc>
          <w:tcPr>
            <w:tcW w:type="dxa" w:w="2494"/>
          </w:tcPr>
          <w:p>
            <w:r/>
            <w:r>
              <w:rPr>
                <w:sz w:val="17"/>
              </w:rPr>
              <w:t>Net profit, Profit %, Revenue, Ad spend, ROAS, Media revenue</w:t>
            </w:r>
          </w:p>
        </w:tc>
        <w:tc>
          <w:tcPr>
            <w:tcW w:type="dxa" w:w="5216"/>
          </w:tcPr>
          <w:p>
            <w:r/>
            <w:r>
              <w:rPr>
                <w:sz w:val="17"/>
              </w:rPr>
              <w:t>E.2 on the plan as it ran</w:t>
            </w:r>
          </w:p>
        </w:tc>
      </w:tr>
      <w:tr>
        <w:tc>
          <w:tcPr>
            <w:tcW w:type="dxa" w:w="1928"/>
          </w:tcPr>
          <w:p>
            <w:r/>
            <w:r>
              <w:rPr>
                <w:sz w:val="17"/>
              </w:rPr>
              <w:t>Net profit gain</w:t>
            </w:r>
          </w:p>
        </w:tc>
        <w:tc>
          <w:tcPr>
            <w:tcW w:type="dxa" w:w="2494"/>
          </w:tcPr>
          <w:p>
            <w:r/>
            <w:r>
              <w:rPr>
                <w:sz w:val="17"/>
              </w:rPr>
              <w:t>Hero figure</w:t>
            </w:r>
          </w:p>
        </w:tc>
        <w:tc>
          <w:tcPr>
            <w:tcW w:type="dxa" w:w="5216"/>
          </w:tcPr>
          <w:p>
            <w:r/>
            <w:r>
              <w:rPr>
                <w:sz w:val="17"/>
              </w:rPr>
              <w:t>Optimized − current net profit</w:t>
            </w:r>
          </w:p>
        </w:tc>
      </w:tr>
      <w:tr>
        <w:tc>
          <w:tcPr>
            <w:tcW w:type="dxa" w:w="1928"/>
          </w:tcPr>
          <w:p>
            <w:r/>
          </w:p>
        </w:tc>
        <w:tc>
          <w:tcPr>
            <w:tcW w:type="dxa" w:w="2494"/>
          </w:tcPr>
          <w:p>
            <w:r/>
            <w:r>
              <w:rPr>
                <w:sz w:val="17"/>
              </w:rPr>
              <w:t>Profit % a → b (+pts)</w:t>
            </w:r>
          </w:p>
        </w:tc>
        <w:tc>
          <w:tcPr>
            <w:tcW w:type="dxa" w:w="5216"/>
          </w:tcPr>
          <w:p>
            <w:r/>
            <w:r>
              <w:rPr>
                <w:sz w:val="17"/>
              </w:rPr>
              <w:t>Current and optimized profit %, and the difference in points</w:t>
            </w:r>
          </w:p>
        </w:tc>
      </w:tr>
      <w:tr>
        <w:tc>
          <w:tcPr>
            <w:tcW w:type="dxa" w:w="1928"/>
          </w:tcPr>
          <w:p>
            <w:r/>
          </w:p>
        </w:tc>
        <w:tc>
          <w:tcPr>
            <w:tcW w:type="dxa" w:w="2494"/>
          </w:tcPr>
          <w:p>
            <w:r/>
            <w:r>
              <w:rPr>
                <w:sz w:val="17"/>
              </w:rPr>
              <w:t>Reallocated in total</w:t>
            </w:r>
          </w:p>
        </w:tc>
        <w:tc>
          <w:tcPr>
            <w:tcW w:type="dxa" w:w="5216"/>
          </w:tcPr>
          <w:p>
            <w:r/>
            <w:r>
              <w:rPr>
                <w:sz w:val="17"/>
              </w:rPr>
              <w:t>Σ moves; % of budget</w:t>
            </w:r>
          </w:p>
        </w:tc>
      </w:tr>
      <w:tr>
        <w:tc>
          <w:tcPr>
            <w:tcW w:type="dxa" w:w="1928"/>
          </w:tcPr>
          <w:p>
            <w:r/>
          </w:p>
        </w:tc>
        <w:tc>
          <w:tcPr>
            <w:tcW w:type="dxa" w:w="2494"/>
          </w:tcPr>
          <w:p>
            <w:r/>
            <w:r>
              <w:rPr>
                <w:sz w:val="17"/>
              </w:rPr>
              <w:t>Per kind tiles</w:t>
            </w:r>
          </w:p>
        </w:tc>
        <w:tc>
          <w:tcPr>
            <w:tcW w:type="dxa" w:w="5216"/>
          </w:tcPr>
          <w:p>
            <w:r/>
            <w:r>
              <w:rPr>
                <w:sz w:val="17"/>
              </w:rPr>
              <w:t>Σ and count of moves of each kind (or channels touched in single-kind modes)</w:t>
            </w:r>
          </w:p>
        </w:tc>
      </w:tr>
      <w:tr>
        <w:tc>
          <w:tcPr>
            <w:tcW w:type="dxa" w:w="1928"/>
          </w:tcPr>
          <w:p>
            <w:r/>
          </w:p>
        </w:tc>
        <w:tc>
          <w:tcPr>
            <w:tcW w:type="dxa" w:w="2494"/>
          </w:tcPr>
          <w:p>
            <w:r/>
            <w:r>
              <w:rPr>
                <w:sz w:val="17"/>
              </w:rPr>
              <w:t>Result</w:t>
            </w:r>
          </w:p>
        </w:tc>
        <w:tc>
          <w:tcPr>
            <w:tcW w:type="dxa" w:w="5216"/>
          </w:tcPr>
          <w:p>
            <w:r/>
            <w:r>
              <w:rPr>
                <w:sz w:val="17"/>
              </w:rPr>
              <w:t>Revenue change, ROAS before → after, ad spend unchanged</w:t>
            </w:r>
          </w:p>
        </w:tc>
      </w:tr>
      <w:tr>
        <w:tc>
          <w:tcPr>
            <w:tcW w:type="dxa" w:w="1928"/>
          </w:tcPr>
          <w:p>
            <w:r/>
          </w:p>
        </w:tc>
        <w:tc>
          <w:tcPr>
            <w:tcW w:type="dxa" w:w="2494"/>
          </w:tcPr>
          <w:p>
            <w:r/>
            <w:r>
              <w:rPr>
                <w:sz w:val="17"/>
              </w:rPr>
              <w:t>How sure</w:t>
            </w:r>
          </w:p>
        </w:tc>
        <w:tc>
          <w:tcPr>
            <w:tcW w:type="dxa" w:w="5216"/>
          </w:tcPr>
          <w:p>
            <w:r/>
            <w:r>
              <w:rPr>
                <w:sz w:val="17"/>
              </w:rPr>
              <w:t>P10 – P90 of the gain over refits; % of refits in which the plan gains</w:t>
            </w:r>
          </w:p>
        </w:tc>
      </w:tr>
      <w:tr>
        <w:tc>
          <w:tcPr>
            <w:tcW w:type="dxa" w:w="1928"/>
          </w:tcPr>
          <w:p>
            <w:r/>
            <w:r>
              <w:rPr>
                <w:sz w:val="17"/>
              </w:rPr>
              <w:t>Current vs optimized</w:t>
            </w:r>
          </w:p>
        </w:tc>
        <w:tc>
          <w:tcPr>
            <w:tcW w:type="dxa" w:w="2494"/>
          </w:tcPr>
          <w:p>
            <w:r/>
            <w:r>
              <w:rPr>
                <w:sz w:val="17"/>
              </w:rPr>
              <w:t>Each figure</w:t>
            </w:r>
          </w:p>
        </w:tc>
        <w:tc>
          <w:tcPr>
            <w:tcW w:type="dxa" w:w="5216"/>
          </w:tcPr>
          <w:p>
            <w:r/>
            <w:r>
              <w:rPr>
                <w:sz w:val="17"/>
              </w:rPr>
              <w:t>Current, optimized, change (and %), P10 – P90 of the optimized figure</w:t>
            </w:r>
          </w:p>
        </w:tc>
      </w:tr>
      <w:tr>
        <w:tc>
          <w:tcPr>
            <w:tcW w:type="dxa" w:w="1928"/>
          </w:tcPr>
          <w:p>
            <w:r/>
            <w:r>
              <w:rPr>
                <w:sz w:val="17"/>
              </w:rPr>
              <w:t>Week by week</w:t>
            </w:r>
          </w:p>
        </w:tc>
        <w:tc>
          <w:tcPr>
            <w:tcW w:type="dxa" w:w="2494"/>
          </w:tcPr>
          <w:p>
            <w:r/>
            <w:r>
              <w:rPr>
                <w:sz w:val="17"/>
              </w:rPr>
              <w:t>Profit / Revenue / Profit change</w:t>
            </w:r>
          </w:p>
        </w:tc>
        <w:tc>
          <w:tcPr>
            <w:tcW w:type="dxa" w:w="5216"/>
          </w:tcPr>
          <w:p>
            <w:r/>
            <w:r>
              <w:rPr>
                <w:sz w:val="17"/>
              </w:rPr>
              <w:t>Per week, both plans, with the plan’s P10 – P90; the 28-day carryover is noted below the chart and counted in the totals</w:t>
            </w:r>
          </w:p>
        </w:tc>
      </w:tr>
      <w:tr>
        <w:tc>
          <w:tcPr>
            <w:tcW w:type="dxa" w:w="1928"/>
          </w:tcPr>
          <w:p>
            <w:r/>
            <w:r>
              <w:rPr>
                <w:sz w:val="17"/>
              </w:rPr>
              <w:t>Spend response</w:t>
            </w:r>
          </w:p>
        </w:tc>
        <w:tc>
          <w:tcPr>
            <w:tcW w:type="dxa" w:w="2494"/>
          </w:tcPr>
          <w:p>
            <w:r/>
            <w:r>
              <w:rPr>
                <w:sz w:val="17"/>
              </w:rPr>
              <w:t>Curves</w:t>
            </w:r>
          </w:p>
        </w:tc>
        <w:tc>
          <w:tcPr>
            <w:tcW w:type="dxa" w:w="5216"/>
          </w:tcPr>
          <w:p>
            <w:r/>
            <w:r>
              <w:rPr>
                <w:sz w:val="17"/>
              </w:rPr>
              <w:t>Media revenue as the period budget goes 0 → 1.5×, spread as today and as the plan spreads it, with P10 / P90</w:t>
            </w:r>
          </w:p>
        </w:tc>
      </w:tr>
      <w:tr>
        <w:tc>
          <w:tcPr>
            <w:tcW w:type="dxa" w:w="1928"/>
          </w:tcPr>
          <w:p>
            <w:r/>
          </w:p>
        </w:tc>
        <w:tc>
          <w:tcPr>
            <w:tcW w:type="dxa" w:w="2494"/>
          </w:tcPr>
          <w:p>
            <w:r/>
            <w:r>
              <w:rPr>
                <w:sz w:val="17"/>
              </w:rPr>
              <w:t>Stat tiles</w:t>
            </w:r>
          </w:p>
        </w:tc>
        <w:tc>
          <w:tcPr>
            <w:tcW w:type="dxa" w:w="5216"/>
          </w:tcPr>
          <w:p>
            <w:r/>
            <w:r>
              <w:rPr>
                <w:sz w:val="17"/>
              </w:rPr>
              <w:t>Budget, media revenue and ROAS, before → after</w:t>
            </w:r>
          </w:p>
        </w:tc>
      </w:tr>
      <w:tr>
        <w:tc>
          <w:tcPr>
            <w:tcW w:type="dxa" w:w="1928"/>
          </w:tcPr>
          <w:p>
            <w:r/>
          </w:p>
        </w:tc>
        <w:tc>
          <w:tcPr>
            <w:tcW w:type="dxa" w:w="2494"/>
          </w:tcPr>
          <w:p>
            <w:r/>
            <w:r>
              <w:rPr>
                <w:sz w:val="17"/>
              </w:rPr>
              <w:t>Next ₹1 returns</w:t>
            </w:r>
          </w:p>
        </w:tc>
        <w:tc>
          <w:tcPr>
            <w:tcW w:type="dxa" w:w="5216"/>
          </w:tcPr>
          <w:p>
            <w:r/>
            <w:r>
              <w:rPr>
                <w:sz w:val="17"/>
              </w:rPr>
              <w:t>Spend-weighted marginal return of the channel (or of all channels)</w:t>
            </w:r>
          </w:p>
        </w:tc>
      </w:tr>
      <w:tr>
        <w:tc>
          <w:tcPr>
            <w:tcW w:type="dxa" w:w="1928"/>
          </w:tcPr>
          <w:p>
            <w:r/>
            <w:r>
              <w:rPr>
                <w:sz w:val="17"/>
              </w:rPr>
              <w:t>Budget reallocations</w:t>
            </w:r>
          </w:p>
        </w:tc>
        <w:tc>
          <w:tcPr>
            <w:tcW w:type="dxa" w:w="2494"/>
          </w:tcPr>
          <w:p>
            <w:r/>
            <w:r>
              <w:rPr>
                <w:sz w:val="17"/>
              </w:rPr>
              <w:t>Rows</w:t>
            </w:r>
          </w:p>
        </w:tc>
        <w:tc>
          <w:tcPr>
            <w:tcW w:type="dxa" w:w="5216"/>
          </w:tcPr>
          <w:p>
            <w:r/>
            <w:r>
              <w:rPr>
                <w:sz w:val="17"/>
              </w:rPr>
              <w:t>One per channel-week money leaves (or arrives), with its moves as chips; filter by kind, search, 10 per page</w:t>
            </w:r>
          </w:p>
        </w:tc>
      </w:tr>
      <w:tr>
        <w:tc>
          <w:tcPr>
            <w:tcW w:type="dxa" w:w="1928"/>
          </w:tcPr>
          <w:p>
            <w:r/>
            <w:r>
              <w:rPr>
                <w:sz w:val="17"/>
              </w:rPr>
              <w:t>Channel budgets</w:t>
            </w:r>
          </w:p>
        </w:tc>
        <w:tc>
          <w:tcPr>
            <w:tcW w:type="dxa" w:w="2494"/>
          </w:tcPr>
          <w:p>
            <w:r/>
            <w:r>
              <w:rPr>
                <w:sz w:val="17"/>
              </w:rPr>
              <w:t>Columns</w:t>
            </w:r>
          </w:p>
        </w:tc>
        <w:tc>
          <w:tcPr>
            <w:tcW w:type="dxa" w:w="5216"/>
          </w:tcPr>
          <w:p>
            <w:r/>
            <w:r>
              <w:rPr>
                <w:sz w:val="17"/>
              </w:rPr>
              <w:t>Current, optimized, change, moved out, moved in, change in media revenue</w:t>
            </w:r>
          </w:p>
        </w:tc>
      </w:tr>
    </w:tbl>
    <w:p>
      <w:pPr>
        <w:spacing w:after="0"/>
      </w:pPr>
    </w:p>
    <w:tbl>
      <w:tblPr>
        <w:tblW w:type="auto" w:w="0"/>
        <w:tblLook w:firstColumn="1" w:firstRow="1" w:lastColumn="0" w:lastRow="0" w:noHBand="0" w:noVBand="1" w:val="04A0"/>
      </w:tblPr>
      <w:tblGrid>
        <w:gridCol w:w="9638"/>
      </w:tblGrid>
      <w:tr>
        <w:tc>
          <w:tcPr>
            <w:tcW w:type="dxa" w:w="9638"/>
            <w:shd w:val="clear" w:color="auto" w:fill="EAF0F8"/>
          </w:tcPr>
          <w:p>
            <w:r>
              <w:rPr>
                <w:b/>
                <w:color w:val="1F3A68"/>
              </w:rPr>
              <w:t>Worked example</w:t>
            </w:r>
          </w:p>
          <w:p>
            <w:r>
              <w:t>Period W27 – W39 2026 (29 Jun – 27 Sep 2026), budget ₹55.96 Cr.</w:t>
            </w:r>
          </w:p>
          <w:p>
            <w:r>
              <w:t>Current: revenue ₹391.58 Cr (baseline ₹290.07 Cr + media ₹101.51 Cr), net profit ₹335.62 Cr, ROAS 1.81x.</w:t>
            </w:r>
          </w:p>
          <w:p>
            <w:r>
              <w:t xml:space="preserve">Optimized: media ₹117.82 Cr, net profit ₹351.94 Cr, ROAS 2.11x. </w:t>
            </w:r>
            <w:r>
              <w:rPr>
                <w:b/>
              </w:rPr>
              <w:t>Gain +₹16.31 Cr</w:t>
            </w:r>
            <w:r>
              <w:t xml:space="preserve"> (P10 – P90: +₹10.12 – 18.49 Cr), positive in 100% of refits.</w:t>
            </w:r>
          </w:p>
          <w:p>
            <w:r>
              <w:t>Moves: ₹20.37 Cr (36.4%), of which ₹6.84 Cr is re-timed (76 moves), ₹8.38 Cr crosses channels in the same week (87) and ₹5.15 Cr crosses both (91). The largest: TV W38 → TV W36, ₹78.29 L.</w:t>
            </w:r>
          </w:p>
          <w:p>
            <w:r>
              <w:t xml:space="preserve">All channels: the next ₹1 returned </w:t>
            </w:r>
            <w:r>
              <w:rPr>
                <w:b/>
              </w:rPr>
              <w:t>₹0.82</w:t>
            </w:r>
            <w:r>
              <w:t xml:space="preserve"> in the current plan and </w:t>
            </w:r>
            <w:r>
              <w:rPr>
                <w:b/>
              </w:rPr>
              <w:t>₹1.00</w:t>
            </w:r>
            <w:r>
              <w:t xml:space="preserve"> in the optimized plan; returns are now equal across channels (E.3). TV: ₹13.94 Cr → ₹13.59 Cr, its next rupee ₹0.91 → ₹1.00.</w:t>
            </w:r>
          </w:p>
        </w:tc>
      </w:tr>
    </w:tbl>
    <w:p>
      <w:pPr>
        <w:spacing w:after="0"/>
      </w:pPr>
    </w:p>
    <w:p>
      <w:r>
        <w:br w:type="page"/>
      </w:r>
    </w:p>
    <w:p>
      <w:pPr>
        <w:pStyle w:val="Heading1"/>
      </w:pPr>
      <w:r>
        <w:t>Part F — Budget Allocator</w:t>
      </w:r>
    </w:p>
    <w:p>
      <w:pPr>
        <w:jc w:val="center"/>
      </w:pPr>
      <w:r>
        <w:drawing>
          <wp:inline xmlns:a="http://schemas.openxmlformats.org/drawingml/2006/main" xmlns:pic="http://schemas.openxmlformats.org/drawingml/2006/picture">
            <wp:extent cx="5940000" cy="4125000"/>
            <wp:docPr id="22" name="Picture 22"/>
            <wp:cNvGraphicFramePr>
              <a:graphicFrameLocks noChangeAspect="1"/>
            </wp:cNvGraphicFramePr>
            <a:graphic>
              <a:graphicData uri="http://schemas.openxmlformats.org/drawingml/2006/picture">
                <pic:pic>
                  <pic:nvPicPr>
                    <pic:cNvPr id="0" name="mmm-allocator-0.png"/>
                    <pic:cNvPicPr/>
                  </pic:nvPicPr>
                  <pic:blipFill>
                    <a:blip r:embed="rId17"/>
                    <a:stretch>
                      <a:fillRect/>
                    </a:stretch>
                  </pic:blipFill>
                  <pic:spPr>
                    <a:xfrm>
                      <a:off x="0" y="0"/>
                      <a:ext cx="5940000" cy="4125000"/>
                    </a:xfrm>
                    <a:prstGeom prst="rect"/>
                  </pic:spPr>
                </pic:pic>
              </a:graphicData>
            </a:graphic>
          </wp:inline>
        </w:drawing>
      </w:r>
    </w:p>
    <w:p>
      <w:pPr>
        <w:jc w:val="center"/>
      </w:pPr>
      <w:r>
        <w:rPr>
          <w:i/>
          <w:color w:val="555F6D"/>
          <w:sz w:val="18"/>
        </w:rPr>
        <w:t>Figure F.1 – Budget Allocator.</w:t>
      </w:r>
    </w:p>
    <w:p>
      <w:pPr>
        <w:pStyle w:val="Heading2"/>
      </w:pPr>
      <w:r>
        <w:t>F.1 Inputs</w:t>
      </w:r>
    </w:p>
    <w:p>
      <w:pPr>
        <w:pStyle w:val="ListBullet"/>
        <w:spacing w:after="40"/>
      </w:pPr>
      <w:r>
        <w:rPr>
          <w:b/>
        </w:rPr>
        <w:t>Your budget</w:t>
      </w:r>
      <w:r>
        <w:t xml:space="preserve"> (₹ Cr or $ M; converted to rupees with the exchange rate). Quick buttons: 0.75×, 0.9×, actual, 1.1×, 1.25×, 1.5× the actual spend, and </w:t>
      </w:r>
      <w:r>
        <w:rPr>
          <w:b/>
        </w:rPr>
        <w:t>Profit peak</w:t>
      </w:r>
      <w:r>
        <w:t>.</w:t>
      </w:r>
    </w:p>
    <w:p>
      <w:pPr>
        <w:pStyle w:val="ListBullet"/>
        <w:spacing w:after="40"/>
      </w:pPr>
      <w:r>
        <w:t xml:space="preserve">Period, Reallocate across and Past data / Forecast plan, exactly as in the Optimizer. </w:t>
      </w:r>
      <w:r>
        <w:rPr>
          <w:b/>
        </w:rPr>
        <w:t>No per-channel limits</w:t>
      </w:r>
      <w:r>
        <w:t>: only the total is fixed (as requested).</w:t>
      </w:r>
    </w:p>
    <w:p>
      <w:pPr>
        <w:pStyle w:val="Heading2"/>
      </w:pPr>
      <w:r>
        <w:t>F.2 The three plans and the two effects</w:t>
      </w:r>
    </w:p>
    <w:tbl>
      <w:tblPr>
        <w:tblW w:type="auto" w:w="0"/>
        <w:jc w:val="center"/>
        <w:tblLook w:firstColumn="1" w:firstRow="1" w:lastColumn="0" w:lastRow="0" w:noHBand="0" w:noVBand="1" w:val="04A0"/>
      </w:tblPr>
      <w:tblGrid>
        <w:gridCol w:w="9638"/>
      </w:tblGrid>
      <w:tr>
        <w:tc>
          <w:tcPr>
            <w:tcW w:type="dxa" w:w="9638"/>
            <w:shd w:val="clear" w:color="auto" w:fill="F3F4F6"/>
          </w:tcPr>
          <w:p>
            <w:pPr>
              <w:spacing w:after="0"/>
            </w:pPr>
            <w:r/>
            <w:r>
              <w:rPr>
                <w:rFonts w:ascii="Consolas" w:hAnsi="Consolas" w:eastAsia="Consolas"/>
                <w:sz w:val="19"/>
              </w:rPr>
              <w:t>Actual     A = the period’s spend as it ran</w:t>
            </w:r>
          </w:p>
          <w:p>
            <w:pPr>
              <w:spacing w:after="0"/>
            </w:pPr>
            <w:r>
              <w:rPr>
                <w:rFonts w:ascii="Consolas" w:hAnsi="Consolas" w:eastAsia="Consolas"/>
                <w:sz w:val="19"/>
              </w:rPr>
              <w:t>Same mix   B = A × (your budget ÷ actual budget)       every channel-week scaled</w:t>
            </w:r>
          </w:p>
          <w:p>
            <w:pPr>
              <w:spacing w:after="0"/>
            </w:pPr>
            <w:r>
              <w:rPr>
                <w:rFonts w:ascii="Consolas" w:hAnsi="Consolas" w:eastAsia="Consolas"/>
                <w:sz w:val="19"/>
              </w:rPr>
              <w:t>Optimized  C = argmax net profit, Σ C = your budget     (E.3; modes are measured against B)</w:t>
            </w:r>
          </w:p>
          <w:p>
            <w:pPr>
              <w:spacing w:after="0"/>
            </w:pPr>
            <w:r>
              <w:rPr>
                <w:rFonts w:ascii="Consolas" w:hAnsi="Consolas" w:eastAsia="Consolas"/>
                <w:sz w:val="19"/>
              </w:rPr>
            </w:r>
          </w:p>
          <w:p>
            <w:pPr>
              <w:spacing w:after="0"/>
            </w:pPr>
            <w:r>
              <w:rPr>
                <w:rFonts w:ascii="Consolas" w:hAnsi="Consolas" w:eastAsia="Consolas"/>
                <w:sz w:val="19"/>
              </w:rPr>
              <w:t>Budget effect  = profit(B) − profit(A)      what the new budget does alone</w:t>
            </w:r>
          </w:p>
          <w:p>
            <w:pPr>
              <w:spacing w:after="0"/>
            </w:pPr>
            <w:r>
              <w:rPr>
                <w:rFonts w:ascii="Consolas" w:hAnsi="Consolas" w:eastAsia="Consolas"/>
                <w:sz w:val="19"/>
              </w:rPr>
              <w:t>Mix effect     = profit(C) − profit(B)      what a better split adds</w:t>
            </w:r>
          </w:p>
          <w:p>
            <w:pPr>
              <w:spacing w:after="0"/>
            </w:pPr>
            <w:r>
              <w:rPr>
                <w:rFonts w:ascii="Consolas" w:hAnsi="Consolas" w:eastAsia="Consolas"/>
                <w:sz w:val="19"/>
              </w:rPr>
              <w:t>Total          = profit(C) − profit(A)      = budget effect + mix effect</w:t>
            </w:r>
          </w:p>
        </w:tc>
      </w:tr>
    </w:tbl>
    <w:p>
      <w:pPr>
        <w:spacing w:after="0"/>
      </w:pPr>
    </w:p>
    <w:p>
      <w:r>
        <w:t xml:space="preserve">The </w:t>
      </w:r>
      <w:r>
        <w:rPr>
          <w:b/>
        </w:rPr>
        <w:t>baseline is identical</w:t>
      </w:r>
      <w:r>
        <w:t xml:space="preserve"> in A, B and C: it is the period’s own revenue without ads. With the total fixed, the most net profit is also the most revenue. The panel “What optimizing adds” shows the mix effect as the hero figure, its P10 – P90 range, and the % of refits in which C beats B.</w:t>
      </w:r>
    </w:p>
    <w:p>
      <w:pPr>
        <w:pStyle w:val="Heading2"/>
      </w:pPr>
      <w:r>
        <w:t>F.3 Net profit at every budget (frontier)</w:t>
      </w:r>
    </w:p>
    <w:p>
      <w:pPr>
        <w:jc w:val="center"/>
      </w:pPr>
      <w:r>
        <w:drawing>
          <wp:inline xmlns:a="http://schemas.openxmlformats.org/drawingml/2006/main" xmlns:pic="http://schemas.openxmlformats.org/drawingml/2006/picture">
            <wp:extent cx="5040000" cy="2304000"/>
            <wp:docPr id="23" name="Picture 23"/>
            <wp:cNvGraphicFramePr>
              <a:graphicFrameLocks noChangeAspect="1"/>
            </wp:cNvGraphicFramePr>
            <a:graphic>
              <a:graphicData uri="http://schemas.openxmlformats.org/drawingml/2006/picture">
                <pic:pic>
                  <pic:nvPicPr>
                    <pic:cNvPr id="0" name="fig_peak.png"/>
                    <pic:cNvPicPr/>
                  </pic:nvPicPr>
                  <pic:blipFill>
                    <a:blip r:embed="rId28"/>
                    <a:stretch>
                      <a:fillRect/>
                    </a:stretch>
                  </pic:blipFill>
                  <pic:spPr>
                    <a:xfrm>
                      <a:off x="0" y="0"/>
                      <a:ext cx="5040000" cy="2304000"/>
                    </a:xfrm>
                    <a:prstGeom prst="rect"/>
                  </pic:spPr>
                </pic:pic>
              </a:graphicData>
            </a:graphic>
          </wp:inline>
        </w:drawing>
      </w:r>
    </w:p>
    <w:p>
      <w:pPr>
        <w:jc w:val="center"/>
      </w:pPr>
      <w:r>
        <w:rPr>
          <w:i/>
          <w:color w:val="555F6D"/>
          <w:sz w:val="18"/>
        </w:rPr>
        <w:t>Figure F.2 – Illustration: revenue keeps rising with budget, but profit peaks.</w:t>
      </w:r>
    </w:p>
    <w:p>
      <w:pPr>
        <w:pStyle w:val="ListBullet"/>
        <w:spacing w:after="40"/>
      </w:pPr>
      <w:r>
        <w:t xml:space="preserve">19 budgets from ₹0 to </w:t>
      </w:r>
      <w:r>
        <w:rPr>
          <w:b/>
        </w:rPr>
        <w:t>3×</w:t>
      </w:r>
      <w:r>
        <w:t xml:space="preserve"> the actual. At each one, the same mix (B-style) and the best split (the optimizer run at that budget, warm-started from the previous one) are scored on all 41 fits.</w:t>
      </w:r>
    </w:p>
    <w:p>
      <w:pPr>
        <w:pStyle w:val="ListBullet"/>
        <w:spacing w:after="40"/>
      </w:pPr>
      <w:r>
        <w:rPr>
          <w:b/>
        </w:rPr>
        <w:t>Profit peak:</w:t>
      </w:r>
      <w:r>
        <w:t xml:space="preserve"> a </w:t>
      </w:r>
      <w:r>
        <w:rPr>
          <w:b/>
        </w:rPr>
        <w:t>golden-section search</w:t>
      </w:r>
      <w:r>
        <w:t xml:space="preserve"> (8 steps) between the grid neighbours of the best grid point. Net profit is concave in the budget, so the search is valid. At the peak, the next rupee of ads returns exactly ₹1.</w:t>
      </w:r>
    </w:p>
    <w:p>
      <w:pPr>
        <w:pStyle w:val="ListBullet"/>
        <w:spacing w:after="40"/>
      </w:pPr>
      <w:r>
        <w:t>The curve does not depend on the entered budget, so it is cached per period and mode.</w:t>
      </w:r>
    </w:p>
    <w:p>
      <w:pPr>
        <w:pStyle w:val="Heading2"/>
      </w:pPr>
      <w:r>
        <w:t>F.4 Optimal spend by channel</w:t>
      </w:r>
    </w:p>
    <w:tbl>
      <w:tblPr>
        <w:tblStyle w:val="TableGrid"/>
        <w:tblW w:type="auto" w:w="0"/>
        <w:jc w:val="center"/>
        <w:tblLook w:firstColumn="1" w:firstRow="1" w:lastColumn="0" w:lastRow="0" w:noHBand="0" w:noVBand="1" w:val="04A0"/>
      </w:tblPr>
      <w:tblGrid>
        <w:gridCol w:w="4819"/>
        <w:gridCol w:w="4819"/>
      </w:tblGrid>
      <w:tr>
        <w:tc>
          <w:tcPr>
            <w:tcW w:type="dxa" w:w="2551"/>
            <w:shd w:val="clear" w:color="auto" w:fill="EAF0F8"/>
          </w:tcPr>
          <w:p>
            <w:r/>
            <w:r>
              <w:rPr>
                <w:b/>
                <w:color w:val="1F3A68"/>
                <w:sz w:val="18"/>
              </w:rPr>
              <w:t>Column</w:t>
            </w:r>
          </w:p>
        </w:tc>
        <w:tc>
          <w:tcPr>
            <w:tcW w:type="dxa" w:w="7087"/>
            <w:shd w:val="clear" w:color="auto" w:fill="EAF0F8"/>
          </w:tcPr>
          <w:p>
            <w:r/>
            <w:r>
              <w:rPr>
                <w:b/>
                <w:color w:val="1F3A68"/>
                <w:sz w:val="18"/>
              </w:rPr>
              <w:t>Definition</w:t>
            </w:r>
          </w:p>
        </w:tc>
      </w:tr>
      <w:tr>
        <w:tc>
          <w:tcPr>
            <w:tcW w:type="dxa" w:w="2551"/>
          </w:tcPr>
          <w:p>
            <w:r/>
            <w:r>
              <w:rPr>
                <w:sz w:val="18"/>
              </w:rPr>
              <w:t>Actual / Same mix / Optimized</w:t>
            </w:r>
          </w:p>
        </w:tc>
        <w:tc>
          <w:tcPr>
            <w:tcW w:type="dxa" w:w="7087"/>
          </w:tcPr>
          <w:p>
            <w:r/>
            <w:r>
              <w:rPr>
                <w:sz w:val="18"/>
              </w:rPr>
              <w:t>Σ over the weeks of each plan’s spend in the channel</w:t>
            </w:r>
          </w:p>
        </w:tc>
      </w:tr>
      <w:tr>
        <w:tc>
          <w:tcPr>
            <w:tcW w:type="dxa" w:w="2551"/>
          </w:tcPr>
          <w:p>
            <w:r/>
            <w:r>
              <w:rPr>
                <w:sz w:val="18"/>
              </w:rPr>
              <w:t>Share of budget</w:t>
            </w:r>
          </w:p>
        </w:tc>
        <w:tc>
          <w:tcPr>
            <w:tcW w:type="dxa" w:w="7087"/>
          </w:tcPr>
          <w:p>
            <w:r/>
            <w:r>
              <w:rPr>
                <w:sz w:val="18"/>
              </w:rPr>
              <w:t>Actual share → optimized share (bars: grey actual, navy optimized)</w:t>
            </w:r>
          </w:p>
        </w:tc>
      </w:tr>
      <w:tr>
        <w:tc>
          <w:tcPr>
            <w:tcW w:type="dxa" w:w="2551"/>
          </w:tcPr>
          <w:p>
            <w:r/>
            <w:r>
              <w:rPr>
                <w:sz w:val="18"/>
              </w:rPr>
              <w:t>Change</w:t>
            </w:r>
          </w:p>
        </w:tc>
        <w:tc>
          <w:tcPr>
            <w:tcW w:type="dxa" w:w="7087"/>
          </w:tcPr>
          <w:p>
            <w:r/>
            <w:r>
              <w:rPr>
                <w:sz w:val="18"/>
              </w:rPr>
              <w:t>Optimized − same mix</w:t>
            </w:r>
          </w:p>
        </w:tc>
      </w:tr>
      <w:tr>
        <w:tc>
          <w:tcPr>
            <w:tcW w:type="dxa" w:w="2551"/>
          </w:tcPr>
          <w:p>
            <w:r/>
            <w:r>
              <w:rPr>
                <w:sz w:val="18"/>
              </w:rPr>
              <w:t>Media revenue</w:t>
            </w:r>
          </w:p>
        </w:tc>
        <w:tc>
          <w:tcPr>
            <w:tcW w:type="dxa" w:w="7087"/>
          </w:tcPr>
          <w:p>
            <w:r/>
            <w:r>
              <w:rPr>
                <w:sz w:val="18"/>
              </w:rPr>
              <w:t>Same mix → optimized, from the central fit</w:t>
            </w:r>
          </w:p>
        </w:tc>
      </w:tr>
      <w:tr>
        <w:tc>
          <w:tcPr>
            <w:tcW w:type="dxa" w:w="2551"/>
          </w:tcPr>
          <w:p>
            <w:r/>
            <w:r>
              <w:rPr>
                <w:sz w:val="18"/>
              </w:rPr>
              <w:t>Next ₹1 returns</w:t>
            </w:r>
          </w:p>
        </w:tc>
        <w:tc>
          <w:tcPr>
            <w:tcW w:type="dxa" w:w="7087"/>
          </w:tcPr>
          <w:p>
            <w:r/>
            <w:r>
              <w:rPr>
                <w:sz w:val="18"/>
              </w:rPr>
              <w:t>The channel’s marginal return in the optimized plan; equal (≈ λ) for every funded channel</w:t>
            </w:r>
          </w:p>
        </w:tc>
      </w:tr>
      <w:tr>
        <w:tc>
          <w:tcPr>
            <w:tcW w:type="dxa" w:w="2551"/>
          </w:tcPr>
          <w:p>
            <w:r/>
            <w:r>
              <w:rPr>
                <w:sz w:val="18"/>
              </w:rPr>
              <w:t>⚠</w:t>
            </w:r>
          </w:p>
        </w:tc>
        <w:tc>
          <w:tcPr>
            <w:tcW w:type="dxa" w:w="7087"/>
          </w:tcPr>
          <w:p>
            <w:r/>
            <w:r>
              <w:rPr>
                <w:sz w:val="18"/>
              </w:rPr>
              <w:t>A week of the optimized plan exceeds the channel’s highest weekly spend in the observed data</w:t>
            </w:r>
          </w:p>
        </w:tc>
      </w:tr>
    </w:tbl>
    <w:p>
      <w:pPr>
        <w:spacing w:after="0"/>
      </w:pPr>
    </w:p>
    <w:tbl>
      <w:tblPr>
        <w:tblW w:type="auto" w:w="0"/>
        <w:tblLook w:firstColumn="1" w:firstRow="1" w:lastColumn="0" w:lastRow="0" w:noHBand="0" w:noVBand="1" w:val="04A0"/>
      </w:tblPr>
      <w:tblGrid>
        <w:gridCol w:w="9638"/>
      </w:tblGrid>
      <w:tr>
        <w:tc>
          <w:tcPr>
            <w:tcW w:type="dxa" w:w="9638"/>
            <w:shd w:val="clear" w:color="auto" w:fill="EAF0F8"/>
          </w:tcPr>
          <w:p>
            <w:r>
              <w:rPr>
                <w:b/>
                <w:color w:val="1F3A68"/>
              </w:rPr>
              <w:t>Worked example</w:t>
            </w:r>
          </w:p>
          <w:p>
            <w:r>
              <w:t xml:space="preserve">Same period, actual ₹55.96 Cr. At 25% more (₹69.95 Cr): same mix net profit ₹332.01 Cr (−₹3.62 Cr vs actual); optimized ₹350.81 Cr, a </w:t>
            </w:r>
            <w:r>
              <w:rPr>
                <w:b/>
              </w:rPr>
              <w:t>mix effect of +₹18.80 Cr</w:t>
            </w:r>
            <w:r>
              <w:t xml:space="preserve"> (P10 – P90 +₹12.22 – 20.88 Cr), +₹15.19 Cr in total.</w:t>
            </w:r>
          </w:p>
          <w:p>
            <w:r>
              <w:t xml:space="preserve">Profit peak ≈ </w:t>
            </w:r>
            <w:r>
              <w:rPr>
                <w:b/>
              </w:rPr>
              <w:t>₹56.03 Cr</w:t>
            </w:r>
            <w:r>
              <w:t xml:space="preserve"> (net profit ₹351.94 Cr). The actual budget was already right-sized; the money is in the split. At the actual budget, every funded channel’s next ₹1 returns ₹1.00, which is exactly the peak condition.</w:t>
            </w:r>
          </w:p>
        </w:tc>
      </w:tr>
    </w:tbl>
    <w:p>
      <w:pPr>
        <w:spacing w:after="0"/>
      </w:pPr>
    </w:p>
    <w:p>
      <w:r>
        <w:br w:type="page"/>
      </w:r>
    </w:p>
    <w:p>
      <w:pPr>
        <w:pStyle w:val="Heading1"/>
      </w:pPr>
      <w:r>
        <w:t>Part G — Revenue Forecast</w:t>
      </w:r>
    </w:p>
    <w:p>
      <w:pPr>
        <w:jc w:val="center"/>
      </w:pPr>
      <w:r>
        <w:drawing>
          <wp:inline xmlns:a="http://schemas.openxmlformats.org/drawingml/2006/main" xmlns:pic="http://schemas.openxmlformats.org/drawingml/2006/picture">
            <wp:extent cx="5940000" cy="4125000"/>
            <wp:docPr id="24" name="Picture 24"/>
            <wp:cNvGraphicFramePr>
              <a:graphicFrameLocks noChangeAspect="1"/>
            </wp:cNvGraphicFramePr>
            <a:graphic>
              <a:graphicData uri="http://schemas.openxmlformats.org/drawingml/2006/picture">
                <pic:pic>
                  <pic:nvPicPr>
                    <pic:cNvPr id="0" name="mmm-forecast-0.png"/>
                    <pic:cNvPicPr/>
                  </pic:nvPicPr>
                  <pic:blipFill>
                    <a:blip r:embed="rId19"/>
                    <a:stretch>
                      <a:fillRect/>
                    </a:stretch>
                  </pic:blipFill>
                  <pic:spPr>
                    <a:xfrm>
                      <a:off x="0" y="0"/>
                      <a:ext cx="5940000" cy="4125000"/>
                    </a:xfrm>
                    <a:prstGeom prst="rect"/>
                  </pic:spPr>
                </pic:pic>
              </a:graphicData>
            </a:graphic>
          </wp:inline>
        </w:drawing>
      </w:r>
    </w:p>
    <w:p>
      <w:pPr>
        <w:jc w:val="center"/>
      </w:pPr>
      <w:r>
        <w:rPr>
          <w:i/>
          <w:color w:val="555F6D"/>
          <w:sz w:val="18"/>
        </w:rPr>
        <w:t>Figure G.1 – Revenue Forecast.</w:t>
      </w:r>
    </w:p>
    <w:p>
      <w:pPr>
        <w:pStyle w:val="Heading2"/>
      </w:pPr>
      <w:r>
        <w:t>G.1 The uploaded plan</w:t>
      </w:r>
    </w:p>
    <w:p>
      <w:r>
        <w:t xml:space="preserve">A daily CSV for dates after the data, </w:t>
      </w:r>
      <w:r>
        <w:rPr>
          <w:b/>
        </w:rPr>
        <w:t>without Revenue</w:t>
      </w:r>
      <w:r>
        <w:t xml:space="preserve"> (</w:t>
      </w:r>
      <w:r>
        <w:rPr>
          <w:rFonts w:ascii="Consolas" w:hAnsi="Consolas" w:eastAsia="Consolas"/>
          <w:sz w:val="19"/>
        </w:rPr>
        <w:t>backend/app/mmm/forecast.py</w:t>
      </w:r>
      <w:r>
        <w:t xml:space="preserve">, </w:t>
      </w:r>
      <w:r>
        <w:rPr>
          <w:rFonts w:ascii="Consolas" w:hAnsi="Consolas" w:eastAsia="Consolas"/>
          <w:sz w:val="19"/>
        </w:rPr>
        <w:t>read_plan</w:t>
      </w:r>
      <w:r>
        <w:t>):</w:t>
      </w:r>
    </w:p>
    <w:p>
      <w:pPr>
        <w:pStyle w:val="ListBullet"/>
        <w:spacing w:after="40"/>
      </w:pPr>
      <w:r>
        <w:t xml:space="preserve">Date (DD-MM-YYYY, YYYY-MM-DD or DD/MM/YYYY), one row per day, </w:t>
      </w:r>
      <w:r>
        <w:rPr>
          <w:b/>
        </w:rPr>
        <w:t>starting after 30 Sep 2026</w:t>
      </w:r>
      <w:r>
        <w:t>, and at most about six years.</w:t>
      </w:r>
    </w:p>
    <w:p>
      <w:pPr>
        <w:pStyle w:val="ListBullet"/>
        <w:spacing w:after="40"/>
      </w:pPr>
      <w:r>
        <w:t xml:space="preserve">Channel spend columns with the data’s names. A missing channel is taken as zero, and unknown </w:t>
      </w:r>
      <w:r>
        <w:rPr>
          <w:rFonts w:ascii="Consolas" w:hAnsi="Consolas" w:eastAsia="Consolas"/>
          <w:sz w:val="19"/>
        </w:rPr>
        <w:t>*_Spend</w:t>
      </w:r>
      <w:r>
        <w:t xml:space="preserve"> columns are ignored (both listed as notes). Negative or non-numeric spend is refused.</w:t>
      </w:r>
    </w:p>
    <w:p>
      <w:pPr>
        <w:pStyle w:val="ListBullet"/>
        <w:spacing w:after="40"/>
      </w:pPr>
      <w:r>
        <w:t>Flags, discount and promotion type: missing ones are taken as none; an unknown promotion type is read as No Offer.</w:t>
      </w:r>
    </w:p>
    <w:p>
      <w:pPr>
        <w:pStyle w:val="ListBullet"/>
        <w:spacing w:after="40"/>
      </w:pPr>
      <w:r>
        <w:t>A Revenue column is ignored, with a note. Missing days inside the plan, and any gap from the data’s end, are filled as days without ads or offers.</w:t>
      </w:r>
    </w:p>
    <w:p>
      <w:pPr>
        <w:pStyle w:val="Heading2"/>
      </w:pPr>
      <w:r>
        <w:t>G.2 The sample plans</w:t>
      </w:r>
    </w:p>
    <w:p>
      <w:r>
        <w:rPr>
          <w:rFonts w:ascii="Consolas" w:hAnsi="Consolas" w:eastAsia="Consolas"/>
          <w:sz w:val="19"/>
        </w:rPr>
        <w:t>scripts/make_mmm_future.py</w:t>
      </w:r>
      <w:r>
        <w:t xml:space="preserve"> writes </w:t>
      </w:r>
      <w:r>
        <w:rPr>
          <w:rFonts w:ascii="Consolas" w:hAnsi="Consolas" w:eastAsia="Consolas"/>
          <w:sz w:val="19"/>
        </w:rPr>
        <w:t>Data/mmm/future/mmm_future_{1..5}y.csv</w:t>
      </w:r>
      <w:r>
        <w:t>. Each future ISO week copies the same week and weekdays from a random one of the last 4 whole years (2022 – 2025). Each channel’s spend in that week is multiplied by a log-normal factor (σ = 0.12) and by 3% yearly growth. The generator is seeded, and the five files are prefixes of one 5-year plan, so they agree where they overlap.</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154"/>
            <w:shd w:val="clear" w:color="auto" w:fill="EAF0F8"/>
          </w:tcPr>
          <w:p>
            <w:r/>
            <w:r>
              <w:rPr>
                <w:b/>
                <w:color w:val="1F3A68"/>
                <w:sz w:val="18"/>
              </w:rPr>
              <w:t>File</w:t>
            </w:r>
          </w:p>
        </w:tc>
        <w:tc>
          <w:tcPr>
            <w:tcW w:type="dxa" w:w="907"/>
            <w:shd w:val="clear" w:color="auto" w:fill="EAF0F8"/>
          </w:tcPr>
          <w:p>
            <w:r/>
            <w:r>
              <w:rPr>
                <w:b/>
                <w:color w:val="1F3A68"/>
                <w:sz w:val="18"/>
              </w:rPr>
              <w:t>Days</w:t>
            </w:r>
          </w:p>
        </w:tc>
        <w:tc>
          <w:tcPr>
            <w:tcW w:type="dxa" w:w="2608"/>
            <w:shd w:val="clear" w:color="auto" w:fill="EAF0F8"/>
          </w:tcPr>
          <w:p>
            <w:r/>
            <w:r>
              <w:rPr>
                <w:b/>
                <w:color w:val="1F3A68"/>
                <w:sz w:val="18"/>
              </w:rPr>
              <w:t>Dates</w:t>
            </w:r>
          </w:p>
        </w:tc>
        <w:tc>
          <w:tcPr>
            <w:tcW w:type="dxa" w:w="1701"/>
            <w:shd w:val="clear" w:color="auto" w:fill="EAF0F8"/>
          </w:tcPr>
          <w:p>
            <w:r/>
            <w:r>
              <w:rPr>
                <w:b/>
                <w:color w:val="1F3A68"/>
                <w:sz w:val="18"/>
              </w:rPr>
              <w:t>Ad spend</w:t>
            </w:r>
          </w:p>
        </w:tc>
        <w:tc>
          <w:tcPr>
            <w:tcW w:type="dxa" w:w="1701"/>
            <w:shd w:val="clear" w:color="auto" w:fill="EAF0F8"/>
          </w:tcPr>
          <w:p>
            <w:r/>
            <w:r>
              <w:rPr>
                <w:b/>
                <w:color w:val="1F3A68"/>
                <w:sz w:val="18"/>
              </w:rPr>
              <w:t>Days without ads</w:t>
            </w:r>
          </w:p>
        </w:tc>
      </w:tr>
      <w:tr>
        <w:tc>
          <w:tcPr>
            <w:tcW w:type="dxa" w:w="2154"/>
          </w:tcPr>
          <w:p>
            <w:r/>
            <w:r>
              <w:rPr>
                <w:sz w:val="18"/>
              </w:rPr>
              <w:t>mmm_future_1y.csv</w:t>
            </w:r>
          </w:p>
        </w:tc>
        <w:tc>
          <w:tcPr>
            <w:tcW w:type="dxa" w:w="907"/>
          </w:tcPr>
          <w:p>
            <w:r/>
            <w:r>
              <w:rPr>
                <w:sz w:val="18"/>
              </w:rPr>
              <w:t>365</w:t>
            </w:r>
          </w:p>
        </w:tc>
        <w:tc>
          <w:tcPr>
            <w:tcW w:type="dxa" w:w="2608"/>
          </w:tcPr>
          <w:p>
            <w:r/>
            <w:r>
              <w:rPr>
                <w:sz w:val="18"/>
              </w:rPr>
              <w:t>01-10-2026 – 30-09-2027</w:t>
            </w:r>
          </w:p>
        </w:tc>
        <w:tc>
          <w:tcPr>
            <w:tcW w:type="dxa" w:w="1701"/>
          </w:tcPr>
          <w:p>
            <w:r/>
            <w:r>
              <w:rPr>
                <w:sz w:val="18"/>
              </w:rPr>
              <w:t>₹217.13 Cr</w:t>
            </w:r>
          </w:p>
        </w:tc>
        <w:tc>
          <w:tcPr>
            <w:tcW w:type="dxa" w:w="1701"/>
          </w:tcPr>
          <w:p>
            <w:r/>
            <w:r>
              <w:rPr>
                <w:sz w:val="18"/>
              </w:rPr>
              <w:t>192</w:t>
            </w:r>
          </w:p>
        </w:tc>
      </w:tr>
      <w:tr>
        <w:tc>
          <w:tcPr>
            <w:tcW w:type="dxa" w:w="2154"/>
          </w:tcPr>
          <w:p>
            <w:r/>
            <w:r>
              <w:rPr>
                <w:sz w:val="18"/>
              </w:rPr>
              <w:t>mmm_future_2y.csv</w:t>
            </w:r>
          </w:p>
        </w:tc>
        <w:tc>
          <w:tcPr>
            <w:tcW w:type="dxa" w:w="907"/>
          </w:tcPr>
          <w:p>
            <w:r/>
            <w:r>
              <w:rPr>
                <w:sz w:val="18"/>
              </w:rPr>
              <w:t>731</w:t>
            </w:r>
          </w:p>
        </w:tc>
        <w:tc>
          <w:tcPr>
            <w:tcW w:type="dxa" w:w="2608"/>
          </w:tcPr>
          <w:p>
            <w:r/>
            <w:r>
              <w:rPr>
                <w:sz w:val="18"/>
              </w:rPr>
              <w:t>… – 30-09-2028</w:t>
            </w:r>
          </w:p>
        </w:tc>
        <w:tc>
          <w:tcPr>
            <w:tcW w:type="dxa" w:w="1701"/>
          </w:tcPr>
          <w:p>
            <w:r/>
            <w:r>
              <w:rPr>
                <w:sz w:val="18"/>
              </w:rPr>
              <w:t>₹436.43 Cr</w:t>
            </w:r>
          </w:p>
        </w:tc>
        <w:tc>
          <w:tcPr>
            <w:tcW w:type="dxa" w:w="1701"/>
          </w:tcPr>
          <w:p>
            <w:r/>
            <w:r>
              <w:rPr>
                <w:sz w:val="18"/>
              </w:rPr>
              <w:t>388</w:t>
            </w:r>
          </w:p>
        </w:tc>
      </w:tr>
      <w:tr>
        <w:tc>
          <w:tcPr>
            <w:tcW w:type="dxa" w:w="2154"/>
          </w:tcPr>
          <w:p>
            <w:r/>
            <w:r>
              <w:rPr>
                <w:sz w:val="18"/>
              </w:rPr>
              <w:t>mmm_future_3y.csv</w:t>
            </w:r>
          </w:p>
        </w:tc>
        <w:tc>
          <w:tcPr>
            <w:tcW w:type="dxa" w:w="907"/>
          </w:tcPr>
          <w:p>
            <w:r/>
            <w:r>
              <w:rPr>
                <w:sz w:val="18"/>
              </w:rPr>
              <w:t>1,096</w:t>
            </w:r>
          </w:p>
        </w:tc>
        <w:tc>
          <w:tcPr>
            <w:tcW w:type="dxa" w:w="2608"/>
          </w:tcPr>
          <w:p>
            <w:r/>
            <w:r>
              <w:rPr>
                <w:sz w:val="18"/>
              </w:rPr>
              <w:t>… – 30-09-2029</w:t>
            </w:r>
          </w:p>
        </w:tc>
        <w:tc>
          <w:tcPr>
            <w:tcW w:type="dxa" w:w="1701"/>
          </w:tcPr>
          <w:p>
            <w:r/>
            <w:r>
              <w:rPr>
                <w:sz w:val="18"/>
              </w:rPr>
              <w:t>₹676.66 Cr</w:t>
            </w:r>
          </w:p>
        </w:tc>
        <w:tc>
          <w:tcPr>
            <w:tcW w:type="dxa" w:w="1701"/>
          </w:tcPr>
          <w:p>
            <w:r/>
            <w:r>
              <w:rPr>
                <w:sz w:val="18"/>
              </w:rPr>
              <w:t>574</w:t>
            </w:r>
          </w:p>
        </w:tc>
      </w:tr>
      <w:tr>
        <w:tc>
          <w:tcPr>
            <w:tcW w:type="dxa" w:w="2154"/>
          </w:tcPr>
          <w:p>
            <w:r/>
            <w:r>
              <w:rPr>
                <w:sz w:val="18"/>
              </w:rPr>
              <w:t>mmm_future_4y.csv</w:t>
            </w:r>
          </w:p>
        </w:tc>
        <w:tc>
          <w:tcPr>
            <w:tcW w:type="dxa" w:w="907"/>
          </w:tcPr>
          <w:p>
            <w:r/>
            <w:r>
              <w:rPr>
                <w:sz w:val="18"/>
              </w:rPr>
              <w:t>1,461</w:t>
            </w:r>
          </w:p>
        </w:tc>
        <w:tc>
          <w:tcPr>
            <w:tcW w:type="dxa" w:w="2608"/>
          </w:tcPr>
          <w:p>
            <w:r/>
            <w:r>
              <w:rPr>
                <w:sz w:val="18"/>
              </w:rPr>
              <w:t>… – 30-09-2030</w:t>
            </w:r>
          </w:p>
        </w:tc>
        <w:tc>
          <w:tcPr>
            <w:tcW w:type="dxa" w:w="1701"/>
          </w:tcPr>
          <w:p>
            <w:r/>
            <w:r>
              <w:rPr>
                <w:sz w:val="18"/>
              </w:rPr>
              <w:t>₹937.70 Cr</w:t>
            </w:r>
          </w:p>
        </w:tc>
        <w:tc>
          <w:tcPr>
            <w:tcW w:type="dxa" w:w="1701"/>
          </w:tcPr>
          <w:p>
            <w:r/>
            <w:r>
              <w:rPr>
                <w:sz w:val="18"/>
              </w:rPr>
              <w:t>752</w:t>
            </w:r>
          </w:p>
        </w:tc>
      </w:tr>
      <w:tr>
        <w:tc>
          <w:tcPr>
            <w:tcW w:type="dxa" w:w="2154"/>
          </w:tcPr>
          <w:p>
            <w:r/>
            <w:r>
              <w:rPr>
                <w:sz w:val="18"/>
              </w:rPr>
              <w:t>mmm_future_5y.csv</w:t>
            </w:r>
          </w:p>
        </w:tc>
        <w:tc>
          <w:tcPr>
            <w:tcW w:type="dxa" w:w="907"/>
          </w:tcPr>
          <w:p>
            <w:r/>
            <w:r>
              <w:rPr>
                <w:sz w:val="18"/>
              </w:rPr>
              <w:t>1,826</w:t>
            </w:r>
          </w:p>
        </w:tc>
        <w:tc>
          <w:tcPr>
            <w:tcW w:type="dxa" w:w="2608"/>
          </w:tcPr>
          <w:p>
            <w:r/>
            <w:r>
              <w:rPr>
                <w:sz w:val="18"/>
              </w:rPr>
              <w:t>… – 30-09-2031</w:t>
            </w:r>
          </w:p>
        </w:tc>
        <w:tc>
          <w:tcPr>
            <w:tcW w:type="dxa" w:w="1701"/>
          </w:tcPr>
          <w:p>
            <w:r/>
            <w:r>
              <w:rPr>
                <w:sz w:val="18"/>
              </w:rPr>
              <w:t>₹1,222.33 Cr</w:t>
            </w:r>
          </w:p>
        </w:tc>
        <w:tc>
          <w:tcPr>
            <w:tcW w:type="dxa" w:w="1701"/>
          </w:tcPr>
          <w:p>
            <w:r/>
            <w:r>
              <w:rPr>
                <w:sz w:val="18"/>
              </w:rPr>
              <w:t>924</w:t>
            </w:r>
          </w:p>
        </w:tc>
      </w:tr>
    </w:tbl>
    <w:p>
      <w:pPr>
        <w:spacing w:after="0"/>
      </w:pPr>
    </w:p>
    <w:p>
      <w:pPr>
        <w:pStyle w:val="Heading2"/>
      </w:pPr>
      <w:r>
        <w:t>G.3 How revenue is predicted</w:t>
      </w:r>
    </w:p>
    <w:p>
      <w:pPr>
        <w:pStyle w:val="ListBullet"/>
        <w:spacing w:after="40"/>
      </w:pPr>
      <w:r>
        <w:rPr>
          <w:b/>
        </w:rPr>
        <w:t>The extended model:</w:t>
      </w:r>
      <w:r>
        <w:t xml:space="preserve"> the history with the plan’s days appended (spend, plus baseline features standardised with the history’s statistics, and the trend continued along its tangent, D.3). This is an ordinary model, so every planning function works on it unchanged.</w:t>
      </w:r>
    </w:p>
    <w:p>
      <w:pPr>
        <w:pStyle w:val="ListBullet"/>
        <w:spacing w:after="40"/>
      </w:pPr>
      <w:r>
        <w:rPr>
          <w:b/>
        </w:rPr>
        <w:t>Per day and per fit:</w:t>
      </w:r>
      <w:r>
        <w:t xml:space="preserve"> baseline = features · w; media = Σ β·hill(adstock), run over history and plan together, so the plan’s first days still carry the last real ads.</w:t>
      </w:r>
    </w:p>
    <w:p>
      <w:pPr>
        <w:pStyle w:val="ListBullet"/>
        <w:spacing w:after="40"/>
      </w:pPr>
      <w:r>
        <w:t xml:space="preserve">Revenue = baseline + media; net profit = revenue − spend; ROAS = media ÷ spend. Totals, daily / weekly / monthly series and plan years are summed </w:t>
      </w:r>
      <w:r>
        <w:rPr>
          <w:b/>
        </w:rPr>
        <w:t>within each fit first</w:t>
      </w:r>
      <w:r>
        <w:t>, and the percentiles are taken afterwards, so every range is the range of that total.</w:t>
      </w:r>
    </w:p>
    <w:p>
      <w:pPr>
        <w:pStyle w:val="Heading2"/>
      </w:pPr>
      <w:r>
        <w:t>G.4 Every panel and number</w:t>
      </w:r>
    </w:p>
    <w:tbl>
      <w:tblPr>
        <w:tblStyle w:val="TableGrid"/>
        <w:tblW w:type="auto" w:w="0"/>
        <w:jc w:val="center"/>
        <w:tblLook w:firstColumn="1" w:firstRow="1" w:lastColumn="0" w:lastRow="0" w:noHBand="0" w:noVBand="1" w:val="04A0"/>
      </w:tblPr>
      <w:tblGrid>
        <w:gridCol w:w="4819"/>
        <w:gridCol w:w="4819"/>
      </w:tblGrid>
      <w:tr>
        <w:tc>
          <w:tcPr>
            <w:tcW w:type="dxa" w:w="2041"/>
            <w:shd w:val="clear" w:color="auto" w:fill="EAF0F8"/>
          </w:tcPr>
          <w:p>
            <w:r/>
            <w:r>
              <w:rPr>
                <w:b/>
                <w:color w:val="1F3A68"/>
                <w:sz w:val="17"/>
              </w:rPr>
              <w:t>Panel</w:t>
            </w:r>
          </w:p>
        </w:tc>
        <w:tc>
          <w:tcPr>
            <w:tcW w:type="dxa" w:w="7597"/>
            <w:shd w:val="clear" w:color="auto" w:fill="EAF0F8"/>
          </w:tcPr>
          <w:p>
            <w:r/>
            <w:r>
              <w:rPr>
                <w:b/>
                <w:color w:val="1F3A68"/>
                <w:sz w:val="17"/>
              </w:rPr>
              <w:t>Content</w:t>
            </w:r>
          </w:p>
        </w:tc>
      </w:tr>
      <w:tr>
        <w:tc>
          <w:tcPr>
            <w:tcW w:type="dxa" w:w="2041"/>
          </w:tcPr>
          <w:p>
            <w:r/>
            <w:r>
              <w:rPr>
                <w:sz w:val="17"/>
              </w:rPr>
              <w:t>Plan bar</w:t>
            </w:r>
          </w:p>
        </w:tc>
        <w:tc>
          <w:tcPr>
            <w:tcW w:type="dxa" w:w="7597"/>
          </w:tcPr>
          <w:p>
            <w:r/>
            <w:r>
              <w:rPr>
                <w:sz w:val="17"/>
              </w:rPr>
              <w:t>File name, first – last date, days, days with ads, channels; Replace file, Download predictions, Remove</w:t>
            </w:r>
          </w:p>
        </w:tc>
      </w:tr>
      <w:tr>
        <w:tc>
          <w:tcPr>
            <w:tcW w:type="dxa" w:w="2041"/>
          </w:tcPr>
          <w:p>
            <w:r/>
            <w:r>
              <w:rPr>
                <w:sz w:val="17"/>
              </w:rPr>
              <w:t>Notes</w:t>
            </w:r>
          </w:p>
        </w:tc>
        <w:tc>
          <w:tcPr>
            <w:tcW w:type="dxa" w:w="7597"/>
          </w:tcPr>
          <w:p>
            <w:r/>
            <w:r>
              <w:rPr>
                <w:sz w:val="17"/>
              </w:rPr>
              <w:t>Everything assumed or ignored while reading the file</w:t>
            </w:r>
          </w:p>
        </w:tc>
      </w:tr>
      <w:tr>
        <w:tc>
          <w:tcPr>
            <w:tcW w:type="dxa" w:w="2041"/>
          </w:tcPr>
          <w:p>
            <w:r/>
            <w:r>
              <w:rPr>
                <w:sz w:val="17"/>
              </w:rPr>
              <w:t>Forecast KPIs</w:t>
            </w:r>
          </w:p>
        </w:tc>
        <w:tc>
          <w:tcPr>
            <w:tcW w:type="dxa" w:w="7597"/>
          </w:tcPr>
          <w:p>
            <w:r/>
            <w:r>
              <w:rPr>
                <w:sz w:val="17"/>
              </w:rPr>
              <w:t>Revenue, Net profit, Profit %, Ad spend (as planned), ROAS, Media revenue, each with P10 – P90; header with the baseline</w:t>
            </w:r>
          </w:p>
        </w:tc>
      </w:tr>
      <w:tr>
        <w:tc>
          <w:tcPr>
            <w:tcW w:type="dxa" w:w="2041"/>
          </w:tcPr>
          <w:p>
            <w:r/>
            <w:r>
              <w:rPr>
                <w:sz w:val="17"/>
              </w:rPr>
              <w:t>Plan this forecast</w:t>
            </w:r>
          </w:p>
        </w:tc>
        <w:tc>
          <w:tcPr>
            <w:tcW w:type="dxa" w:w="7597"/>
          </w:tcPr>
          <w:p>
            <w:r/>
            <w:r>
              <w:rPr>
                <w:sz w:val="17"/>
              </w:rPr>
              <w:t xml:space="preserve">Opens </w:t>
            </w:r>
            <w:r>
              <w:rPr>
                <w:rFonts w:ascii="Consolas" w:hAnsi="Consolas" w:eastAsia="Consolas"/>
                <w:sz w:val="17"/>
              </w:rPr>
              <w:t>#/mmm/budget?source=forecast</w:t>
            </w:r>
            <w:r>
              <w:rPr>
                <w:sz w:val="17"/>
              </w:rPr>
              <w:t xml:space="preserve"> or </w:t>
            </w:r>
            <w:r>
              <w:rPr>
                <w:rFonts w:ascii="Consolas" w:hAnsi="Consolas" w:eastAsia="Consolas"/>
                <w:sz w:val="17"/>
              </w:rPr>
              <w:t>#/mmm/allocator?source=forecast</w:t>
            </w:r>
            <w:r>
              <w:rPr>
                <w:sz w:val="17"/>
              </w:rPr>
              <w:t xml:space="preserve"> on the plan’s first 13 whole weeks</w:t>
            </w:r>
          </w:p>
        </w:tc>
      </w:tr>
      <w:tr>
        <w:tc>
          <w:tcPr>
            <w:tcW w:type="dxa" w:w="2041"/>
          </w:tcPr>
          <w:p>
            <w:r/>
            <w:r>
              <w:rPr>
                <w:sz w:val="17"/>
              </w:rPr>
              <w:t>Forecast over time</w:t>
            </w:r>
          </w:p>
        </w:tc>
        <w:tc>
          <w:tcPr>
            <w:tcW w:type="dxa" w:w="7597"/>
          </w:tcPr>
          <w:p>
            <w:r/>
            <w:r>
              <w:rPr>
                <w:sz w:val="17"/>
              </w:rPr>
              <w:t>Revenue (with baseline line), net profit, media revenue (lines + P10/P90) or ad spend (bars); daily, weekly or monthly (monthly by default above 400 days)</w:t>
            </w:r>
          </w:p>
        </w:tc>
      </w:tr>
      <w:tr>
        <w:tc>
          <w:tcPr>
            <w:tcW w:type="dxa" w:w="2041"/>
          </w:tcPr>
          <w:p>
            <w:r/>
            <w:r>
              <w:rPr>
                <w:sz w:val="17"/>
              </w:rPr>
              <w:t>Year by year</w:t>
            </w:r>
          </w:p>
        </w:tc>
        <w:tc>
          <w:tcPr>
            <w:tcW w:type="dxa" w:w="7597"/>
          </w:tcPr>
          <w:p>
            <w:r/>
            <w:r>
              <w:rPr>
                <w:sz w:val="17"/>
              </w:rPr>
              <w:t>Twelve-month plan years from the first day: spend, baseline, media, revenue (P10 – P90), net profit, ROAS</w:t>
            </w:r>
          </w:p>
        </w:tc>
      </w:tr>
      <w:tr>
        <w:tc>
          <w:tcPr>
            <w:tcW w:type="dxa" w:w="2041"/>
          </w:tcPr>
          <w:p>
            <w:r/>
            <w:r>
              <w:rPr>
                <w:sz w:val="17"/>
              </w:rPr>
              <w:t>Channels in the plan</w:t>
            </w:r>
          </w:p>
        </w:tc>
        <w:tc>
          <w:tcPr>
            <w:tcW w:type="dxa" w:w="7597"/>
          </w:tcPr>
          <w:p>
            <w:r/>
            <w:r>
              <w:rPr>
                <w:sz w:val="17"/>
              </w:rPr>
              <w:t>Spend, share, days with ads, media revenue (P10 – P90), ROAS</w:t>
            </w:r>
          </w:p>
        </w:tc>
      </w:tr>
      <w:tr>
        <w:tc>
          <w:tcPr>
            <w:tcW w:type="dxa" w:w="2041"/>
          </w:tcPr>
          <w:p>
            <w:r/>
            <w:r>
              <w:rPr>
                <w:sz w:val="17"/>
              </w:rPr>
              <w:t>Download</w:t>
            </w:r>
          </w:p>
        </w:tc>
        <w:tc>
          <w:tcPr>
            <w:tcW w:type="dxa" w:w="7597"/>
          </w:tcPr>
          <w:p>
            <w:r/>
            <w:r>
              <w:rPr>
                <w:sz w:val="17"/>
              </w:rPr>
              <w:t>The plan + Ad_Spend_Total, Predicted_Revenue, Revenue_P10, Revenue_P90, Baseline_Revenue, Media_Revenue, Net_Profit (rupees)</w:t>
            </w:r>
          </w:p>
        </w:tc>
      </w:tr>
    </w:tbl>
    <w:p>
      <w:pPr>
        <w:spacing w:after="0"/>
      </w:pPr>
    </w:p>
    <w:tbl>
      <w:tblPr>
        <w:tblW w:type="auto" w:w="0"/>
        <w:tblLook w:firstColumn="1" w:firstRow="1" w:lastColumn="0" w:lastRow="0" w:noHBand="0" w:noVBand="1" w:val="04A0"/>
      </w:tblPr>
      <w:tblGrid>
        <w:gridCol w:w="9638"/>
      </w:tblGrid>
      <w:tr>
        <w:tc>
          <w:tcPr>
            <w:tcW w:type="dxa" w:w="9638"/>
            <w:shd w:val="clear" w:color="auto" w:fill="EAF0F8"/>
          </w:tcPr>
          <w:p>
            <w:r>
              <w:rPr>
                <w:b/>
                <w:color w:val="1F3A68"/>
              </w:rPr>
              <w:t>Worked example</w:t>
            </w:r>
          </w:p>
          <w:p>
            <w:r>
              <w:t xml:space="preserve">1-year plan: revenue </w:t>
            </w:r>
            <w:r>
              <w:rPr>
                <w:b/>
              </w:rPr>
              <w:t>₹1,577.18 Cr</w:t>
            </w:r>
            <w:r>
              <w:t xml:space="preserve"> (P10 – P90 ₹1,558.49 – 1,602.58 Cr) = baseline ₹1,180.98 Cr + media ₹396.21 Cr; spend ₹217.13 Cr; net profit ₹1,360.05 Cr; ROAS 1.82x.</w:t>
            </w:r>
          </w:p>
          <w:p>
            <w:r>
              <w:t>5-year plan: revenue ₹8,401.78 Cr; yearly revenue rises ₹1,577 → 1,620 → 1,670 → 1,738 → 1,798 Cr with the trend and spend growth, while ROAS falls 1.82x → 1.64x as more spend meets diminishing returns.</w:t>
            </w:r>
          </w:p>
        </w:tc>
      </w:tr>
    </w:tbl>
    <w:p>
      <w:pPr>
        <w:spacing w:after="0"/>
      </w:pPr>
    </w:p>
    <w:p>
      <w:pPr>
        <w:pStyle w:val="Heading2"/>
      </w:pPr>
      <w:r>
        <w:t>G.5 Planning the forecast</w:t>
      </w:r>
    </w:p>
    <w:p>
      <w:r>
        <w:t xml:space="preserve">With </w:t>
      </w:r>
      <w:r>
        <w:rPr>
          <w:rFonts w:ascii="Consolas" w:hAnsi="Consolas" w:eastAsia="Consolas"/>
          <w:sz w:val="19"/>
        </w:rPr>
        <w:t>source=forecast</w:t>
      </w:r>
      <w:r>
        <w:t xml:space="preserve">, the Optimizer and Allocator calendars show only the plan’s weeks after the data, and the default period is the plan’s first 13 whole weeks. The “highest weekly spend seen” warning still uses observed weeks only. Example: the first 13 weeks of the 5-year plan (W41 – W53 2026, ₹48.46 Cr) gain </w:t>
      </w:r>
      <w:r>
        <w:rPr>
          <w:b/>
        </w:rPr>
        <w:t>+₹14.04 Cr</w:t>
      </w:r>
      <w:r>
        <w:t xml:space="preserve"> of net profit at the same budget.</w:t>
      </w:r>
    </w:p>
    <w:tbl>
      <w:tblPr>
        <w:tblW w:type="auto" w:w="0"/>
        <w:tblLook w:firstColumn="1" w:firstRow="1" w:lastColumn="0" w:lastRow="0" w:noHBand="0" w:noVBand="1" w:val="04A0"/>
      </w:tblPr>
      <w:tblGrid>
        <w:gridCol w:w="9638"/>
      </w:tblGrid>
      <w:tr>
        <w:tc>
          <w:tcPr>
            <w:tcW w:type="dxa" w:w="9638"/>
            <w:shd w:val="clear" w:color="auto" w:fill="FFF8E6"/>
          </w:tcPr>
          <w:p>
            <w:r>
              <w:rPr>
                <w:b/>
              </w:rPr>
              <w:t xml:space="preserve">Accuracy check. </w:t>
            </w:r>
            <w:r>
              <w:t xml:space="preserve">Validated in the automated tests on synthetic data whose true formula is known: the forecast total is within </w:t>
            </w:r>
            <w:r>
              <w:rPr>
                <w:b/>
              </w:rPr>
              <w:t>4%</w:t>
            </w:r>
            <w:r>
              <w:t xml:space="preserve"> of the true revenue of the plan.</w:t>
            </w:r>
          </w:p>
        </w:tc>
      </w:tr>
    </w:tbl>
    <w:p>
      <w:pPr>
        <w:spacing w:after="0"/>
      </w:pPr>
    </w:p>
    <w:p>
      <w:r>
        <w:br w:type="page"/>
      </w:r>
    </w:p>
    <w:p>
      <w:pPr>
        <w:pStyle w:val="Heading1"/>
      </w:pPr>
      <w:r>
        <w:t>Part H — Reports, Data Connections and Settings</w:t>
      </w:r>
    </w:p>
    <w:p>
      <w:pPr>
        <w:pStyle w:val="Heading2"/>
      </w:pPr>
      <w:r>
        <w:t>H.1 Reports</w:t>
      </w:r>
    </w:p>
    <w:p>
      <w:r>
        <w:rPr>
          <w:b/>
        </w:rPr>
        <w:t>Export</w:t>
      </w:r>
      <w:r>
        <w:t xml:space="preserve"> on the Insights Hub creates one report document, written as </w:t>
      </w:r>
      <w:r>
        <w:rPr>
          <w:b/>
        </w:rPr>
        <w:t>Excel and PDF</w:t>
      </w:r>
      <w:r>
        <w:t xml:space="preserve"> (module </w:t>
      </w:r>
      <w:r>
        <w:rPr>
          <w:rFonts w:ascii="Consolas" w:hAnsi="Consolas" w:eastAsia="Consolas"/>
          <w:sz w:val="19"/>
        </w:rPr>
        <w:t>mmm-insights</w:t>
      </w:r>
      <w:r>
        <w:t xml:space="preserve">, file </w:t>
      </w:r>
      <w:r>
        <w:rPr>
          <w:rFonts w:ascii="Consolas" w:hAnsi="Consolas" w:eastAsia="Consolas"/>
          <w:sz w:val="19"/>
        </w:rPr>
        <w:t>MMM_Insights_Hub_&lt;year | All_years | Custom_range&gt;</w:t>
      </w:r>
      <w:r>
        <w:t>). It is built from the same hub payload, so nothing is recomputed and the report always matches the screen.</w:t>
      </w:r>
    </w:p>
    <w:tbl>
      <w:tblPr>
        <w:tblStyle w:val="TableGrid"/>
        <w:tblW w:type="auto" w:w="0"/>
        <w:jc w:val="center"/>
        <w:tblLook w:firstColumn="1" w:firstRow="1" w:lastColumn="0" w:lastRow="0" w:noHBand="0" w:noVBand="1" w:val="04A0"/>
      </w:tblPr>
      <w:tblGrid>
        <w:gridCol w:w="4819"/>
        <w:gridCol w:w="4819"/>
      </w:tblGrid>
      <w:tr>
        <w:tc>
          <w:tcPr>
            <w:tcW w:type="dxa" w:w="2381"/>
            <w:shd w:val="clear" w:color="auto" w:fill="EAF0F8"/>
          </w:tcPr>
          <w:p>
            <w:r/>
            <w:r>
              <w:rPr>
                <w:b/>
                <w:color w:val="1F3A68"/>
                <w:sz w:val="18"/>
              </w:rPr>
              <w:t>Section</w:t>
            </w:r>
          </w:p>
        </w:tc>
        <w:tc>
          <w:tcPr>
            <w:tcW w:type="dxa" w:w="7257"/>
            <w:shd w:val="clear" w:color="auto" w:fill="EAF0F8"/>
          </w:tcPr>
          <w:p>
            <w:r/>
            <w:r>
              <w:rPr>
                <w:b/>
                <w:color w:val="1F3A68"/>
                <w:sz w:val="18"/>
              </w:rPr>
              <w:t>Content</w:t>
            </w:r>
          </w:p>
        </w:tc>
      </w:tr>
      <w:tr>
        <w:tc>
          <w:tcPr>
            <w:tcW w:type="dxa" w:w="2381"/>
          </w:tcPr>
          <w:p>
            <w:r/>
            <w:r>
              <w:rPr>
                <w:sz w:val="18"/>
              </w:rPr>
              <w:t>Headline figures</w:t>
            </w:r>
          </w:p>
        </w:tc>
        <w:tc>
          <w:tcPr>
            <w:tcW w:type="dxa" w:w="7257"/>
          </w:tcPr>
          <w:p>
            <w:r/>
            <w:r>
              <w:rPr>
                <w:sz w:val="18"/>
              </w:rPr>
              <w:t>All 9 KPIs: value, previous value, change, “vs …”</w:t>
            </w:r>
          </w:p>
        </w:tc>
      </w:tr>
      <w:tr>
        <w:tc>
          <w:tcPr>
            <w:tcW w:type="dxa" w:w="2381"/>
          </w:tcPr>
          <w:p>
            <w:r/>
            <w:r>
              <w:rPr>
                <w:sz w:val="18"/>
              </w:rPr>
              <w:t>Scope</w:t>
            </w:r>
          </w:p>
        </w:tc>
        <w:tc>
          <w:tcPr>
            <w:tcW w:type="dxa" w:w="7257"/>
          </w:tcPr>
          <w:p>
            <w:r/>
            <w:r>
              <w:rPr>
                <w:sz w:val="18"/>
              </w:rPr>
              <w:t>Period, days, media channels n of N, comparison</w:t>
            </w:r>
          </w:p>
        </w:tc>
      </w:tr>
      <w:tr>
        <w:tc>
          <w:tcPr>
            <w:tcW w:type="dxa" w:w="2381"/>
          </w:tcPr>
          <w:p>
            <w:r/>
            <w:r>
              <w:rPr>
                <w:sz w:val="18"/>
              </w:rPr>
              <w:t>Baseline</w:t>
            </w:r>
          </w:p>
        </w:tc>
        <w:tc>
          <w:tcPr>
            <w:tcW w:type="dxa" w:w="7257"/>
          </w:tcPr>
          <w:p>
            <w:r/>
            <w:r>
              <w:rPr>
                <w:sz w:val="18"/>
              </w:rPr>
              <w:t>X, Y, Z = X − Y, R, baseline per day = R − Z, baseline revenue, window (and whether widened)</w:t>
            </w:r>
          </w:p>
        </w:tc>
      </w:tr>
      <w:tr>
        <w:tc>
          <w:tcPr>
            <w:tcW w:type="dxa" w:w="2381"/>
          </w:tcPr>
          <w:p>
            <w:r/>
            <w:r>
              <w:rPr>
                <w:sz w:val="18"/>
              </w:rPr>
              <w:t>Media spend by channel</w:t>
            </w:r>
          </w:p>
        </w:tc>
        <w:tc>
          <w:tcPr>
            <w:tcW w:type="dxa" w:w="7257"/>
          </w:tcPr>
          <w:p>
            <w:r/>
            <w:r>
              <w:rPr>
                <w:sz w:val="18"/>
              </w:rPr>
              <w:t>Channel, family, spend, share, days on air, average spend per day on air</w:t>
            </w:r>
          </w:p>
        </w:tc>
      </w:tr>
      <w:tr>
        <w:tc>
          <w:tcPr>
            <w:tcW w:type="dxa" w:w="2381"/>
          </w:tcPr>
          <w:p>
            <w:r/>
            <w:r>
              <w:rPr>
                <w:sz w:val="18"/>
              </w:rPr>
              <w:t>Monthly trend</w:t>
            </w:r>
          </w:p>
        </w:tc>
        <w:tc>
          <w:tcPr>
            <w:tcW w:type="dxa" w:w="7257"/>
          </w:tcPr>
          <w:p>
            <w:r/>
            <w:r>
              <w:rPr>
                <w:sz w:val="18"/>
              </w:rPr>
              <w:t>Period, revenue, ad spend, baseline revenue, ROAS</w:t>
            </w:r>
          </w:p>
        </w:tc>
      </w:tr>
      <w:tr>
        <w:tc>
          <w:tcPr>
            <w:tcW w:type="dxa" w:w="2381"/>
          </w:tcPr>
          <w:p>
            <w:r/>
            <w:r>
              <w:rPr>
                <w:sz w:val="18"/>
              </w:rPr>
              <w:t>Promotions</w:t>
            </w:r>
          </w:p>
        </w:tc>
        <w:tc>
          <w:tcPr>
            <w:tcW w:type="dxa" w:w="7257"/>
          </w:tcPr>
          <w:p>
            <w:r/>
            <w:r>
              <w:rPr>
                <w:sz w:val="18"/>
              </w:rPr>
              <w:t>Type, days, share of days, revenue, average daily revenue</w:t>
            </w:r>
          </w:p>
        </w:tc>
      </w:tr>
      <w:tr>
        <w:tc>
          <w:tcPr>
            <w:tcW w:type="dxa" w:w="2381"/>
          </w:tcPr>
          <w:p>
            <w:r/>
            <w:r>
              <w:rPr>
                <w:sz w:val="18"/>
              </w:rPr>
              <w:t>Days with and without events</w:t>
            </w:r>
          </w:p>
        </w:tc>
        <w:tc>
          <w:tcPr>
            <w:tcW w:type="dxa" w:w="7257"/>
          </w:tcPr>
          <w:p>
            <w:r/>
            <w:r>
              <w:rPr>
                <w:sz w:val="18"/>
              </w:rPr>
              <w:t>Event, days with and without, average revenue with and without, difference</w:t>
            </w:r>
          </w:p>
        </w:tc>
      </w:tr>
    </w:tbl>
    <w:p>
      <w:pPr>
        <w:spacing w:after="0"/>
      </w:pPr>
    </w:p>
    <w:p>
      <w:pPr>
        <w:pStyle w:val="Heading2"/>
      </w:pPr>
      <w:r>
        <w:t>H.2 Data Connections</w:t>
      </w:r>
    </w:p>
    <w:p>
      <w:r>
        <w:t>Upload, replace, view (the first 100 rows) or remove the dataset; rules as in A.1. Excel files are checked with a header-only preflight on the server; CSV headers are checked in the browser before upload. All problems are reported together, with row numbers (up to five per kind).</w:t>
      </w:r>
    </w:p>
    <w:p>
      <w:pPr>
        <w:pStyle w:val="Heading2"/>
      </w:pPr>
      <w:r>
        <w:t>H.3 Settings</w:t>
      </w:r>
    </w:p>
    <w:p>
      <w:r>
        <w:t>The MMM dataset card (loaded or not, source file, period, days, channels, size, storage folder) plus the shared profile and preferences. TPO’s period and channel preferences are hidden here.</w:t>
      </w:r>
    </w:p>
    <w:p>
      <w:r>
        <w:br w:type="page"/>
      </w:r>
    </w:p>
    <w:p>
      <w:pPr>
        <w:pStyle w:val="Heading1"/>
      </w:pPr>
      <w:r>
        <w:t>Part I — Investigation agents (TPO)</w:t>
      </w:r>
    </w:p>
    <w:p>
      <w:r>
        <w:t xml:space="preserve">Code: </w:t>
      </w:r>
      <w:r>
        <w:rPr>
          <w:rFonts w:ascii="Consolas" w:hAnsi="Consolas" w:eastAsia="Consolas"/>
          <w:sz w:val="19"/>
        </w:rPr>
        <w:t>backend/app/agents/</w:t>
      </w:r>
      <w:r>
        <w:t xml:space="preserve"> (roster, star_pipeline, star_tools, pipeline, confidence, figures, client), </w:t>
      </w:r>
      <w:r>
        <w:rPr>
          <w:rFonts w:ascii="Consolas" w:hAnsi="Consolas" w:eastAsia="Consolas"/>
          <w:sz w:val="19"/>
        </w:rPr>
        <w:t>backend/app/routers/investigations.py</w:t>
      </w:r>
      <w:r>
        <w:t xml:space="preserve">, </w:t>
      </w:r>
      <w:r>
        <w:rPr>
          <w:rFonts w:ascii="Consolas" w:hAnsi="Consolas" w:eastAsia="Consolas"/>
          <w:sz w:val="19"/>
        </w:rPr>
        <w:t>frontend/src/pages/Investigations.tsx</w:t>
      </w:r>
      <w:r>
        <w:t>.</w:t>
      </w:r>
    </w:p>
    <w:p>
      <w:pPr>
        <w:pStyle w:val="Heading2"/>
      </w:pPr>
      <w:r>
        <w:t>I.1 Promotion economics the agents use</w:t>
      </w:r>
    </w:p>
    <w:tbl>
      <w:tblPr>
        <w:tblW w:type="auto" w:w="0"/>
        <w:jc w:val="center"/>
        <w:tblLook w:firstColumn="1" w:firstRow="1" w:lastColumn="0" w:lastRow="0" w:noHBand="0" w:noVBand="1" w:val="04A0"/>
      </w:tblPr>
      <w:tblGrid>
        <w:gridCol w:w="9638"/>
      </w:tblGrid>
      <w:tr>
        <w:tc>
          <w:tcPr>
            <w:tcW w:type="dxa" w:w="9638"/>
            <w:shd w:val="clear" w:color="auto" w:fill="F3F4F6"/>
          </w:tcPr>
          <w:p>
            <w:pPr>
              <w:spacing w:after="0"/>
            </w:pPr>
            <w:r/>
            <w:r>
              <w:rPr>
                <w:rFonts w:ascii="Consolas" w:hAnsi="Consolas" w:eastAsia="Consolas"/>
                <w:sz w:val="19"/>
              </w:rPr>
              <w:t>ROI          = incremental sales ÷ trade spend       (a multiple; 1.00 = break-even)</w:t>
            </w:r>
          </w:p>
          <w:p>
            <w:pPr>
              <w:spacing w:after="0"/>
            </w:pPr>
            <w:r>
              <w:rPr>
                <w:rFonts w:ascii="Consolas" w:hAnsi="Consolas" w:eastAsia="Consolas"/>
                <w:sz w:val="19"/>
              </w:rPr>
              <w:t>Target ROI   = 1.50</w:t>
            </w:r>
          </w:p>
          <w:p>
            <w:pPr>
              <w:spacing w:after="0"/>
            </w:pPr>
            <w:r>
              <w:rPr>
                <w:rFonts w:ascii="Consolas" w:hAnsi="Consolas" w:eastAsia="Consolas"/>
                <w:sz w:val="19"/>
              </w:rPr>
              <w:t>Severity     Critical: ROI ≤ 1.00 · High: 1.00 – 1.25 · Medium: 1.25 – 1.50</w:t>
            </w:r>
          </w:p>
          <w:p>
            <w:pPr>
              <w:spacing w:after="0"/>
            </w:pPr>
            <w:r>
              <w:rPr>
                <w:rFonts w:ascii="Consolas" w:hAnsi="Consolas" w:eastAsia="Consolas"/>
                <w:sz w:val="19"/>
              </w:rPr>
              <w:t>At stake     = max(trade spend × 1.50 − incremental sales, 0)</w:t>
            </w:r>
          </w:p>
          <w:p>
            <w:pPr>
              <w:spacing w:after="0"/>
            </w:pPr>
            <w:r>
              <w:rPr>
                <w:rFonts w:ascii="Consolas" w:hAnsi="Consolas" w:eastAsia="Consolas"/>
                <w:sz w:val="19"/>
              </w:rPr>
              <w:t>Event rank   = at stake ↓, then trade spend ↓, then ROI ↑</w:t>
            </w:r>
          </w:p>
        </w:tc>
      </w:tr>
    </w:tbl>
    <w:p>
      <w:pPr>
        <w:spacing w:after="0"/>
      </w:pPr>
    </w:p>
    <w:p>
      <w:r>
        <w:rPr>
          <w:b/>
        </w:rPr>
        <w:t>Primary cause of a weak event</w:t>
      </w:r>
      <w:r>
        <w:t xml:space="preserve"> (first rule that matches): incremental sales ≤ 0 → “No measurable uplift over baseline”; brand-form cannibalization &gt; 25% → “High cannibalization within the Brand Form”; ROI &lt; 1 → “Trade spend exceeds the revenue it returned”; otherwise “Uplift below the level the spend requires”.</w:t>
      </w:r>
    </w:p>
    <w:p>
      <w:pPr>
        <w:pStyle w:val="Heading2"/>
      </w:pPr>
      <w:r>
        <w:t>I.2 The four agents in detail</w:t>
      </w:r>
    </w:p>
    <w:tbl>
      <w:tblPr>
        <w:tblStyle w:val="TableGrid"/>
        <w:tblW w:type="auto" w:w="0"/>
        <w:jc w:val="center"/>
        <w:tblLook w:firstColumn="1" w:firstRow="1" w:lastColumn="0" w:lastRow="0" w:noHBand="0" w:noVBand="1" w:val="04A0"/>
      </w:tblPr>
      <w:tblGrid>
        <w:gridCol w:w="3213"/>
        <w:gridCol w:w="3213"/>
        <w:gridCol w:w="3213"/>
      </w:tblGrid>
      <w:tr>
        <w:tc>
          <w:tcPr>
            <w:tcW w:type="dxa" w:w="1587"/>
            <w:shd w:val="clear" w:color="auto" w:fill="EAF0F8"/>
          </w:tcPr>
          <w:p>
            <w:r/>
            <w:r>
              <w:rPr>
                <w:b/>
                <w:color w:val="1F3A68"/>
                <w:sz w:val="17"/>
              </w:rPr>
              <w:t>Agent</w:t>
            </w:r>
          </w:p>
        </w:tc>
        <w:tc>
          <w:tcPr>
            <w:tcW w:type="dxa" w:w="4195"/>
            <w:shd w:val="clear" w:color="auto" w:fill="EAF0F8"/>
          </w:tcPr>
          <w:p>
            <w:r/>
            <w:r>
              <w:rPr>
                <w:b/>
                <w:color w:val="1F3A68"/>
                <w:sz w:val="17"/>
              </w:rPr>
              <w:t>Data fetched (all from the TPO KPI engine)</w:t>
            </w:r>
          </w:p>
        </w:tc>
        <w:tc>
          <w:tcPr>
            <w:tcW w:type="dxa" w:w="3855"/>
            <w:shd w:val="clear" w:color="auto" w:fill="EAF0F8"/>
          </w:tcPr>
          <w:p>
            <w:r/>
            <w:r>
              <w:rPr>
                <w:b/>
                <w:color w:val="1F3A68"/>
                <w:sz w:val="17"/>
              </w:rPr>
              <w:t>Instruction (focus)</w:t>
            </w:r>
          </w:p>
        </w:tc>
      </w:tr>
      <w:tr>
        <w:tc>
          <w:tcPr>
            <w:tcW w:type="dxa" w:w="1587"/>
          </w:tcPr>
          <w:p>
            <w:r/>
            <w:r>
              <w:rPr>
                <w:sz w:val="17"/>
              </w:rPr>
              <w:t>Performance</w:t>
            </w:r>
          </w:p>
        </w:tc>
        <w:tc>
          <w:tcPr>
            <w:tcW w:type="dxa" w:w="4195"/>
          </w:tcPr>
          <w:p>
            <w:r/>
            <w:r>
              <w:rPr>
                <w:sz w:val="17"/>
              </w:rPr>
              <w:t>Segment vs whole-business KPIs; ROI by channel and region (whole business); monthly trend of ROI, incremental sales, trade spend and target</w:t>
            </w:r>
          </w:p>
        </w:tc>
        <w:tc>
          <w:tcPr>
            <w:tcW w:type="dxa" w:w="3855"/>
          </w:tcPr>
          <w:p>
            <w:r/>
            <w:r>
              <w:rPr>
                <w:b/>
                <w:sz w:val="17"/>
              </w:rPr>
              <w:t>Calibration</w:t>
            </w:r>
            <w:r>
              <w:rPr>
                <w:sz w:val="17"/>
              </w:rPr>
              <w:t>: is the segment abnormal or merely average, by how much, and which month carried or dragged it. “Nothing unusual” is a valid finding.</w:t>
            </w:r>
          </w:p>
        </w:tc>
      </w:tr>
      <w:tr>
        <w:tc>
          <w:tcPr>
            <w:tcW w:type="dxa" w:w="1587"/>
          </w:tcPr>
          <w:p>
            <w:r/>
            <w:r>
              <w:rPr>
                <w:sz w:val="17"/>
              </w:rPr>
              <w:t>Promotion Design</w:t>
            </w:r>
          </w:p>
        </w:tc>
        <w:tc>
          <w:tcPr>
            <w:tcW w:type="dxa" w:w="4195"/>
          </w:tcPr>
          <w:p>
            <w:r/>
            <w:r>
              <w:rPr>
                <w:sz w:val="17"/>
              </w:rPr>
              <w:t>Mechanic ROI in the segment and across the business (with share of spend); spend mix by offer (discount + promotion cost); events by severity; 6 worst events by money at stake; 6 weakest events with their primary cause</w:t>
            </w:r>
          </w:p>
        </w:tc>
        <w:tc>
          <w:tcPr>
            <w:tcW w:type="dxa" w:w="3855"/>
          </w:tcPr>
          <w:p>
            <w:r/>
            <w:r>
              <w:rPr>
                <w:sz w:val="17"/>
              </w:rPr>
              <w:t>Compare each mechanic here vs everywhere (fails everywhere = design; fails only here = execution); always give its share of spend; name the worst events</w:t>
            </w:r>
          </w:p>
        </w:tc>
      </w:tr>
      <w:tr>
        <w:tc>
          <w:tcPr>
            <w:tcW w:type="dxa" w:w="1587"/>
          </w:tcPr>
          <w:p>
            <w:r/>
            <w:r>
              <w:rPr>
                <w:sz w:val="17"/>
              </w:rPr>
              <w:t>Market &amp; Portfolio</w:t>
            </w:r>
          </w:p>
        </w:tc>
        <w:tc>
          <w:tcPr>
            <w:tcW w:type="dxa" w:w="4195"/>
          </w:tcPr>
          <w:p>
            <w:r/>
            <w:r>
              <w:rPr>
                <w:sz w:val="17"/>
              </w:rPr>
              <w:t>ROI by region, state, retailer, category and brand inside the segment</w:t>
            </w:r>
          </w:p>
        </w:tc>
        <w:tc>
          <w:tcPr>
            <w:tcW w:type="dxa" w:w="3855"/>
          </w:tcPr>
          <w:p>
            <w:r/>
            <w:r>
              <w:rPr>
                <w:b/>
                <w:sz w:val="17"/>
              </w:rPr>
              <w:t>Localisation</w:t>
            </w:r>
            <w:r>
              <w:rPr>
                <w:sz w:val="17"/>
              </w:rPr>
              <w:t>: the smallest place that explains it, or that performance is even everywhere</w:t>
            </w:r>
          </w:p>
        </w:tc>
      </w:tr>
      <w:tr>
        <w:tc>
          <w:tcPr>
            <w:tcW w:type="dxa" w:w="1587"/>
          </w:tcPr>
          <w:p>
            <w:r/>
            <w:r>
              <w:rPr>
                <w:sz w:val="17"/>
              </w:rPr>
              <w:t>Cannibalization</w:t>
            </w:r>
          </w:p>
        </w:tc>
        <w:tc>
          <w:tcPr>
            <w:tcW w:type="dxa" w:w="4195"/>
          </w:tcPr>
          <w:p>
            <w:r/>
            <w:r>
              <w:rPr>
                <w:sz w:val="17"/>
              </w:rPr>
              <w:t>Neighbour analysis (below); segment cannibalization rate; incremental units by brand and category</w:t>
            </w:r>
          </w:p>
        </w:tc>
        <w:tc>
          <w:tcPr>
            <w:tcW w:type="dxa" w:w="3855"/>
          </w:tcPr>
          <w:p>
            <w:r/>
            <w:r>
              <w:rPr>
                <w:sz w:val="17"/>
              </w:rPr>
              <w:t xml:space="preserve">Lead with the neighbours’ change; a negative change is </w:t>
            </w:r>
            <w:r>
              <w:rPr>
                <w:b/>
                <w:sz w:val="17"/>
              </w:rPr>
              <w:t>potential</w:t>
            </w:r>
            <w:r>
              <w:rPr>
                <w:sz w:val="17"/>
              </w:rPr>
              <w:t xml:space="preserve"> cannibalization; never claim causation</w:t>
            </w:r>
          </w:p>
        </w:tc>
      </w:tr>
    </w:tbl>
    <w:p>
      <w:pPr>
        <w:spacing w:after="0"/>
      </w:pPr>
    </w:p>
    <w:p>
      <w:r>
        <w:rPr>
          <w:b/>
        </w:rPr>
        <w:t>Neighbour (cannibalization) algorithm.</w:t>
      </w:r>
      <w:r>
        <w:t xml:space="preserve"> (1) In the scope, find the promoted products and their promotion weeks per brand form. (2) Widen the scope to the whole brand form, dropping the promotion and week filters. (3) For every other product of the same brand form: baseline per week = mean units (and sales) over weeks when it was not promoted and the promotion was not running; expected = baseline × promotion weeks; actual = Σ during the promotion weeks.</w:t>
      </w:r>
    </w:p>
    <w:tbl>
      <w:tblPr>
        <w:tblW w:type="auto" w:w="0"/>
        <w:jc w:val="center"/>
        <w:tblLook w:firstColumn="1" w:firstRow="1" w:lastColumn="0" w:lastRow="0" w:noHBand="0" w:noVBand="1" w:val="04A0"/>
      </w:tblPr>
      <w:tblGrid>
        <w:gridCol w:w="9638"/>
      </w:tblGrid>
      <w:tr>
        <w:tc>
          <w:tcPr>
            <w:tcW w:type="dxa" w:w="9638"/>
            <w:shd w:val="clear" w:color="auto" w:fill="F3F4F6"/>
          </w:tcPr>
          <w:p>
            <w:pPr>
              <w:spacing w:after="0"/>
            </w:pPr>
            <w:r/>
            <w:r>
              <w:rPr>
                <w:rFonts w:ascii="Consolas" w:hAnsi="Consolas" w:eastAsia="Consolas"/>
                <w:sz w:val="19"/>
              </w:rPr>
              <w:t>units_change_pct = (actual − expected) ÷ expected × 100      (also for sales; aggregated per brand form and overall)</w:t>
            </w:r>
          </w:p>
        </w:tc>
      </w:tr>
    </w:tbl>
    <w:p>
      <w:pPr>
        <w:spacing w:after="0"/>
      </w:pPr>
    </w:p>
    <w:p>
      <w:r>
        <w:t>If no ordinary weeks exist, the result is reported as not computable, with the reason.</w:t>
      </w:r>
    </w:p>
    <w:p>
      <w:pPr>
        <w:pStyle w:val="Heading2"/>
      </w:pPr>
      <w:r>
        <w:t>I.3 The pipeline</w:t>
      </w:r>
    </w:p>
    <w:tbl>
      <w:tblPr>
        <w:tblStyle w:val="TableGrid"/>
        <w:tblW w:type="auto" w:w="0"/>
        <w:jc w:val="center"/>
        <w:tblLook w:firstColumn="1" w:firstRow="1" w:lastColumn="0" w:lastRow="0" w:noHBand="0" w:noVBand="1" w:val="04A0"/>
      </w:tblPr>
      <w:tblGrid>
        <w:gridCol w:w="3213"/>
        <w:gridCol w:w="3213"/>
        <w:gridCol w:w="3213"/>
      </w:tblGrid>
      <w:tr>
        <w:tc>
          <w:tcPr>
            <w:tcW w:type="dxa" w:w="1247"/>
            <w:shd w:val="clear" w:color="auto" w:fill="EAF0F8"/>
          </w:tcPr>
          <w:p>
            <w:r/>
            <w:r>
              <w:rPr>
                <w:b/>
                <w:color w:val="1F3A68"/>
                <w:sz w:val="17"/>
              </w:rPr>
              <w:t>Step</w:t>
            </w:r>
          </w:p>
        </w:tc>
        <w:tc>
          <w:tcPr>
            <w:tcW w:type="dxa" w:w="6406"/>
            <w:shd w:val="clear" w:color="auto" w:fill="EAF0F8"/>
          </w:tcPr>
          <w:p>
            <w:r/>
            <w:r>
              <w:rPr>
                <w:b/>
                <w:color w:val="1F3A68"/>
                <w:sz w:val="17"/>
              </w:rPr>
              <w:t>What happens</w:t>
            </w:r>
          </w:p>
        </w:tc>
        <w:tc>
          <w:tcPr>
            <w:tcW w:type="dxa" w:w="1984"/>
            <w:shd w:val="clear" w:color="auto" w:fill="EAF0F8"/>
          </w:tcPr>
          <w:p>
            <w:r/>
            <w:r>
              <w:rPr>
                <w:b/>
                <w:color w:val="1F3A68"/>
                <w:sz w:val="17"/>
              </w:rPr>
              <w:t>AI?</w:t>
            </w:r>
          </w:p>
        </w:tc>
      </w:tr>
      <w:tr>
        <w:tc>
          <w:tcPr>
            <w:tcW w:type="dxa" w:w="1247"/>
          </w:tcPr>
          <w:p>
            <w:r/>
            <w:r>
              <w:rPr>
                <w:sz w:val="17"/>
              </w:rPr>
              <w:t>0</w:t>
            </w:r>
          </w:p>
        </w:tc>
        <w:tc>
          <w:tcPr>
            <w:tcW w:type="dxa" w:w="6406"/>
          </w:tcPr>
          <w:p>
            <w:r/>
            <w:r>
              <w:rPr>
                <w:sz w:val="17"/>
              </w:rPr>
              <w:t>Schema summary and whole-business KPIs, in parallel</w:t>
            </w:r>
          </w:p>
        </w:tc>
        <w:tc>
          <w:tcPr>
            <w:tcW w:type="dxa" w:w="1984"/>
          </w:tcPr>
          <w:p>
            <w:r/>
            <w:r>
              <w:rPr>
                <w:sz w:val="17"/>
              </w:rPr>
              <w:t>No</w:t>
            </w:r>
          </w:p>
        </w:tc>
      </w:tr>
      <w:tr>
        <w:tc>
          <w:tcPr>
            <w:tcW w:type="dxa" w:w="1247"/>
          </w:tcPr>
          <w:p>
            <w:r/>
            <w:r>
              <w:rPr>
                <w:sz w:val="17"/>
              </w:rPr>
              <w:t>1 Plan</w:t>
            </w:r>
          </w:p>
        </w:tc>
        <w:tc>
          <w:tcPr>
            <w:tcW w:type="dxa" w:w="6406"/>
          </w:tcPr>
          <w:p>
            <w:r/>
            <w:r>
              <w:rPr>
                <w:sz w:val="17"/>
              </w:rPr>
              <w:t>Answerable? Scope filters (year, month, week, channel, region, state, city, retailer, category, brand, promotion type, promotion, product), investigation type, focus label, one brief per agent. Refuses off-topic questions; stops if no rows match</w:t>
            </w:r>
          </w:p>
        </w:tc>
        <w:tc>
          <w:tcPr>
            <w:tcW w:type="dxa" w:w="1984"/>
          </w:tcPr>
          <w:p>
            <w:r/>
            <w:r>
              <w:rPr>
                <w:sz w:val="17"/>
              </w:rPr>
              <w:t>1 call, temperature 0.1</w:t>
            </w:r>
          </w:p>
        </w:tc>
      </w:tr>
      <w:tr>
        <w:tc>
          <w:tcPr>
            <w:tcW w:type="dxa" w:w="1247"/>
          </w:tcPr>
          <w:p>
            <w:r/>
            <w:r>
              <w:rPr>
                <w:sz w:val="17"/>
              </w:rPr>
              <w:t>2 Agents</w:t>
            </w:r>
          </w:p>
        </w:tc>
        <w:tc>
          <w:tcPr>
            <w:tcW w:type="dxa" w:w="6406"/>
          </w:tcPr>
          <w:p>
            <w:r/>
            <w:r>
              <w:rPr>
                <w:sz w:val="17"/>
              </w:rPr>
              <w:t>4 in parallel (≈ 6.3 s vs 12 s serial); each fetch off the event loop; data memoised</w:t>
            </w:r>
          </w:p>
        </w:tc>
        <w:tc>
          <w:tcPr>
            <w:tcW w:type="dxa" w:w="1984"/>
          </w:tcPr>
          <w:p>
            <w:r/>
            <w:r>
              <w:rPr>
                <w:sz w:val="17"/>
              </w:rPr>
              <w:t>4 calls, temperature 0.2</w:t>
            </w:r>
          </w:p>
        </w:tc>
      </w:tr>
      <w:tr>
        <w:tc>
          <w:tcPr>
            <w:tcW w:type="dxa" w:w="1247"/>
          </w:tcPr>
          <w:p>
            <w:r/>
            <w:r>
              <w:rPr>
                <w:sz w:val="17"/>
              </w:rPr>
              <w:t>3 Check &amp; score</w:t>
            </w:r>
          </w:p>
        </w:tc>
        <w:tc>
          <w:tcPr>
            <w:tcW w:type="dxa" w:w="6406"/>
          </w:tcPr>
          <w:p>
            <w:r/>
            <w:r>
              <w:rPr>
                <w:sz w:val="17"/>
              </w:rPr>
              <w:t>Number tracing, delta arithmetic, confidence, contribution</w:t>
            </w:r>
          </w:p>
        </w:tc>
        <w:tc>
          <w:tcPr>
            <w:tcW w:type="dxa" w:w="1984"/>
          </w:tcPr>
          <w:p>
            <w:r/>
            <w:r>
              <w:rPr>
                <w:sz w:val="17"/>
              </w:rPr>
              <w:t>No</w:t>
            </w:r>
          </w:p>
        </w:tc>
      </w:tr>
      <w:tr>
        <w:tc>
          <w:tcPr>
            <w:tcW w:type="dxa" w:w="1247"/>
          </w:tcPr>
          <w:p>
            <w:r/>
            <w:r>
              <w:rPr>
                <w:sz w:val="17"/>
              </w:rPr>
              <w:t>4 Synthesis</w:t>
            </w:r>
          </w:p>
        </w:tc>
        <w:tc>
          <w:tcPr>
            <w:tcW w:type="dxa" w:w="6406"/>
          </w:tcPr>
          <w:p>
            <w:r/>
            <w:r>
              <w:rPr>
                <w:sz w:val="17"/>
              </w:rPr>
              <w:t>One root cause (12–20 words) and one specific recommendation per agent; 3–4 sentence summary</w:t>
            </w:r>
          </w:p>
        </w:tc>
        <w:tc>
          <w:tcPr>
            <w:tcW w:type="dxa" w:w="1984"/>
          </w:tcPr>
          <w:p>
            <w:r/>
            <w:r>
              <w:rPr>
                <w:sz w:val="17"/>
              </w:rPr>
              <w:t>1 call, temperature 0.3</w:t>
            </w:r>
          </w:p>
        </w:tc>
      </w:tr>
      <w:tr>
        <w:tc>
          <w:tcPr>
            <w:tcW w:type="dxa" w:w="1247"/>
          </w:tcPr>
          <w:p>
            <w:r/>
            <w:r>
              <w:rPr>
                <w:sz w:val="17"/>
              </w:rPr>
              <w:t>5 Assemble</w:t>
            </w:r>
          </w:p>
        </w:tc>
        <w:tc>
          <w:tcPr>
            <w:tcW w:type="dxa" w:w="6406"/>
          </w:tcPr>
          <w:p>
            <w:r/>
            <w:r>
              <w:rPr>
                <w:sz w:val="17"/>
              </w:rPr>
              <w:t>Scope chips, agent board, progress (rows in scope)</w:t>
            </w:r>
          </w:p>
        </w:tc>
        <w:tc>
          <w:tcPr>
            <w:tcW w:type="dxa" w:w="1984"/>
          </w:tcPr>
          <w:p>
            <w:r/>
            <w:r>
              <w:rPr>
                <w:sz w:val="17"/>
              </w:rPr>
              <w:t>No</w:t>
            </w:r>
          </w:p>
        </w:tc>
      </w:tr>
    </w:tbl>
    <w:p>
      <w:pPr>
        <w:spacing w:after="0"/>
      </w:pPr>
    </w:p>
    <w:p>
      <w:pPr>
        <w:pStyle w:val="Heading2"/>
      </w:pPr>
      <w:r>
        <w:t>I.4 Guarding the numbers</w:t>
      </w:r>
    </w:p>
    <w:p>
      <w:pPr>
        <w:pStyle w:val="ListBullet"/>
        <w:spacing w:after="40"/>
      </w:pPr>
      <w:r>
        <w:t>Agents must return strict JSON (a headline of 15–25 words, a body, evidence, a metric, a delta basis, an impact and 2–4 chart bars). They are told: never invent figures, do no arithmetic, ROI to two decimals, ₹ not $, groups are a ranking not a composition.</w:t>
      </w:r>
    </w:p>
    <w:p>
      <w:pPr>
        <w:pStyle w:val="ListBullet"/>
        <w:spacing w:after="40"/>
      </w:pPr>
      <w:r>
        <w:rPr>
          <w:b/>
        </w:rPr>
        <w:t>Deltas are computed by Python</w:t>
      </w:r>
      <w:r>
        <w:t>, never by the model: relative change (value − compared) ÷ |compared| × 100 → “+x.x%”; a multiple gap → “+0.00”; otherwise percentage points → “+x.x pp”. Both operands must be traceable to the agent’s own data (within 0.05 absolute or 0.01% relative).</w:t>
      </w:r>
    </w:p>
    <w:p>
      <w:pPr>
        <w:pStyle w:val="ListBullet"/>
        <w:spacing w:after="40"/>
      </w:pPr>
      <w:r>
        <w:t>Chart bars that cannot be traced are removed. Numbers in the text are checked (0.5% tolerance; ×1, ×100, thousand, lakh and crore scales allowed) and untraceable ones are flagged.</w:t>
      </w:r>
    </w:p>
    <w:p>
      <w:pPr>
        <w:pStyle w:val="Heading2"/>
      </w:pPr>
      <w:r>
        <w:t>I.5 Confidence and contribution</w:t>
      </w:r>
    </w:p>
    <w:tbl>
      <w:tblPr>
        <w:tblW w:type="auto" w:w="0"/>
        <w:jc w:val="center"/>
        <w:tblLook w:firstColumn="1" w:firstRow="1" w:lastColumn="0" w:lastRow="0" w:noHBand="0" w:noVBand="1" w:val="04A0"/>
      </w:tblPr>
      <w:tblGrid>
        <w:gridCol w:w="9638"/>
      </w:tblGrid>
      <w:tr>
        <w:tc>
          <w:tcPr>
            <w:tcW w:type="dxa" w:w="9638"/>
            <w:shd w:val="clear" w:color="auto" w:fill="F3F4F6"/>
          </w:tcPr>
          <w:p>
            <w:pPr>
              <w:spacing w:after="0"/>
            </w:pPr>
            <w:r/>
            <w:r>
              <w:rPr>
                <w:rFonts w:ascii="Consolas" w:hAnsi="Consolas" w:eastAsia="Consolas"/>
                <w:sz w:val="19"/>
              </w:rPr>
              <w:t>support       = o ÷ (o + 5)        o = rows in scope ÷ comparison groups</w:t>
            </w:r>
          </w:p>
          <w:p>
            <w:pPr>
              <w:spacing w:after="0"/>
            </w:pPr>
            <w:r>
              <w:rPr>
                <w:rFonts w:ascii="Consolas" w:hAnsi="Consolas" w:eastAsia="Consolas"/>
                <w:sz w:val="19"/>
              </w:rPr>
              <w:t>breadth       = resolved trade spend ÷ scope trade spend   (worst breakdown)</w:t>
            </w:r>
          </w:p>
          <w:p>
            <w:pPr>
              <w:spacing w:after="0"/>
            </w:pPr>
            <w:r>
              <w:rPr>
                <w:rFonts w:ascii="Consolas" w:hAnsi="Consolas" w:eastAsia="Consolas"/>
                <w:sz w:val="19"/>
              </w:rPr>
              <w:t>completeness  = defined ÷ (defined + missing)</w:t>
            </w:r>
          </w:p>
          <w:p>
            <w:pPr>
              <w:spacing w:after="0"/>
            </w:pPr>
            <w:r>
              <w:rPr>
                <w:rFonts w:ascii="Consolas" w:hAnsi="Consolas" w:eastAsia="Consolas"/>
                <w:sz w:val="19"/>
              </w:rPr>
              <w:t>traceability  = traceable citations ÷ checkable citations</w:t>
            </w:r>
          </w:p>
          <w:p>
            <w:pPr>
              <w:spacing w:after="0"/>
            </w:pPr>
            <w:r>
              <w:rPr>
                <w:rFonts w:ascii="Consolas" w:hAnsi="Consolas" w:eastAsia="Consolas"/>
                <w:sz w:val="19"/>
              </w:rPr>
              <w:t>evidence e    = geometric mean of the four</w:t>
            </w:r>
          </w:p>
          <w:p>
            <w:pPr>
              <w:spacing w:after="0"/>
            </w:pPr>
            <w:r>
              <w:rPr>
                <w:rFonts w:ascii="Consolas" w:hAnsi="Consolas" w:eastAsia="Consolas"/>
                <w:sz w:val="19"/>
              </w:rPr>
              <w:t>confidence    = round((0.60 + 0.35 · e) × 100)             → 60 … 95; a failed agent scores 0</w:t>
            </w:r>
          </w:p>
          <w:p>
            <w:pPr>
              <w:spacing w:after="0"/>
            </w:pPr>
            <w:r>
              <w:rPr>
                <w:rFonts w:ascii="Consolas" w:hAnsi="Consolas" w:eastAsia="Consolas"/>
                <w:sz w:val="19"/>
              </w:rPr>
            </w:r>
          </w:p>
          <w:p>
            <w:pPr>
              <w:spacing w:after="0"/>
            </w:pPr>
            <w:r>
              <w:rPr>
                <w:rFonts w:ascii="Consolas" w:hAnsi="Consolas" w:eastAsia="Consolas"/>
                <w:sz w:val="19"/>
              </w:rPr>
              <w:t>unit_i        = max(confidence_i ÷ 100, 0.05) × impact weight_i</w:t>
            </w:r>
          </w:p>
          <w:p>
            <w:pPr>
              <w:spacing w:after="0"/>
            </w:pPr>
            <w:r>
              <w:rPr>
                <w:rFonts w:ascii="Consolas" w:hAnsi="Consolas" w:eastAsia="Consolas"/>
                <w:sz w:val="19"/>
              </w:rPr>
              <w:t>impact weight = negative 1.0 · risk 0.9 · moderate 0.6 · data 0.4 · strong 0.3</w:t>
            </w:r>
          </w:p>
          <w:p>
            <w:pPr>
              <w:spacing w:after="0"/>
            </w:pPr>
            <w:r>
              <w:rPr>
                <w:rFonts w:ascii="Consolas" w:hAnsi="Consolas" w:eastAsia="Consolas"/>
                <w:sz w:val="19"/>
              </w:rPr>
              <w:t>share_i       = unit_i ÷ Σ unit   (rounded by largest remainder to total exactly 100%)</w:t>
            </w:r>
          </w:p>
        </w:tc>
      </w:tr>
    </w:tbl>
    <w:p>
      <w:pPr>
        <w:spacing w:after="0"/>
      </w:pPr>
    </w:p>
    <w:p>
      <w:r>
        <w:rPr>
          <w:b/>
        </w:rPr>
        <w:t>Why a geometric mean.</w:t>
      </w:r>
      <w:r>
        <w:t xml:space="preserve"> One weak dimension (for example, numbers that cannot be traced) should pull the score down strongly; an arithmetic mean would hide it. </w:t>
      </w:r>
      <w:r>
        <w:rPr>
          <w:b/>
        </w:rPr>
        <w:t>Why the 60–95 band:</w:t>
      </w:r>
      <w:r>
        <w:t xml:space="preserve"> it is an evidence score, not a probability, so it never claims certainty or worthlessness.</w:t>
      </w:r>
    </w:p>
    <w:p>
      <w:r>
        <w:rPr>
          <w:b/>
        </w:rPr>
        <w:t>Synthesis grounding.</w:t>
      </w:r>
      <w:r>
        <w:t xml:space="preserve"> The model’s causes are matched to agents; an agent the model left out gets its own headline as its cause. Each cause’s share = its agent’s contribution; the overall root cause = the largest; the insight count = the number of findings (the model’s own count is ignored).</w:t>
      </w:r>
    </w:p>
    <w:p>
      <w:pPr>
        <w:pStyle w:val="Heading2"/>
      </w:pPr>
      <w:r>
        <w:t>I.6 Runs, storage and configuration</w:t>
      </w:r>
    </w:p>
    <w:p>
      <w:pPr>
        <w:pStyle w:val="ListBullet"/>
        <w:spacing w:after="40"/>
      </w:pPr>
      <w:r>
        <w:rPr>
          <w:rFonts w:ascii="Consolas" w:hAnsi="Consolas" w:eastAsia="Consolas"/>
          <w:sz w:val="19"/>
        </w:rPr>
        <w:t>POST /api/investigations/run</w:t>
      </w:r>
      <w:r>
        <w:t xml:space="preserve"> starts a run in the background; the page polls </w:t>
      </w:r>
      <w:r>
        <w:rPr>
          <w:rFonts w:ascii="Consolas" w:hAnsi="Consolas" w:eastAsia="Consolas"/>
          <w:sz w:val="19"/>
        </w:rPr>
        <w:t>GET /api/investigations/runs/{id}</w:t>
      </w:r>
      <w:r>
        <w:t xml:space="preserve"> every 1.5 s. Stages: planning → analyzing → complete.</w:t>
      </w:r>
    </w:p>
    <w:p>
      <w:pPr>
        <w:pStyle w:val="ListBullet"/>
        <w:spacing w:after="40"/>
      </w:pPr>
      <w:r>
        <w:t xml:space="preserve">Runs are stored in </w:t>
      </w:r>
      <w:r>
        <w:rPr>
          <w:rFonts w:ascii="Consolas" w:hAnsi="Consolas" w:eastAsia="Consolas"/>
          <w:sz w:val="19"/>
        </w:rPr>
        <w:t>backend/app/data/investigation-runs.json</w:t>
      </w:r>
      <w:r>
        <w:t xml:space="preserve"> (the last 50), per owner.</w:t>
      </w:r>
    </w:p>
    <w:p>
      <w:pPr>
        <w:pStyle w:val="ListBullet"/>
        <w:spacing w:after="40"/>
      </w:pPr>
      <w:r>
        <w:t xml:space="preserve">LLM: OpenAI-compatible chat completions with strict JSON schema; </w:t>
      </w:r>
      <w:r>
        <w:rPr>
          <w:rFonts w:ascii="Consolas" w:hAnsi="Consolas" w:eastAsia="Consolas"/>
          <w:sz w:val="19"/>
        </w:rPr>
        <w:t>OPENAI_MODEL</w:t>
      </w:r>
      <w:r>
        <w:t xml:space="preserve"> (default gpt-4o-mini), </w:t>
      </w:r>
      <w:r>
        <w:rPr>
          <w:rFonts w:ascii="Consolas" w:hAnsi="Consolas" w:eastAsia="Consolas"/>
          <w:sz w:val="19"/>
        </w:rPr>
        <w:t>OPENAI_BASE_URL</w:t>
      </w:r>
      <w:r>
        <w:t xml:space="preserve"> and </w:t>
      </w:r>
      <w:r>
        <w:rPr>
          <w:rFonts w:ascii="Consolas" w:hAnsi="Consolas" w:eastAsia="Consolas"/>
          <w:sz w:val="19"/>
        </w:rPr>
        <w:t>OPENAI_API_KEY</w:t>
      </w:r>
      <w:r>
        <w:t xml:space="preserve"> in </w:t>
      </w:r>
      <w:r>
        <w:rPr>
          <w:rFonts w:ascii="Consolas" w:hAnsi="Consolas" w:eastAsia="Consolas"/>
          <w:sz w:val="19"/>
        </w:rPr>
        <w:t>backend/.env</w:t>
      </w:r>
      <w:r>
        <w:t>. Rate-limit retries are capped at 240 s.</w:t>
      </w:r>
    </w:p>
    <w:p>
      <w:pPr>
        <w:pStyle w:val="ListBullet"/>
        <w:spacing w:after="40"/>
      </w:pPr>
      <w:r>
        <w:t>Without a key: the run fails with a clear message (no offline fallback). One failed agent does not stop the run; if all four fail, it errors.</w:t>
      </w:r>
    </w:p>
    <w:p>
      <w:r>
        <w:br w:type="page"/>
      </w:r>
    </w:p>
    <w:p>
      <w:pPr>
        <w:pStyle w:val="Heading1"/>
      </w:pPr>
      <w:r>
        <w:t>Part J — Validation, limitations and API index</w:t>
      </w:r>
    </w:p>
    <w:p>
      <w:pPr>
        <w:pStyle w:val="Heading2"/>
      </w:pPr>
      <w:r>
        <w:t>J.1 Automated tests</w:t>
      </w:r>
    </w:p>
    <w:tbl>
      <w:tblPr>
        <w:tblStyle w:val="TableGrid"/>
        <w:tblW w:type="auto" w:w="0"/>
        <w:jc w:val="center"/>
        <w:tblLook w:firstColumn="1" w:firstRow="1" w:lastColumn="0" w:lastRow="0" w:noHBand="0" w:noVBand="1" w:val="04A0"/>
      </w:tblPr>
      <w:tblGrid>
        <w:gridCol w:w="4819"/>
        <w:gridCol w:w="4819"/>
      </w:tblGrid>
      <w:tr>
        <w:tc>
          <w:tcPr>
            <w:tcW w:type="dxa" w:w="2268"/>
            <w:shd w:val="clear" w:color="auto" w:fill="EAF0F8"/>
          </w:tcPr>
          <w:p>
            <w:r/>
            <w:r>
              <w:rPr>
                <w:b/>
                <w:color w:val="1F3A68"/>
                <w:sz w:val="17"/>
              </w:rPr>
              <w:t>Suite</w:t>
            </w:r>
          </w:p>
        </w:tc>
        <w:tc>
          <w:tcPr>
            <w:tcW w:type="dxa" w:w="7370"/>
            <w:shd w:val="clear" w:color="auto" w:fill="EAF0F8"/>
          </w:tcPr>
          <w:p>
            <w:r/>
            <w:r>
              <w:rPr>
                <w:b/>
                <w:color w:val="1F3A68"/>
                <w:sz w:val="17"/>
              </w:rPr>
              <w:t>What it proves</w:t>
            </w:r>
          </w:p>
        </w:tc>
      </w:tr>
      <w:tr>
        <w:tc>
          <w:tcPr>
            <w:tcW w:type="dxa" w:w="2268"/>
          </w:tcPr>
          <w:p>
            <w:r/>
            <w:r>
              <w:rPr>
                <w:sz w:val="17"/>
              </w:rPr>
              <w:t>test_mmm_budget.py</w:t>
            </w:r>
          </w:p>
        </w:tc>
        <w:tc>
          <w:tcPr>
            <w:tcW w:type="dxa" w:w="7370"/>
          </w:tcPr>
          <w:p>
            <w:r/>
            <w:r>
              <w:rPr>
                <w:sz w:val="17"/>
              </w:rPr>
              <w:t>On synthetic data with known effects: the fit recovers each channel’s ROAS within 35%; holdout error &lt; 6%; the gradient matches a finite difference; weekly points add up to the totals; each mode keeps its totals; the optimizer keeps the budget and raises profit; moves account for every change; the cache round-trips without pickle</w:t>
            </w:r>
          </w:p>
        </w:tc>
      </w:tr>
      <w:tr>
        <w:tc>
          <w:tcPr>
            <w:tcW w:type="dxa" w:w="2268"/>
          </w:tcPr>
          <w:p>
            <w:r/>
            <w:r>
              <w:rPr>
                <w:sz w:val="17"/>
              </w:rPr>
              <w:t>test_mmm_allocator.py</w:t>
            </w:r>
          </w:p>
        </w:tc>
        <w:tc>
          <w:tcPr>
            <w:tcW w:type="dxa" w:w="7370"/>
          </w:tcPr>
          <w:p>
            <w:r/>
            <w:r>
              <w:rPr>
                <w:sz w:val="17"/>
              </w:rPr>
              <w:t>At the actual budget, same mix = actual; a new budget is spent in full on the same baseline; budget + mix effect = total; Weeks only keeps every channel’s share; the frontier starts at the baseline and its peak matches allocating at the peak</w:t>
            </w:r>
          </w:p>
        </w:tc>
      </w:tr>
      <w:tr>
        <w:tc>
          <w:tcPr>
            <w:tcW w:type="dxa" w:w="2268"/>
          </w:tcPr>
          <w:p>
            <w:r/>
            <w:r>
              <w:rPr>
                <w:sz w:val="17"/>
              </w:rPr>
              <w:t>test_mmm_forecast.py</w:t>
            </w:r>
          </w:p>
        </w:tc>
        <w:tc>
          <w:tcPr>
            <w:tcW w:type="dxa" w:w="7370"/>
          </w:tcPr>
          <w:p>
            <w:r/>
            <w:r>
              <w:rPr>
                <w:sz w:val="17"/>
              </w:rPr>
              <w:t>Baseline features reproduce the fitted ones; forecast within 4% of the known truth; series add up; bad plans are refused with a reason; the optimizer plans only forecast weeks; routes report a missing plan</w:t>
            </w:r>
          </w:p>
        </w:tc>
      </w:tr>
    </w:tbl>
    <w:p>
      <w:pPr>
        <w:spacing w:after="0"/>
      </w:pPr>
    </w:p>
    <w:p>
      <w:r>
        <w:t>59 MMM tests pass.</w:t>
      </w:r>
    </w:p>
    <w:p>
      <w:pPr>
        <w:pStyle w:val="Heading2"/>
      </w:pPr>
      <w:r>
        <w:t>J.2 Limitations to keep in mind</w:t>
      </w:r>
    </w:p>
    <w:p>
      <w:pPr>
        <w:pStyle w:val="ListBullet"/>
        <w:spacing w:after="40"/>
      </w:pPr>
      <w:r>
        <w:t>Net profit excludes the cost of goods (the data has none). It measures returns on advertising, not business profit.</w:t>
      </w:r>
    </w:p>
    <w:p>
      <w:pPr>
        <w:pStyle w:val="ListBullet"/>
        <w:spacing w:after="40"/>
      </w:pPr>
      <w:r>
        <w:t>Correlated channels (the digital group) cannot be separated well; trust their ranges and their combined effect.</w:t>
      </w:r>
    </w:p>
    <w:p>
      <w:pPr>
        <w:pStyle w:val="ListBullet"/>
        <w:spacing w:after="40"/>
      </w:pPr>
      <w:r>
        <w:t>Effects are assumed stable over time and additive across channels.</w:t>
      </w:r>
    </w:p>
    <w:p>
      <w:pPr>
        <w:pStyle w:val="ListBullet"/>
        <w:spacing w:after="40"/>
      </w:pPr>
      <w:r>
        <w:t>Spend far beyond what the data saw is extrapolated (flagged ⚠); estimates tend to be optimistic.</w:t>
      </w:r>
    </w:p>
    <w:p>
      <w:pPr>
        <w:pStyle w:val="ListBullet"/>
        <w:spacing w:after="40"/>
      </w:pPr>
      <w:r>
        <w:t>The Insights Hub uses a descriptive baseline; the planning pages use the fitted model. Their ROAS values answer different questions and will differ.</w:t>
      </w:r>
    </w:p>
    <w:p>
      <w:pPr>
        <w:pStyle w:val="ListBullet"/>
        <w:spacing w:after="40"/>
      </w:pPr>
      <w:r>
        <w:t>Investigation agents depend on an external LLM; their numbers are verified, but their wording is model-written.</w:t>
      </w:r>
    </w:p>
    <w:p>
      <w:pPr>
        <w:pStyle w:val="Heading2"/>
      </w:pPr>
      <w:r>
        <w:t>J.3 API index (all under /api)</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EAF0F8"/>
          </w:tcPr>
          <w:p>
            <w:r/>
            <w:r>
              <w:rPr>
                <w:b/>
                <w:color w:val="1F3A68"/>
                <w:sz w:val="17"/>
              </w:rPr>
              <w:t>Method</w:t>
            </w:r>
          </w:p>
        </w:tc>
        <w:tc>
          <w:tcPr>
            <w:tcW w:type="dxa" w:w="3685"/>
            <w:shd w:val="clear" w:color="auto" w:fill="EAF0F8"/>
          </w:tcPr>
          <w:p>
            <w:r/>
            <w:r>
              <w:rPr>
                <w:b/>
                <w:color w:val="1F3A68"/>
                <w:sz w:val="17"/>
              </w:rPr>
              <w:t>Path</w:t>
            </w:r>
          </w:p>
        </w:tc>
        <w:tc>
          <w:tcPr>
            <w:tcW w:type="dxa" w:w="4252"/>
            <w:shd w:val="clear" w:color="auto" w:fill="EAF0F8"/>
          </w:tcPr>
          <w:p>
            <w:r/>
            <w:r>
              <w:rPr>
                <w:b/>
                <w:color w:val="1F3A68"/>
                <w:sz w:val="17"/>
              </w:rPr>
              <w:t>Purpose</w:t>
            </w:r>
          </w:p>
        </w:tc>
      </w:tr>
      <w:tr>
        <w:tc>
          <w:tcPr>
            <w:tcW w:type="dxa" w:w="1701"/>
          </w:tcPr>
          <w:p>
            <w:r/>
            <w:r>
              <w:rPr>
                <w:sz w:val="17"/>
              </w:rPr>
              <w:t>GET/POST/DELETE</w:t>
            </w:r>
          </w:p>
        </w:tc>
        <w:tc>
          <w:tcPr>
            <w:tcW w:type="dxa" w:w="3685"/>
          </w:tcPr>
          <w:p>
            <w:r/>
            <w:r>
              <w:rPr>
                <w:sz w:val="17"/>
              </w:rPr>
              <w:t>/mmm/dataset</w:t>
            </w:r>
          </w:p>
        </w:tc>
        <w:tc>
          <w:tcPr>
            <w:tcW w:type="dxa" w:w="4252"/>
          </w:tcPr>
          <w:p>
            <w:r/>
            <w:r>
              <w:rPr>
                <w:sz w:val="17"/>
              </w:rPr>
              <w:t>Status, upload, remove the MMM dataset</w:t>
            </w:r>
          </w:p>
        </w:tc>
      </w:tr>
      <w:tr>
        <w:tc>
          <w:tcPr>
            <w:tcW w:type="dxa" w:w="1701"/>
          </w:tcPr>
          <w:p>
            <w:r/>
            <w:r>
              <w:rPr>
                <w:sz w:val="17"/>
              </w:rPr>
              <w:t>POST</w:t>
            </w:r>
          </w:p>
        </w:tc>
        <w:tc>
          <w:tcPr>
            <w:tcW w:type="dxa" w:w="3685"/>
          </w:tcPr>
          <w:p>
            <w:r/>
            <w:r>
              <w:rPr>
                <w:sz w:val="17"/>
              </w:rPr>
              <w:t>/mmm/dataset/inspect</w:t>
            </w:r>
          </w:p>
        </w:tc>
        <w:tc>
          <w:tcPr>
            <w:tcW w:type="dxa" w:w="4252"/>
          </w:tcPr>
          <w:p>
            <w:r/>
            <w:r>
              <w:rPr>
                <w:sz w:val="17"/>
              </w:rPr>
              <w:t>Header preflight for Excel</w:t>
            </w:r>
          </w:p>
        </w:tc>
      </w:tr>
      <w:tr>
        <w:tc>
          <w:tcPr>
            <w:tcW w:type="dxa" w:w="1701"/>
          </w:tcPr>
          <w:p>
            <w:r/>
            <w:r>
              <w:rPr>
                <w:sz w:val="17"/>
              </w:rPr>
              <w:t>GET</w:t>
            </w:r>
          </w:p>
        </w:tc>
        <w:tc>
          <w:tcPr>
            <w:tcW w:type="dxa" w:w="3685"/>
          </w:tcPr>
          <w:p>
            <w:r/>
            <w:r>
              <w:rPr>
                <w:sz w:val="17"/>
              </w:rPr>
              <w:t>/mmm/dataset/preview</w:t>
            </w:r>
          </w:p>
        </w:tc>
        <w:tc>
          <w:tcPr>
            <w:tcW w:type="dxa" w:w="4252"/>
          </w:tcPr>
          <w:p>
            <w:r/>
            <w:r>
              <w:rPr>
                <w:sz w:val="17"/>
              </w:rPr>
              <w:t>Rows, paged</w:t>
            </w:r>
          </w:p>
        </w:tc>
      </w:tr>
      <w:tr>
        <w:tc>
          <w:tcPr>
            <w:tcW w:type="dxa" w:w="1701"/>
          </w:tcPr>
          <w:p>
            <w:r/>
            <w:r>
              <w:rPr>
                <w:sz w:val="17"/>
              </w:rPr>
              <w:t>GET</w:t>
            </w:r>
          </w:p>
        </w:tc>
        <w:tc>
          <w:tcPr>
            <w:tcW w:type="dxa" w:w="3685"/>
          </w:tcPr>
          <w:p>
            <w:r/>
            <w:r>
              <w:rPr>
                <w:sz w:val="17"/>
              </w:rPr>
              <w:t>/mmm/filters, /mmm/hub</w:t>
            </w:r>
          </w:p>
        </w:tc>
        <w:tc>
          <w:tcPr>
            <w:tcW w:type="dxa" w:w="4252"/>
          </w:tcPr>
          <w:p>
            <w:r/>
            <w:r>
              <w:rPr>
                <w:sz w:val="17"/>
              </w:rPr>
              <w:t>Insights Hub options and payload</w:t>
            </w:r>
          </w:p>
        </w:tc>
      </w:tr>
      <w:tr>
        <w:tc>
          <w:tcPr>
            <w:tcW w:type="dxa" w:w="1701"/>
          </w:tcPr>
          <w:p>
            <w:r/>
            <w:r>
              <w:rPr>
                <w:sz w:val="17"/>
              </w:rPr>
              <w:t>GET</w:t>
            </w:r>
          </w:p>
        </w:tc>
        <w:tc>
          <w:tcPr>
            <w:tcW w:type="dxa" w:w="3685"/>
          </w:tcPr>
          <w:p>
            <w:r/>
            <w:r>
              <w:rPr>
                <w:sz w:val="17"/>
              </w:rPr>
              <w:t>/mmm/calendar, /mmm/calendar/month</w:t>
            </w:r>
          </w:p>
        </w:tc>
        <w:tc>
          <w:tcPr>
            <w:tcW w:type="dxa" w:w="4252"/>
          </w:tcPr>
          <w:p>
            <w:r/>
            <w:r>
              <w:rPr>
                <w:sz w:val="17"/>
              </w:rPr>
              <w:t>Calendar matrix and month detail</w:t>
            </w:r>
          </w:p>
        </w:tc>
      </w:tr>
      <w:tr>
        <w:tc>
          <w:tcPr>
            <w:tcW w:type="dxa" w:w="1701"/>
          </w:tcPr>
          <w:p>
            <w:r/>
            <w:r>
              <w:rPr>
                <w:sz w:val="17"/>
              </w:rPr>
              <w:t>GET</w:t>
            </w:r>
          </w:p>
        </w:tc>
        <w:tc>
          <w:tcPr>
            <w:tcW w:type="dxa" w:w="3685"/>
          </w:tcPr>
          <w:p>
            <w:r/>
            <w:r>
              <w:rPr>
                <w:sz w:val="17"/>
              </w:rPr>
              <w:t>/mmm/budget/status, /mmm/budget/options</w:t>
            </w:r>
          </w:p>
        </w:tc>
        <w:tc>
          <w:tcPr>
            <w:tcW w:type="dxa" w:w="4252"/>
          </w:tcPr>
          <w:p>
            <w:r/>
            <w:r>
              <w:rPr>
                <w:sz w:val="17"/>
              </w:rPr>
              <w:t>Model training state; weeks and channels (source=history|forecast)</w:t>
            </w:r>
          </w:p>
        </w:tc>
      </w:tr>
      <w:tr>
        <w:tc>
          <w:tcPr>
            <w:tcW w:type="dxa" w:w="1701"/>
          </w:tcPr>
          <w:p>
            <w:r/>
            <w:r>
              <w:rPr>
                <w:sz w:val="17"/>
              </w:rPr>
              <w:t>GET</w:t>
            </w:r>
          </w:p>
        </w:tc>
        <w:tc>
          <w:tcPr>
            <w:tcW w:type="dxa" w:w="3685"/>
          </w:tcPr>
          <w:p>
            <w:r/>
            <w:r>
              <w:rPr>
                <w:sz w:val="17"/>
              </w:rPr>
              <w:t>/mmm/budget/summary</w:t>
            </w:r>
          </w:p>
        </w:tc>
        <w:tc>
          <w:tcPr>
            <w:tcW w:type="dxa" w:w="4252"/>
          </w:tcPr>
          <w:p>
            <w:r/>
            <w:r>
              <w:rPr>
                <w:sz w:val="17"/>
              </w:rPr>
              <w:t>A period’s current plan</w:t>
            </w:r>
          </w:p>
        </w:tc>
      </w:tr>
      <w:tr>
        <w:tc>
          <w:tcPr>
            <w:tcW w:type="dxa" w:w="1701"/>
          </w:tcPr>
          <w:p>
            <w:r/>
            <w:r>
              <w:rPr>
                <w:sz w:val="17"/>
              </w:rPr>
              <w:t>POST</w:t>
            </w:r>
          </w:p>
        </w:tc>
        <w:tc>
          <w:tcPr>
            <w:tcW w:type="dxa" w:w="3685"/>
          </w:tcPr>
          <w:p>
            <w:r/>
            <w:r>
              <w:rPr>
                <w:sz w:val="17"/>
              </w:rPr>
              <w:t>/mmm/budget/optimize</w:t>
            </w:r>
          </w:p>
        </w:tc>
        <w:tc>
          <w:tcPr>
            <w:tcW w:type="dxa" w:w="4252"/>
          </w:tcPr>
          <w:p>
            <w:r/>
            <w:r>
              <w:rPr>
                <w:sz w:val="17"/>
              </w:rPr>
              <w:t>Best fixed-budget plan</w:t>
            </w:r>
          </w:p>
        </w:tc>
      </w:tr>
      <w:tr>
        <w:tc>
          <w:tcPr>
            <w:tcW w:type="dxa" w:w="1701"/>
          </w:tcPr>
          <w:p>
            <w:r/>
            <w:r>
              <w:rPr>
                <w:sz w:val="17"/>
              </w:rPr>
              <w:t>POST</w:t>
            </w:r>
          </w:p>
        </w:tc>
        <w:tc>
          <w:tcPr>
            <w:tcW w:type="dxa" w:w="3685"/>
          </w:tcPr>
          <w:p>
            <w:r/>
            <w:r>
              <w:rPr>
                <w:sz w:val="17"/>
              </w:rPr>
              <w:t>/mmm/budget/allocate</w:t>
            </w:r>
          </w:p>
        </w:tc>
        <w:tc>
          <w:tcPr>
            <w:tcW w:type="dxa" w:w="4252"/>
          </w:tcPr>
          <w:p>
            <w:r/>
            <w:r>
              <w:rPr>
                <w:sz w:val="17"/>
              </w:rPr>
              <w:t>Three plans for an entered budget</w:t>
            </w:r>
          </w:p>
        </w:tc>
      </w:tr>
      <w:tr>
        <w:tc>
          <w:tcPr>
            <w:tcW w:type="dxa" w:w="1701"/>
          </w:tcPr>
          <w:p>
            <w:r/>
            <w:r>
              <w:rPr>
                <w:sz w:val="17"/>
              </w:rPr>
              <w:t>GET</w:t>
            </w:r>
          </w:p>
        </w:tc>
        <w:tc>
          <w:tcPr>
            <w:tcW w:type="dxa" w:w="3685"/>
          </w:tcPr>
          <w:p>
            <w:r/>
            <w:r>
              <w:rPr>
                <w:sz w:val="17"/>
              </w:rPr>
              <w:t>/mmm/budget/frontier</w:t>
            </w:r>
          </w:p>
        </w:tc>
        <w:tc>
          <w:tcPr>
            <w:tcW w:type="dxa" w:w="4252"/>
          </w:tcPr>
          <w:p>
            <w:r/>
            <w:r>
              <w:rPr>
                <w:sz w:val="17"/>
              </w:rPr>
              <w:t>Net profit at every budget and the profit peak</w:t>
            </w:r>
          </w:p>
        </w:tc>
      </w:tr>
      <w:tr>
        <w:tc>
          <w:tcPr>
            <w:tcW w:type="dxa" w:w="1701"/>
          </w:tcPr>
          <w:p>
            <w:r/>
            <w:r>
              <w:rPr>
                <w:sz w:val="17"/>
              </w:rPr>
              <w:t>GET/POST/DELETE</w:t>
            </w:r>
          </w:p>
        </w:tc>
        <w:tc>
          <w:tcPr>
            <w:tcW w:type="dxa" w:w="3685"/>
          </w:tcPr>
          <w:p>
            <w:r/>
            <w:r>
              <w:rPr>
                <w:sz w:val="17"/>
              </w:rPr>
              <w:t>/mmm/forecast</w:t>
            </w:r>
          </w:p>
        </w:tc>
        <w:tc>
          <w:tcPr>
            <w:tcW w:type="dxa" w:w="4252"/>
          </w:tcPr>
          <w:p>
            <w:r/>
            <w:r>
              <w:rPr>
                <w:sz w:val="17"/>
              </w:rPr>
              <w:t>Forecast plan status, upload, remove</w:t>
            </w:r>
          </w:p>
        </w:tc>
      </w:tr>
      <w:tr>
        <w:tc>
          <w:tcPr>
            <w:tcW w:type="dxa" w:w="1701"/>
          </w:tcPr>
          <w:p>
            <w:r/>
            <w:r>
              <w:rPr>
                <w:sz w:val="17"/>
              </w:rPr>
              <w:t>GET</w:t>
            </w:r>
          </w:p>
        </w:tc>
        <w:tc>
          <w:tcPr>
            <w:tcW w:type="dxa" w:w="3685"/>
          </w:tcPr>
          <w:p>
            <w:r/>
            <w:r>
              <w:rPr>
                <w:sz w:val="17"/>
              </w:rPr>
              <w:t>/mmm/forecast/summary, /download, /sample/{n}</w:t>
            </w:r>
          </w:p>
        </w:tc>
        <w:tc>
          <w:tcPr>
            <w:tcW w:type="dxa" w:w="4252"/>
          </w:tcPr>
          <w:p>
            <w:r/>
            <w:r>
              <w:rPr>
                <w:sz w:val="17"/>
              </w:rPr>
              <w:t>Forecast payload, predictions CSV, sample plans</w:t>
            </w:r>
          </w:p>
        </w:tc>
      </w:tr>
      <w:tr>
        <w:tc>
          <w:tcPr>
            <w:tcW w:type="dxa" w:w="1701"/>
          </w:tcPr>
          <w:p>
            <w:r/>
            <w:r>
              <w:rPr>
                <w:sz w:val="17"/>
              </w:rPr>
              <w:t>POST</w:t>
            </w:r>
          </w:p>
        </w:tc>
        <w:tc>
          <w:tcPr>
            <w:tcW w:type="dxa" w:w="3685"/>
          </w:tcPr>
          <w:p>
            <w:r/>
            <w:r>
              <w:rPr>
                <w:sz w:val="17"/>
              </w:rPr>
              <w:t>/investigations/run</w:t>
            </w:r>
          </w:p>
        </w:tc>
        <w:tc>
          <w:tcPr>
            <w:tcW w:type="dxa" w:w="4252"/>
          </w:tcPr>
          <w:p>
            <w:r/>
            <w:r>
              <w:rPr>
                <w:sz w:val="17"/>
              </w:rPr>
              <w:t>Start an investigation</w:t>
            </w:r>
          </w:p>
        </w:tc>
      </w:tr>
      <w:tr>
        <w:tc>
          <w:tcPr>
            <w:tcW w:type="dxa" w:w="1701"/>
          </w:tcPr>
          <w:p>
            <w:r/>
            <w:r>
              <w:rPr>
                <w:sz w:val="17"/>
              </w:rPr>
              <w:t>GET</w:t>
            </w:r>
          </w:p>
        </w:tc>
        <w:tc>
          <w:tcPr>
            <w:tcW w:type="dxa" w:w="3685"/>
          </w:tcPr>
          <w:p>
            <w:r/>
            <w:r>
              <w:rPr>
                <w:sz w:val="17"/>
              </w:rPr>
              <w:t>/investigations/runs, /investigations/runs/{id}</w:t>
            </w:r>
          </w:p>
        </w:tc>
        <w:tc>
          <w:tcPr>
            <w:tcW w:type="dxa" w:w="4252"/>
          </w:tcPr>
          <w:p>
            <w:r/>
            <w:r>
              <w:rPr>
                <w:sz w:val="17"/>
              </w:rPr>
              <w:t>Run list and run detail</w:t>
            </w:r>
          </w:p>
        </w:tc>
      </w:tr>
      <w:tr>
        <w:tc>
          <w:tcPr>
            <w:tcW w:type="dxa" w:w="1701"/>
          </w:tcPr>
          <w:p>
            <w:r/>
            <w:r>
              <w:rPr>
                <w:sz w:val="17"/>
              </w:rPr>
              <w:t>POST</w:t>
            </w:r>
          </w:p>
        </w:tc>
        <w:tc>
          <w:tcPr>
            <w:tcW w:type="dxa" w:w="3685"/>
          </w:tcPr>
          <w:p>
            <w:r/>
            <w:r>
              <w:rPr>
                <w:sz w:val="17"/>
              </w:rPr>
              <w:t>/analyst/route</w:t>
            </w:r>
          </w:p>
        </w:tc>
        <w:tc>
          <w:tcPr>
            <w:tcW w:type="dxa" w:w="4252"/>
          </w:tcPr>
          <w:p>
            <w:r/>
            <w:r>
              <w:rPr>
                <w:sz w:val="17"/>
              </w:rPr>
              <w:t>Route a question to the Analyst or an investigation</w:t>
            </w:r>
          </w:p>
        </w:tc>
      </w:tr>
    </w:tbl>
    <w:p>
      <w:pPr>
        <w:spacing w:after="0"/>
      </w:pP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 xml:space="preserve">Agents and MMM: Guide and Technical Reference  ·  page </w:t>
    </w:r>
    <w:r>
      <w:fldChar w:fldCharType="begin"/>
    </w:r>
    <w:r>
      <w:rPr>
        <w:sz w:val="16"/>
      </w:rP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 w:eastAsiaTheme="majorEastAsia" w:hAnsiTheme="majorHAnsi" w:cstheme="majorBidi" w:ascii="Calibri" w:hAnsi="Calibri"/>
      <w:b/>
      <w:bCs/>
      <w:color w:val="1F3A68"/>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1F3A68"/>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1F3A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