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TPO Data &amp; KPI Reference</w:t>
      </w:r>
    </w:p>
    <w:p>
      <w:r>
        <w:t>What each uploaded file holds, what every column means, and how every KPI card on the Insights Hub is calculated, with worked figures from the current dataset.</w:t>
      </w:r>
    </w:p>
    <w:p>
      <w:r>
        <w:rPr>
          <w:color w:val="4B5755"/>
        </w:rPr>
        <w:t>6 files · 325,260 sales rows · 1 Jan 2024 – 24 Aug 2026, weekly · 36 products · 65 stores · 6 channels · INR</w:t>
      </w:r>
    </w:p>
    <w:p>
      <w:pPr>
        <w:pStyle w:val="Heading1"/>
      </w:pPr>
      <w:r>
        <w:t>Part 1 · The data</w:t>
      </w:r>
    </w:p>
    <w:p>
      <w:r>
        <w:t xml:space="preserve">The platform reads six CSV or Excel files: one sales file and five lookup files that describe its products, stores, channels, promotions and calendar. A file is recognised by its column headers, not its name, so </w:t>
      </w:r>
      <w:r>
        <w:rPr>
          <w:rFonts w:ascii="Consolas" w:hAnsi="Consolas"/>
          <w:sz w:val="19"/>
        </w:rPr>
        <w:t>Book1.xlsx</w:t>
      </w:r>
      <w:r>
        <w:t xml:space="preserve"> works as long as row 1 holds the right column names.</w:t>
      </w:r>
    </w:p>
    <w:p>
      <w:pPr>
        <w:pStyle w:val="Heading2"/>
      </w:pPr>
      <w:r>
        <w:t>How the six files connect</w:t>
      </w:r>
    </w:p>
    <w:p>
      <w:r>
        <w:t>Every sales row points at one product, one store, one promotion and one date. The store, in turn, points at its channel.</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118"/>
            <w:shd w:val="clear" w:color="auto" w:fill="E3F1EF"/>
          </w:tcPr>
          <w:p>
            <w:r/>
            <w:r>
              <w:rPr>
                <w:b/>
                <w:sz w:val="19"/>
              </w:rPr>
              <w:t>From</w:t>
            </w:r>
          </w:p>
        </w:tc>
        <w:tc>
          <w:tcPr>
            <w:tcW w:type="dxa" w:w="1984"/>
            <w:shd w:val="clear" w:color="auto" w:fill="E3F1EF"/>
          </w:tcPr>
          <w:p>
            <w:r/>
            <w:r>
              <w:rPr>
                <w:b/>
                <w:sz w:val="19"/>
              </w:rPr>
              <w:t>Joins on</w:t>
            </w:r>
          </w:p>
        </w:tc>
        <w:tc>
          <w:tcPr>
            <w:tcW w:type="dxa" w:w="4535"/>
            <w:shd w:val="clear" w:color="auto" w:fill="E3F1EF"/>
          </w:tcPr>
          <w:p>
            <w:r/>
            <w:r>
              <w:rPr>
                <w:b/>
                <w:sz w:val="19"/>
              </w:rPr>
              <w:t>To</w:t>
            </w:r>
          </w:p>
        </w:tc>
      </w:tr>
      <w:tr>
        <w:tc>
          <w:tcPr>
            <w:tcW w:type="dxa" w:w="3118"/>
          </w:tcPr>
          <w:p>
            <w:r>
              <w:rPr>
                <w:sz w:val="19"/>
              </w:rPr>
            </w:r>
            <w:r>
              <w:rPr>
                <w:sz w:val="19"/>
              </w:rPr>
              <w:t>fact_sales (sales rows)</w:t>
            </w:r>
          </w:p>
        </w:tc>
        <w:tc>
          <w:tcPr>
            <w:tcW w:type="dxa" w:w="1984"/>
          </w:tcPr>
          <w:p>
            <w:r/>
            <w:r>
              <w:rPr>
                <w:rFonts w:ascii="Consolas" w:hAnsi="Consolas"/>
                <w:sz w:val="18"/>
              </w:rPr>
              <w:t>Product_id</w:t>
            </w:r>
          </w:p>
        </w:tc>
        <w:tc>
          <w:tcPr>
            <w:tcW w:type="dxa" w:w="4535"/>
          </w:tcPr>
          <w:p>
            <w:r>
              <w:rPr>
                <w:sz w:val="19"/>
              </w:rPr>
            </w:r>
            <w:r>
              <w:rPr>
                <w:sz w:val="19"/>
              </w:rPr>
              <w:t>dim_product (36 products)</w:t>
            </w:r>
          </w:p>
        </w:tc>
      </w:tr>
      <w:tr>
        <w:tc>
          <w:tcPr>
            <w:tcW w:type="dxa" w:w="3118"/>
          </w:tcPr>
          <w:p>
            <w:r>
              <w:rPr>
                <w:sz w:val="19"/>
              </w:rPr>
            </w:r>
            <w:r>
              <w:rPr>
                <w:sz w:val="19"/>
              </w:rPr>
              <w:t>fact_sales</w:t>
            </w:r>
          </w:p>
        </w:tc>
        <w:tc>
          <w:tcPr>
            <w:tcW w:type="dxa" w:w="1984"/>
          </w:tcPr>
          <w:p>
            <w:r/>
            <w:r>
              <w:rPr>
                <w:rFonts w:ascii="Consolas" w:hAnsi="Consolas"/>
                <w:sz w:val="18"/>
              </w:rPr>
              <w:t>Store_Id</w:t>
            </w:r>
          </w:p>
        </w:tc>
        <w:tc>
          <w:tcPr>
            <w:tcW w:type="dxa" w:w="4535"/>
          </w:tcPr>
          <w:p>
            <w:r>
              <w:rPr>
                <w:sz w:val="19"/>
              </w:rPr>
            </w:r>
            <w:r>
              <w:rPr>
                <w:sz w:val="19"/>
              </w:rPr>
              <w:t>dim_geo_store (65 stores)</w:t>
            </w:r>
          </w:p>
        </w:tc>
      </w:tr>
      <w:tr>
        <w:tc>
          <w:tcPr>
            <w:tcW w:type="dxa" w:w="3118"/>
          </w:tcPr>
          <w:p>
            <w:r>
              <w:rPr>
                <w:sz w:val="19"/>
              </w:rPr>
            </w:r>
            <w:r>
              <w:rPr>
                <w:sz w:val="19"/>
              </w:rPr>
              <w:t>fact_sales</w:t>
            </w:r>
          </w:p>
        </w:tc>
        <w:tc>
          <w:tcPr>
            <w:tcW w:type="dxa" w:w="1984"/>
          </w:tcPr>
          <w:p>
            <w:r/>
            <w:r>
              <w:rPr>
                <w:rFonts w:ascii="Consolas" w:hAnsi="Consolas"/>
                <w:sz w:val="18"/>
              </w:rPr>
              <w:t>Promotion_Id</w:t>
            </w:r>
          </w:p>
        </w:tc>
        <w:tc>
          <w:tcPr>
            <w:tcW w:type="dxa" w:w="4535"/>
          </w:tcPr>
          <w:p>
            <w:r>
              <w:rPr>
                <w:sz w:val="19"/>
              </w:rPr>
            </w:r>
            <w:r>
              <w:rPr>
                <w:sz w:val="19"/>
              </w:rPr>
              <w:t>dim_promotion (20 offers incl. “none”)</w:t>
            </w:r>
          </w:p>
        </w:tc>
      </w:tr>
      <w:tr>
        <w:tc>
          <w:tcPr>
            <w:tcW w:type="dxa" w:w="3118"/>
          </w:tcPr>
          <w:p>
            <w:r>
              <w:rPr>
                <w:sz w:val="19"/>
              </w:rPr>
            </w:r>
            <w:r>
              <w:rPr>
                <w:sz w:val="19"/>
              </w:rPr>
              <w:t>fact_sales</w:t>
            </w:r>
          </w:p>
        </w:tc>
        <w:tc>
          <w:tcPr>
            <w:tcW w:type="dxa" w:w="1984"/>
          </w:tcPr>
          <w:p>
            <w:r/>
            <w:r>
              <w:rPr>
                <w:rFonts w:ascii="Consolas" w:hAnsi="Consolas"/>
                <w:sz w:val="18"/>
              </w:rPr>
              <w:t>Date</w:t>
            </w:r>
          </w:p>
        </w:tc>
        <w:tc>
          <w:tcPr>
            <w:tcW w:type="dxa" w:w="4535"/>
          </w:tcPr>
          <w:p>
            <w:r>
              <w:rPr>
                <w:sz w:val="19"/>
              </w:rPr>
            </w:r>
            <w:r>
              <w:rPr>
                <w:sz w:val="19"/>
              </w:rPr>
              <w:t>dim_date (1,096 days)</w:t>
            </w:r>
          </w:p>
        </w:tc>
      </w:tr>
      <w:tr>
        <w:tc>
          <w:tcPr>
            <w:tcW w:type="dxa" w:w="3118"/>
          </w:tcPr>
          <w:p>
            <w:r>
              <w:rPr>
                <w:sz w:val="19"/>
              </w:rPr>
            </w:r>
            <w:r>
              <w:rPr>
                <w:sz w:val="19"/>
              </w:rPr>
              <w:t>dim_geo_store</w:t>
            </w:r>
          </w:p>
        </w:tc>
        <w:tc>
          <w:tcPr>
            <w:tcW w:type="dxa" w:w="1984"/>
          </w:tcPr>
          <w:p>
            <w:r/>
            <w:r>
              <w:rPr>
                <w:rFonts w:ascii="Consolas" w:hAnsi="Consolas"/>
                <w:sz w:val="18"/>
              </w:rPr>
              <w:t>Channel_Id</w:t>
            </w:r>
          </w:p>
        </w:tc>
        <w:tc>
          <w:tcPr>
            <w:tcW w:type="dxa" w:w="4535"/>
          </w:tcPr>
          <w:p>
            <w:r>
              <w:rPr>
                <w:sz w:val="19"/>
              </w:rPr>
            </w:r>
            <w:r>
              <w:rPr>
                <w:sz w:val="19"/>
              </w:rPr>
              <w:t>dim_channel (6 channels)</w:t>
            </w:r>
          </w:p>
        </w:tc>
      </w:tr>
    </w:tbl>
    <w:p/>
    <w:p>
      <w:r>
        <w:t xml:space="preserve">Upload all six files together; a partial set is refused. Dates are written </w:t>
      </w:r>
      <w:r>
        <w:rPr>
          <w:rFonts w:ascii="Consolas" w:hAnsi="Consolas"/>
          <w:sz w:val="19"/>
        </w:rPr>
        <w:t>DD-MM-YYYY</w:t>
      </w:r>
      <w:r>
        <w:t xml:space="preserve">, numbers are plain (no ₹ signs or thousand separators), and a sale without a promotion carries </w:t>
      </w:r>
      <w:r>
        <w:rPr>
          <w:rFonts w:ascii="Consolas" w:hAnsi="Consolas"/>
          <w:sz w:val="19"/>
        </w:rPr>
        <w:t>Promotion_Id</w:t>
      </w:r>
      <w:r>
        <w:t xml:space="preserve"> </w:t>
      </w:r>
      <w:r>
        <w:rPr>
          <w:rFonts w:ascii="Consolas" w:hAnsi="Consolas"/>
          <w:sz w:val="19"/>
        </w:rPr>
        <w:t>-1</w:t>
      </w:r>
      <w:r>
        <w:t>.</w:t>
      </w:r>
    </w:p>
    <w:p>
      <w:pPr>
        <w:pStyle w:val="Heading2"/>
      </w:pPr>
      <w:r>
        <w:t>Every file and column</w:t>
      </w:r>
    </w:p>
    <w:p>
      <w:r>
        <w:rPr>
          <w:b/>
          <w:color w:val="4B5755"/>
        </w:rPr>
        <w:t>Required</w:t>
      </w:r>
      <w:r>
        <w:rPr>
          <w:color w:val="4B5755"/>
        </w:rPr>
        <w:t xml:space="preserve"> — the upload is refused without it. </w:t>
      </w:r>
      <w:r>
        <w:rPr>
          <w:b/>
          <w:color w:val="4B5755"/>
        </w:rPr>
        <w:t>Optional</w:t>
      </w:r>
      <w:r>
        <w:rPr>
          <w:color w:val="4B5755"/>
        </w:rPr>
        <w:t xml:space="preserve"> — read when present; the platform works without it.</w:t>
      </w:r>
    </w:p>
    <w:p>
      <w:pPr>
        <w:pStyle w:val="Heading3"/>
      </w:pPr>
      <w:r>
        <w:t>Sales fact table — fact_sales_2024_2025_all_channels.csv (325,260 rows)</w:t>
      </w:r>
    </w:p>
    <w:p>
      <w:r>
        <w:t>One row per product, per store, per week: units sold, the list and selling price, the cost of the goods, and the promotion that ran. 17.1% of rows are promoted.</w:t>
      </w:r>
    </w:p>
    <w:tbl>
      <w:tblPr>
        <w:tblStyle w:val="TableGrid"/>
        <w:tblW w:type="auto" w:w="0"/>
        <w:jc w:val="center"/>
        <w:tblLook w:firstColumn="1" w:firstRow="1" w:lastColumn="0" w:lastRow="0" w:noHBand="0" w:noVBand="1" w:val="04A0"/>
      </w:tblPr>
      <w:tblGrid>
        <w:gridCol w:w="1994"/>
        <w:gridCol w:w="1994"/>
        <w:gridCol w:w="1994"/>
        <w:gridCol w:w="1994"/>
        <w:gridCol w:w="1994"/>
      </w:tblGrid>
      <w:tr>
        <w:trPr>
          <w:tblHeader w:val="true"/>
        </w:trPr>
        <w:tc>
          <w:tcPr>
            <w:tcW w:type="dxa" w:w="1928"/>
            <w:shd w:val="clear" w:color="auto" w:fill="E3F1EF"/>
          </w:tcPr>
          <w:p>
            <w:r/>
            <w:r>
              <w:rPr>
                <w:b/>
                <w:sz w:val="19"/>
              </w:rPr>
              <w:t>Column</w:t>
            </w:r>
          </w:p>
        </w:tc>
        <w:tc>
          <w:tcPr>
            <w:tcW w:type="dxa" w:w="1134"/>
            <w:shd w:val="clear" w:color="auto" w:fill="E3F1EF"/>
          </w:tcPr>
          <w:p>
            <w:r/>
            <w:r>
              <w:rPr>
                <w:b/>
                <w:sz w:val="19"/>
              </w:rPr>
              <w:t>Type</w:t>
            </w:r>
          </w:p>
        </w:tc>
        <w:tc>
          <w:tcPr>
            <w:tcW w:type="dxa" w:w="1134"/>
            <w:shd w:val="clear" w:color="auto" w:fill="E3F1EF"/>
          </w:tcPr>
          <w:p>
            <w:r/>
            <w:r>
              <w:rPr>
                <w:b/>
                <w:sz w:val="19"/>
              </w:rPr>
              <w:t>Required?</w:t>
            </w:r>
          </w:p>
        </w:tc>
        <w:tc>
          <w:tcPr>
            <w:tcW w:type="dxa" w:w="1928"/>
            <w:shd w:val="clear" w:color="auto" w:fill="E3F1EF"/>
          </w:tcPr>
          <w:p>
            <w:r/>
            <w:r>
              <w:rPr>
                <w:b/>
                <w:sz w:val="19"/>
              </w:rPr>
              <w:t>Example</w:t>
            </w:r>
          </w:p>
        </w:tc>
        <w:tc>
          <w:tcPr>
            <w:tcW w:type="dxa" w:w="3515"/>
            <w:shd w:val="clear" w:color="auto" w:fill="E3F1EF"/>
          </w:tcPr>
          <w:p>
            <w:r/>
            <w:r>
              <w:rPr>
                <w:b/>
                <w:sz w:val="19"/>
              </w:rPr>
              <w:t>What it holds</w:t>
            </w:r>
          </w:p>
        </w:tc>
      </w:tr>
      <w:tr>
        <w:tc>
          <w:tcPr>
            <w:tcW w:type="dxa" w:w="1928"/>
          </w:tcPr>
          <w:p>
            <w:r/>
            <w:r>
              <w:rPr>
                <w:rFonts w:ascii="Consolas" w:hAnsi="Consolas"/>
                <w:sz w:val="18"/>
              </w:rPr>
              <w:t>Date</w:t>
            </w:r>
          </w:p>
        </w:tc>
        <w:tc>
          <w:tcPr>
            <w:tcW w:type="dxa" w:w="1134"/>
          </w:tcPr>
          <w:p>
            <w:r>
              <w:rPr>
                <w:sz w:val="19"/>
              </w:rPr>
            </w:r>
            <w:r>
              <w:rPr>
                <w:sz w:val="19"/>
              </w:rPr>
              <w:t>Date</w:t>
            </w:r>
          </w:p>
        </w:tc>
        <w:tc>
          <w:tcPr>
            <w:tcW w:type="dxa" w:w="1134"/>
          </w:tcPr>
          <w:p>
            <w:r>
              <w:rPr>
                <w:sz w:val="19"/>
              </w:rPr>
            </w:r>
            <w:r>
              <w:rPr>
                <w:sz w:val="19"/>
              </w:rPr>
              <w:t>Required</w:t>
            </w:r>
          </w:p>
        </w:tc>
        <w:tc>
          <w:tcPr>
            <w:tcW w:type="dxa" w:w="1928"/>
          </w:tcPr>
          <w:p>
            <w:r/>
            <w:r>
              <w:rPr>
                <w:rFonts w:ascii="Consolas" w:hAnsi="Consolas"/>
                <w:sz w:val="18"/>
              </w:rPr>
              <w:t>08-01-2024</w:t>
            </w:r>
          </w:p>
        </w:tc>
        <w:tc>
          <w:tcPr>
            <w:tcW w:type="dxa" w:w="3515"/>
          </w:tcPr>
          <w:p>
            <w:r>
              <w:rPr>
                <w:sz w:val="19"/>
              </w:rPr>
            </w:r>
            <w:r>
              <w:rPr>
                <w:sz w:val="19"/>
              </w:rPr>
              <w:t>First day of the sales week (DD-MM-YYYY). Its week and month are read from the date file.</w:t>
            </w:r>
          </w:p>
        </w:tc>
      </w:tr>
      <w:tr>
        <w:tc>
          <w:tcPr>
            <w:tcW w:type="dxa" w:w="1928"/>
          </w:tcPr>
          <w:p>
            <w:r/>
            <w:r>
              <w:rPr>
                <w:rFonts w:ascii="Consolas" w:hAnsi="Consolas"/>
                <w:sz w:val="18"/>
              </w:rPr>
              <w:t>Product_id</w:t>
            </w:r>
          </w:p>
        </w:tc>
        <w:tc>
          <w:tcPr>
            <w:tcW w:type="dxa" w:w="1134"/>
          </w:tcPr>
          <w:p>
            <w:r>
              <w:rPr>
                <w:sz w:val="19"/>
              </w:rPr>
            </w:r>
            <w:r>
              <w:rPr>
                <w:sz w:val="19"/>
              </w:rPr>
              <w:t>ID</w:t>
            </w:r>
          </w:p>
        </w:tc>
        <w:tc>
          <w:tcPr>
            <w:tcW w:type="dxa" w:w="1134"/>
          </w:tcPr>
          <w:p>
            <w:r>
              <w:rPr>
                <w:sz w:val="19"/>
              </w:rPr>
            </w:r>
            <w:r>
              <w:rPr>
                <w:sz w:val="19"/>
              </w:rPr>
              <w:t>Required</w:t>
            </w:r>
          </w:p>
        </w:tc>
        <w:tc>
          <w:tcPr>
            <w:tcW w:type="dxa" w:w="1928"/>
          </w:tcPr>
          <w:p>
            <w:r/>
            <w:r>
              <w:rPr>
                <w:rFonts w:ascii="Consolas" w:hAnsi="Consolas"/>
                <w:sz w:val="18"/>
              </w:rPr>
              <w:t>P11-100ml</w:t>
            </w:r>
          </w:p>
        </w:tc>
        <w:tc>
          <w:tcPr>
            <w:tcW w:type="dxa" w:w="3515"/>
          </w:tcPr>
          <w:p>
            <w:r>
              <w:rPr>
                <w:sz w:val="19"/>
              </w:rPr>
            </w:r>
            <w:r>
              <w:rPr>
                <w:sz w:val="19"/>
              </w:rPr>
              <w:t>The product sold. Must exist in the product file.</w:t>
            </w:r>
          </w:p>
        </w:tc>
      </w:tr>
      <w:tr>
        <w:tc>
          <w:tcPr>
            <w:tcW w:type="dxa" w:w="1928"/>
          </w:tcPr>
          <w:p>
            <w:r/>
            <w:r>
              <w:rPr>
                <w:rFonts w:ascii="Consolas" w:hAnsi="Consolas"/>
                <w:sz w:val="18"/>
              </w:rPr>
              <w:t>Store_Id</w:t>
            </w:r>
          </w:p>
        </w:tc>
        <w:tc>
          <w:tcPr>
            <w:tcW w:type="dxa" w:w="1134"/>
          </w:tcPr>
          <w:p>
            <w:r>
              <w:rPr>
                <w:sz w:val="19"/>
              </w:rPr>
            </w:r>
            <w:r>
              <w:rPr>
                <w:sz w:val="19"/>
              </w:rPr>
              <w:t>ID</w:t>
            </w:r>
          </w:p>
        </w:tc>
        <w:tc>
          <w:tcPr>
            <w:tcW w:type="dxa" w:w="1134"/>
          </w:tcPr>
          <w:p>
            <w:r>
              <w:rPr>
                <w:sz w:val="19"/>
              </w:rPr>
            </w:r>
            <w:r>
              <w:rPr>
                <w:sz w:val="19"/>
              </w:rPr>
              <w:t>Required</w:t>
            </w:r>
          </w:p>
        </w:tc>
        <w:tc>
          <w:tcPr>
            <w:tcW w:type="dxa" w:w="1928"/>
          </w:tcPr>
          <w:p>
            <w:r/>
            <w:r>
              <w:rPr>
                <w:rFonts w:ascii="Consolas" w:hAnsi="Consolas"/>
                <w:sz w:val="18"/>
              </w:rPr>
              <w:t>S211</w:t>
            </w:r>
          </w:p>
        </w:tc>
        <w:tc>
          <w:tcPr>
            <w:tcW w:type="dxa" w:w="3515"/>
          </w:tcPr>
          <w:p>
            <w:r>
              <w:rPr>
                <w:sz w:val="19"/>
              </w:rPr>
            </w:r>
            <w:r>
              <w:rPr>
                <w:sz w:val="19"/>
              </w:rPr>
              <w:t>The store that sold it. The store file gives its channel, retailer and location.</w:t>
            </w:r>
          </w:p>
        </w:tc>
      </w:tr>
      <w:tr>
        <w:tc>
          <w:tcPr>
            <w:tcW w:type="dxa" w:w="1928"/>
          </w:tcPr>
          <w:p>
            <w:r/>
            <w:r>
              <w:rPr>
                <w:rFonts w:ascii="Consolas" w:hAnsi="Consolas"/>
                <w:sz w:val="18"/>
              </w:rPr>
              <w:t>Promotion_Id</w:t>
            </w:r>
          </w:p>
        </w:tc>
        <w:tc>
          <w:tcPr>
            <w:tcW w:type="dxa" w:w="1134"/>
          </w:tcPr>
          <w:p>
            <w:r>
              <w:rPr>
                <w:sz w:val="19"/>
              </w:rPr>
            </w:r>
            <w:r>
              <w:rPr>
                <w:sz w:val="19"/>
              </w:rPr>
              <w:t>ID</w:t>
            </w:r>
          </w:p>
        </w:tc>
        <w:tc>
          <w:tcPr>
            <w:tcW w:type="dxa" w:w="1134"/>
          </w:tcPr>
          <w:p>
            <w:r>
              <w:rPr>
                <w:sz w:val="19"/>
              </w:rPr>
            </w:r>
            <w:r>
              <w:rPr>
                <w:sz w:val="19"/>
              </w:rPr>
              <w:t>Required</w:t>
            </w:r>
          </w:p>
        </w:tc>
        <w:tc>
          <w:tcPr>
            <w:tcW w:type="dxa" w:w="1928"/>
          </w:tcPr>
          <w:p>
            <w:r/>
            <w:r>
              <w:rPr>
                <w:rFonts w:ascii="Consolas" w:hAnsi="Consolas"/>
                <w:sz w:val="18"/>
              </w:rPr>
              <w:t>PR002</w:t>
            </w:r>
          </w:p>
        </w:tc>
        <w:tc>
          <w:tcPr>
            <w:tcW w:type="dxa" w:w="3515"/>
          </w:tcPr>
          <w:p>
            <w:r>
              <w:rPr>
                <w:sz w:val="19"/>
              </w:rPr>
            </w:r>
            <w:r>
              <w:rPr>
                <w:sz w:val="19"/>
              </w:rPr>
              <w:t>The offer running that week, or -1 for none. Must exist in the promotion file.</w:t>
            </w:r>
          </w:p>
        </w:tc>
      </w:tr>
      <w:tr>
        <w:tc>
          <w:tcPr>
            <w:tcW w:type="dxa" w:w="1928"/>
          </w:tcPr>
          <w:p>
            <w:r/>
            <w:r>
              <w:rPr>
                <w:rFonts w:ascii="Consolas" w:hAnsi="Consolas"/>
                <w:sz w:val="18"/>
              </w:rPr>
              <w:t>Base_Quantity</w:t>
            </w:r>
          </w:p>
        </w:tc>
        <w:tc>
          <w:tcPr>
            <w:tcW w:type="dxa" w:w="1134"/>
          </w:tcPr>
          <w:p>
            <w:r>
              <w:rPr>
                <w:sz w:val="19"/>
              </w:rPr>
            </w:r>
            <w:r>
              <w:rPr>
                <w:sz w:val="19"/>
              </w:rPr>
              <w:t>Number</w:t>
            </w:r>
          </w:p>
        </w:tc>
        <w:tc>
          <w:tcPr>
            <w:tcW w:type="dxa" w:w="1134"/>
          </w:tcPr>
          <w:p>
            <w:r>
              <w:rPr>
                <w:sz w:val="19"/>
              </w:rPr>
            </w:r>
            <w:r>
              <w:rPr>
                <w:sz w:val="19"/>
              </w:rPr>
              <w:t>Optional</w:t>
            </w:r>
          </w:p>
        </w:tc>
        <w:tc>
          <w:tcPr>
            <w:tcW w:type="dxa" w:w="1928"/>
          </w:tcPr>
          <w:p>
            <w:r/>
            <w:r>
              <w:rPr>
                <w:rFonts w:ascii="Consolas" w:hAnsi="Consolas"/>
                <w:sz w:val="18"/>
              </w:rPr>
              <w:t>95</w:t>
            </w:r>
          </w:p>
        </w:tc>
        <w:tc>
          <w:tcPr>
            <w:tcW w:type="dxa" w:w="3515"/>
          </w:tcPr>
          <w:p>
            <w:r>
              <w:rPr>
                <w:sz w:val="19"/>
              </w:rPr>
            </w:r>
            <w:r>
              <w:rPr>
                <w:sz w:val="19"/>
              </w:rPr>
              <w:t>Units the row would have sold without the promotion. Equal to Actual_Quantity on rows with no promotion. On promoted rows of this dataset it is the average of the nearest four ordinary weeks either side.</w:t>
            </w:r>
          </w:p>
        </w:tc>
      </w:tr>
      <w:tr>
        <w:tc>
          <w:tcPr>
            <w:tcW w:type="dxa" w:w="1928"/>
          </w:tcPr>
          <w:p>
            <w:r/>
            <w:r>
              <w:rPr>
                <w:rFonts w:ascii="Consolas" w:hAnsi="Consolas"/>
                <w:sz w:val="18"/>
              </w:rPr>
              <w:t>Actual_Quantity</w:t>
            </w:r>
          </w:p>
        </w:tc>
        <w:tc>
          <w:tcPr>
            <w:tcW w:type="dxa" w:w="1134"/>
          </w:tcPr>
          <w:p>
            <w:r>
              <w:rPr>
                <w:sz w:val="19"/>
              </w:rPr>
            </w:r>
            <w:r>
              <w:rPr>
                <w:sz w:val="19"/>
              </w:rPr>
              <w:t>Number</w:t>
            </w:r>
          </w:p>
        </w:tc>
        <w:tc>
          <w:tcPr>
            <w:tcW w:type="dxa" w:w="1134"/>
          </w:tcPr>
          <w:p>
            <w:r>
              <w:rPr>
                <w:sz w:val="19"/>
              </w:rPr>
            </w:r>
            <w:r>
              <w:rPr>
                <w:sz w:val="19"/>
              </w:rPr>
              <w:t>Required</w:t>
            </w:r>
          </w:p>
        </w:tc>
        <w:tc>
          <w:tcPr>
            <w:tcW w:type="dxa" w:w="1928"/>
          </w:tcPr>
          <w:p>
            <w:r/>
            <w:r>
              <w:rPr>
                <w:rFonts w:ascii="Consolas" w:hAnsi="Consolas"/>
                <w:sz w:val="18"/>
              </w:rPr>
              <w:t>156</w:t>
            </w:r>
          </w:p>
        </w:tc>
        <w:tc>
          <w:tcPr>
            <w:tcW w:type="dxa" w:w="3515"/>
          </w:tcPr>
          <w:p>
            <w:r>
              <w:rPr>
                <w:sz w:val="19"/>
              </w:rPr>
            </w:r>
            <w:r>
              <w:rPr>
                <w:sz w:val="19"/>
              </w:rPr>
              <w:t>Units actually sold.</w:t>
            </w:r>
          </w:p>
        </w:tc>
      </w:tr>
      <w:tr>
        <w:tc>
          <w:tcPr>
            <w:tcW w:type="dxa" w:w="1928"/>
          </w:tcPr>
          <w:p>
            <w:r/>
            <w:r>
              <w:rPr>
                <w:rFonts w:ascii="Consolas" w:hAnsi="Consolas"/>
                <w:sz w:val="18"/>
              </w:rPr>
              <w:t>Base_Price</w:t>
            </w:r>
          </w:p>
        </w:tc>
        <w:tc>
          <w:tcPr>
            <w:tcW w:type="dxa" w:w="1134"/>
          </w:tcPr>
          <w:p>
            <w:r>
              <w:rPr>
                <w:sz w:val="19"/>
              </w:rPr>
            </w:r>
            <w:r>
              <w:rPr>
                <w:sz w:val="19"/>
              </w:rPr>
              <w:t>Number</w:t>
            </w:r>
          </w:p>
        </w:tc>
        <w:tc>
          <w:tcPr>
            <w:tcW w:type="dxa" w:w="1134"/>
          </w:tcPr>
          <w:p>
            <w:r>
              <w:rPr>
                <w:sz w:val="19"/>
              </w:rPr>
            </w:r>
            <w:r>
              <w:rPr>
                <w:sz w:val="19"/>
              </w:rPr>
              <w:t>Required</w:t>
            </w:r>
          </w:p>
        </w:tc>
        <w:tc>
          <w:tcPr>
            <w:tcW w:type="dxa" w:w="1928"/>
          </w:tcPr>
          <w:p>
            <w:r/>
            <w:r>
              <w:rPr>
                <w:rFonts w:ascii="Consolas" w:hAnsi="Consolas"/>
                <w:sz w:val="18"/>
              </w:rPr>
              <w:t>80</w:t>
            </w:r>
          </w:p>
        </w:tc>
        <w:tc>
          <w:tcPr>
            <w:tcW w:type="dxa" w:w="3515"/>
          </w:tcPr>
          <w:p>
            <w:r>
              <w:rPr>
                <w:sz w:val="19"/>
              </w:rPr>
            </w:r>
            <w:r>
              <w:rPr>
                <w:sz w:val="19"/>
              </w:rPr>
              <w:t>Regular list price per unit, before any discount.</w:t>
            </w:r>
          </w:p>
        </w:tc>
      </w:tr>
      <w:tr>
        <w:tc>
          <w:tcPr>
            <w:tcW w:type="dxa" w:w="1928"/>
          </w:tcPr>
          <w:p>
            <w:r/>
            <w:r>
              <w:rPr>
                <w:rFonts w:ascii="Consolas" w:hAnsi="Consolas"/>
                <w:sz w:val="18"/>
              </w:rPr>
              <w:t>Actual_Price</w:t>
            </w:r>
          </w:p>
        </w:tc>
        <w:tc>
          <w:tcPr>
            <w:tcW w:type="dxa" w:w="1134"/>
          </w:tcPr>
          <w:p>
            <w:r>
              <w:rPr>
                <w:sz w:val="19"/>
              </w:rPr>
            </w:r>
            <w:r>
              <w:rPr>
                <w:sz w:val="19"/>
              </w:rPr>
              <w:t>Number</w:t>
            </w:r>
          </w:p>
        </w:tc>
        <w:tc>
          <w:tcPr>
            <w:tcW w:type="dxa" w:w="1134"/>
          </w:tcPr>
          <w:p>
            <w:r>
              <w:rPr>
                <w:sz w:val="19"/>
              </w:rPr>
            </w:r>
            <w:r>
              <w:rPr>
                <w:sz w:val="19"/>
              </w:rPr>
              <w:t>Required</w:t>
            </w:r>
          </w:p>
        </w:tc>
        <w:tc>
          <w:tcPr>
            <w:tcW w:type="dxa" w:w="1928"/>
          </w:tcPr>
          <w:p>
            <w:r/>
            <w:r>
              <w:rPr>
                <w:rFonts w:ascii="Consolas" w:hAnsi="Consolas"/>
                <w:sz w:val="18"/>
              </w:rPr>
              <w:t>72</w:t>
            </w:r>
          </w:p>
        </w:tc>
        <w:tc>
          <w:tcPr>
            <w:tcW w:type="dxa" w:w="3515"/>
          </w:tcPr>
          <w:p>
            <w:r>
              <w:rPr>
                <w:sz w:val="19"/>
              </w:rPr>
            </w:r>
            <w:r>
              <w:rPr>
                <w:sz w:val="19"/>
              </w:rPr>
              <w:t>Price actually charged per unit, after the discount. Equal to Base_Price with no promotion.</w:t>
            </w:r>
          </w:p>
        </w:tc>
      </w:tr>
      <w:tr>
        <w:tc>
          <w:tcPr>
            <w:tcW w:type="dxa" w:w="1928"/>
          </w:tcPr>
          <w:p>
            <w:r/>
            <w:r>
              <w:rPr>
                <w:rFonts w:ascii="Consolas" w:hAnsi="Consolas"/>
                <w:sz w:val="18"/>
              </w:rPr>
              <w:t>Total_Cost</w:t>
            </w:r>
          </w:p>
        </w:tc>
        <w:tc>
          <w:tcPr>
            <w:tcW w:type="dxa" w:w="1134"/>
          </w:tcPr>
          <w:p>
            <w:r>
              <w:rPr>
                <w:sz w:val="19"/>
              </w:rPr>
            </w:r>
            <w:r>
              <w:rPr>
                <w:sz w:val="19"/>
              </w:rPr>
              <w:t>Number</w:t>
            </w:r>
          </w:p>
        </w:tc>
        <w:tc>
          <w:tcPr>
            <w:tcW w:type="dxa" w:w="1134"/>
          </w:tcPr>
          <w:p>
            <w:r>
              <w:rPr>
                <w:sz w:val="19"/>
              </w:rPr>
            </w:r>
            <w:r>
              <w:rPr>
                <w:sz w:val="19"/>
              </w:rPr>
              <w:t>Required</w:t>
            </w:r>
          </w:p>
        </w:tc>
        <w:tc>
          <w:tcPr>
            <w:tcW w:type="dxa" w:w="1928"/>
          </w:tcPr>
          <w:p>
            <w:r/>
            <w:r>
              <w:rPr>
                <w:rFonts w:ascii="Consolas" w:hAnsi="Consolas"/>
                <w:sz w:val="18"/>
              </w:rPr>
              <w:t>5,616</w:t>
            </w:r>
          </w:p>
        </w:tc>
        <w:tc>
          <w:tcPr>
            <w:tcW w:type="dxa" w:w="3515"/>
          </w:tcPr>
          <w:p>
            <w:r>
              <w:rPr>
                <w:sz w:val="19"/>
              </w:rPr>
            </w:r>
            <w:r>
              <w:rPr>
                <w:sz w:val="19"/>
              </w:rPr>
              <w:t>Cost of the goods sold on the row (units × unit cost).</w:t>
            </w:r>
          </w:p>
        </w:tc>
      </w:tr>
      <w:tr>
        <w:tc>
          <w:tcPr>
            <w:tcW w:type="dxa" w:w="1928"/>
          </w:tcPr>
          <w:p>
            <w:r/>
            <w:r>
              <w:rPr>
                <w:rFonts w:ascii="Consolas" w:hAnsi="Consolas"/>
                <w:sz w:val="18"/>
              </w:rPr>
              <w:t>Promotion_Cost</w:t>
            </w:r>
          </w:p>
        </w:tc>
        <w:tc>
          <w:tcPr>
            <w:tcW w:type="dxa" w:w="1134"/>
          </w:tcPr>
          <w:p>
            <w:r>
              <w:rPr>
                <w:sz w:val="19"/>
              </w:rPr>
            </w:r>
            <w:r>
              <w:rPr>
                <w:sz w:val="19"/>
              </w:rPr>
              <w:t>Number</w:t>
            </w:r>
          </w:p>
        </w:tc>
        <w:tc>
          <w:tcPr>
            <w:tcW w:type="dxa" w:w="1134"/>
          </w:tcPr>
          <w:p>
            <w:r>
              <w:rPr>
                <w:sz w:val="19"/>
              </w:rPr>
            </w:r>
            <w:r>
              <w:rPr>
                <w:sz w:val="19"/>
              </w:rPr>
              <w:t>Required</w:t>
            </w:r>
          </w:p>
        </w:tc>
        <w:tc>
          <w:tcPr>
            <w:tcW w:type="dxa" w:w="1928"/>
          </w:tcPr>
          <w:p>
            <w:r/>
            <w:r>
              <w:rPr>
                <w:rFonts w:ascii="Consolas" w:hAnsi="Consolas"/>
                <w:sz w:val="18"/>
              </w:rPr>
              <w:t>374</w:t>
            </w:r>
          </w:p>
        </w:tc>
        <w:tc>
          <w:tcPr>
            <w:tcW w:type="dxa" w:w="3515"/>
          </w:tcPr>
          <w:p>
            <w:r>
              <w:rPr>
                <w:sz w:val="19"/>
              </w:rPr>
            </w:r>
            <w:r>
              <w:rPr>
                <w:sz w:val="19"/>
              </w:rPr>
              <w:t>Cost of running the promotion on the row, on top of the discount. 0 with no promotion.</w:t>
            </w:r>
          </w:p>
        </w:tc>
      </w:tr>
    </w:tbl>
    <w:p/>
    <w:p>
      <w:pPr>
        <w:pStyle w:val="Heading3"/>
      </w:pPr>
      <w:r>
        <w:t>Product dimension — dim_product_reordered.csv (36 rows)</w:t>
      </w:r>
    </w:p>
    <w:p>
      <w:r>
        <w:t>Nine brands across three categories, each brand in four pack sizes. Packs of one brand are ranked by size; the smallest pack is never promoted and is the usual cannibalization victim.</w:t>
      </w:r>
    </w:p>
    <w:tbl>
      <w:tblPr>
        <w:tblStyle w:val="TableGrid"/>
        <w:tblW w:type="auto" w:w="0"/>
        <w:jc w:val="center"/>
        <w:tblLook w:firstColumn="1" w:firstRow="1" w:lastColumn="0" w:lastRow="0" w:noHBand="0" w:noVBand="1" w:val="04A0"/>
      </w:tblPr>
      <w:tblGrid>
        <w:gridCol w:w="1994"/>
        <w:gridCol w:w="1994"/>
        <w:gridCol w:w="1994"/>
        <w:gridCol w:w="1994"/>
        <w:gridCol w:w="1994"/>
      </w:tblGrid>
      <w:tr>
        <w:trPr>
          <w:tblHeader w:val="true"/>
        </w:trPr>
        <w:tc>
          <w:tcPr>
            <w:tcW w:type="dxa" w:w="1928"/>
            <w:shd w:val="clear" w:color="auto" w:fill="E3F1EF"/>
          </w:tcPr>
          <w:p>
            <w:r/>
            <w:r>
              <w:rPr>
                <w:b/>
                <w:sz w:val="19"/>
              </w:rPr>
              <w:t>Column</w:t>
            </w:r>
          </w:p>
        </w:tc>
        <w:tc>
          <w:tcPr>
            <w:tcW w:type="dxa" w:w="1134"/>
            <w:shd w:val="clear" w:color="auto" w:fill="E3F1EF"/>
          </w:tcPr>
          <w:p>
            <w:r/>
            <w:r>
              <w:rPr>
                <w:b/>
                <w:sz w:val="19"/>
              </w:rPr>
              <w:t>Type</w:t>
            </w:r>
          </w:p>
        </w:tc>
        <w:tc>
          <w:tcPr>
            <w:tcW w:type="dxa" w:w="1134"/>
            <w:shd w:val="clear" w:color="auto" w:fill="E3F1EF"/>
          </w:tcPr>
          <w:p>
            <w:r/>
            <w:r>
              <w:rPr>
                <w:b/>
                <w:sz w:val="19"/>
              </w:rPr>
              <w:t>Required?</w:t>
            </w:r>
          </w:p>
        </w:tc>
        <w:tc>
          <w:tcPr>
            <w:tcW w:type="dxa" w:w="1928"/>
            <w:shd w:val="clear" w:color="auto" w:fill="E3F1EF"/>
          </w:tcPr>
          <w:p>
            <w:r/>
            <w:r>
              <w:rPr>
                <w:b/>
                <w:sz w:val="19"/>
              </w:rPr>
              <w:t>Example</w:t>
            </w:r>
          </w:p>
        </w:tc>
        <w:tc>
          <w:tcPr>
            <w:tcW w:type="dxa" w:w="3515"/>
            <w:shd w:val="clear" w:color="auto" w:fill="E3F1EF"/>
          </w:tcPr>
          <w:p>
            <w:r/>
            <w:r>
              <w:rPr>
                <w:b/>
                <w:sz w:val="19"/>
              </w:rPr>
              <w:t>What it holds</w:t>
            </w:r>
          </w:p>
        </w:tc>
      </w:tr>
      <w:tr>
        <w:tc>
          <w:tcPr>
            <w:tcW w:type="dxa" w:w="1928"/>
          </w:tcPr>
          <w:p>
            <w:r/>
            <w:r>
              <w:rPr>
                <w:rFonts w:ascii="Consolas" w:hAnsi="Consolas"/>
                <w:sz w:val="18"/>
              </w:rPr>
              <w:t>Product_id</w:t>
            </w:r>
          </w:p>
        </w:tc>
        <w:tc>
          <w:tcPr>
            <w:tcW w:type="dxa" w:w="1134"/>
          </w:tcPr>
          <w:p>
            <w:r>
              <w:rPr>
                <w:sz w:val="19"/>
              </w:rPr>
            </w:r>
            <w:r>
              <w:rPr>
                <w:sz w:val="19"/>
              </w:rPr>
              <w:t>ID</w:t>
            </w:r>
          </w:p>
        </w:tc>
        <w:tc>
          <w:tcPr>
            <w:tcW w:type="dxa" w:w="1134"/>
          </w:tcPr>
          <w:p>
            <w:r>
              <w:rPr>
                <w:sz w:val="19"/>
              </w:rPr>
            </w:r>
            <w:r>
              <w:rPr>
                <w:sz w:val="19"/>
              </w:rPr>
              <w:t>Required</w:t>
            </w:r>
          </w:p>
        </w:tc>
        <w:tc>
          <w:tcPr>
            <w:tcW w:type="dxa" w:w="1928"/>
          </w:tcPr>
          <w:p>
            <w:r/>
            <w:r>
              <w:rPr>
                <w:rFonts w:ascii="Consolas" w:hAnsi="Consolas"/>
                <w:sz w:val="18"/>
              </w:rPr>
              <w:t>P11-50ml</w:t>
            </w:r>
          </w:p>
        </w:tc>
        <w:tc>
          <w:tcPr>
            <w:tcW w:type="dxa" w:w="3515"/>
          </w:tcPr>
          <w:p>
            <w:r>
              <w:rPr>
                <w:sz w:val="19"/>
              </w:rPr>
            </w:r>
            <w:r>
              <w:rPr>
                <w:sz w:val="19"/>
              </w:rPr>
              <w:t>Unique per product; the sales file refers to it.</w:t>
            </w:r>
          </w:p>
        </w:tc>
      </w:tr>
      <w:tr>
        <w:tc>
          <w:tcPr>
            <w:tcW w:type="dxa" w:w="1928"/>
          </w:tcPr>
          <w:p>
            <w:r/>
            <w:r>
              <w:rPr>
                <w:rFonts w:ascii="Consolas" w:hAnsi="Consolas"/>
                <w:sz w:val="18"/>
              </w:rPr>
              <w:t>Product_Name</w:t>
            </w:r>
          </w:p>
        </w:tc>
        <w:tc>
          <w:tcPr>
            <w:tcW w:type="dxa" w:w="1134"/>
          </w:tcPr>
          <w:p>
            <w:r>
              <w:rPr>
                <w:sz w:val="19"/>
              </w:rPr>
            </w:r>
            <w:r>
              <w:rPr>
                <w:sz w:val="19"/>
              </w:rPr>
              <w:t>Text</w:t>
            </w:r>
          </w:p>
        </w:tc>
        <w:tc>
          <w:tcPr>
            <w:tcW w:type="dxa" w:w="1134"/>
          </w:tcPr>
          <w:p>
            <w:r>
              <w:rPr>
                <w:sz w:val="19"/>
              </w:rPr>
            </w:r>
            <w:r>
              <w:rPr>
                <w:sz w:val="19"/>
              </w:rPr>
              <w:t>Required</w:t>
            </w:r>
          </w:p>
        </w:tc>
        <w:tc>
          <w:tcPr>
            <w:tcW w:type="dxa" w:w="1928"/>
          </w:tcPr>
          <w:p>
            <w:r/>
            <w:r>
              <w:rPr>
                <w:rFonts w:ascii="Consolas" w:hAnsi="Consolas"/>
                <w:sz w:val="18"/>
              </w:rPr>
              <w:t>Liquid Laundry Detergent 50 mL</w:t>
            </w:r>
          </w:p>
        </w:tc>
        <w:tc>
          <w:tcPr>
            <w:tcW w:type="dxa" w:w="3515"/>
          </w:tcPr>
          <w:p>
            <w:r>
              <w:rPr>
                <w:sz w:val="19"/>
              </w:rPr>
            </w:r>
            <w:r>
              <w:rPr>
                <w:sz w:val="19"/>
              </w:rPr>
              <w:t>Display name.</w:t>
            </w:r>
          </w:p>
        </w:tc>
      </w:tr>
      <w:tr>
        <w:tc>
          <w:tcPr>
            <w:tcW w:type="dxa" w:w="1928"/>
          </w:tcPr>
          <w:p>
            <w:r/>
            <w:r>
              <w:rPr>
                <w:rFonts w:ascii="Consolas" w:hAnsi="Consolas"/>
                <w:sz w:val="18"/>
              </w:rPr>
              <w:t>Brand</w:t>
            </w:r>
          </w:p>
        </w:tc>
        <w:tc>
          <w:tcPr>
            <w:tcW w:type="dxa" w:w="1134"/>
          </w:tcPr>
          <w:p>
            <w:r>
              <w:rPr>
                <w:sz w:val="19"/>
              </w:rPr>
            </w:r>
            <w:r>
              <w:rPr>
                <w:sz w:val="19"/>
              </w:rPr>
              <w:t>Text</w:t>
            </w:r>
          </w:p>
        </w:tc>
        <w:tc>
          <w:tcPr>
            <w:tcW w:type="dxa" w:w="1134"/>
          </w:tcPr>
          <w:p>
            <w:r>
              <w:rPr>
                <w:sz w:val="19"/>
              </w:rPr>
            </w:r>
            <w:r>
              <w:rPr>
                <w:sz w:val="19"/>
              </w:rPr>
              <w:t>Required</w:t>
            </w:r>
          </w:p>
        </w:tc>
        <w:tc>
          <w:tcPr>
            <w:tcW w:type="dxa" w:w="1928"/>
          </w:tcPr>
          <w:p>
            <w:r/>
            <w:r>
              <w:rPr>
                <w:rFonts w:ascii="Consolas" w:hAnsi="Consolas"/>
                <w:sz w:val="18"/>
              </w:rPr>
              <w:t>Laundry Detergent</w:t>
            </w:r>
          </w:p>
        </w:tc>
        <w:tc>
          <w:tcPr>
            <w:tcW w:type="dxa" w:w="3515"/>
          </w:tcPr>
          <w:p>
            <w:r>
              <w:rPr>
                <w:sz w:val="19"/>
              </w:rPr>
            </w:r>
            <w:r>
              <w:rPr>
                <w:sz w:val="19"/>
              </w:rPr>
              <w:t>Brand Form: the four pack sizes that share it compete with each other.</w:t>
            </w:r>
          </w:p>
        </w:tc>
      </w:tr>
      <w:tr>
        <w:tc>
          <w:tcPr>
            <w:tcW w:type="dxa" w:w="1928"/>
          </w:tcPr>
          <w:p>
            <w:r/>
            <w:r>
              <w:rPr>
                <w:rFonts w:ascii="Consolas" w:hAnsi="Consolas"/>
                <w:sz w:val="18"/>
              </w:rPr>
              <w:t>Category</w:t>
            </w:r>
          </w:p>
        </w:tc>
        <w:tc>
          <w:tcPr>
            <w:tcW w:type="dxa" w:w="1134"/>
          </w:tcPr>
          <w:p>
            <w:r>
              <w:rPr>
                <w:sz w:val="19"/>
              </w:rPr>
            </w:r>
            <w:r>
              <w:rPr>
                <w:sz w:val="19"/>
              </w:rPr>
              <w:t>Text</w:t>
            </w:r>
          </w:p>
        </w:tc>
        <w:tc>
          <w:tcPr>
            <w:tcW w:type="dxa" w:w="1134"/>
          </w:tcPr>
          <w:p>
            <w:r>
              <w:rPr>
                <w:sz w:val="19"/>
              </w:rPr>
            </w:r>
            <w:r>
              <w:rPr>
                <w:sz w:val="19"/>
              </w:rPr>
              <w:t>Required</w:t>
            </w:r>
          </w:p>
        </w:tc>
        <w:tc>
          <w:tcPr>
            <w:tcW w:type="dxa" w:w="1928"/>
          </w:tcPr>
          <w:p>
            <w:r/>
            <w:r>
              <w:rPr>
                <w:rFonts w:ascii="Consolas" w:hAnsi="Consolas"/>
                <w:sz w:val="18"/>
              </w:rPr>
              <w:t>Fabric &amp; Home Care</w:t>
            </w:r>
          </w:p>
        </w:tc>
        <w:tc>
          <w:tcPr>
            <w:tcW w:type="dxa" w:w="3515"/>
          </w:tcPr>
          <w:p>
            <w:r>
              <w:rPr>
                <w:sz w:val="19"/>
              </w:rPr>
            </w:r>
            <w:r>
              <w:rPr>
                <w:sz w:val="19"/>
              </w:rPr>
              <w:t>Fabric &amp; Home Care, Baby Care or Health Care.</w:t>
            </w:r>
          </w:p>
        </w:tc>
      </w:tr>
      <w:tr>
        <w:tc>
          <w:tcPr>
            <w:tcW w:type="dxa" w:w="1928"/>
          </w:tcPr>
          <w:p>
            <w:r/>
            <w:r>
              <w:rPr>
                <w:rFonts w:ascii="Consolas" w:hAnsi="Consolas"/>
                <w:sz w:val="18"/>
              </w:rPr>
              <w:t>Size</w:t>
            </w:r>
          </w:p>
        </w:tc>
        <w:tc>
          <w:tcPr>
            <w:tcW w:type="dxa" w:w="1134"/>
          </w:tcPr>
          <w:p>
            <w:r>
              <w:rPr>
                <w:sz w:val="19"/>
              </w:rPr>
            </w:r>
            <w:r>
              <w:rPr>
                <w:sz w:val="19"/>
              </w:rPr>
              <w:t>Text</w:t>
            </w:r>
          </w:p>
        </w:tc>
        <w:tc>
          <w:tcPr>
            <w:tcW w:type="dxa" w:w="1134"/>
          </w:tcPr>
          <w:p>
            <w:r>
              <w:rPr>
                <w:sz w:val="19"/>
              </w:rPr>
            </w:r>
            <w:r>
              <w:rPr>
                <w:sz w:val="19"/>
              </w:rPr>
              <w:t>Required</w:t>
            </w:r>
          </w:p>
        </w:tc>
        <w:tc>
          <w:tcPr>
            <w:tcW w:type="dxa" w:w="1928"/>
          </w:tcPr>
          <w:p>
            <w:r/>
            <w:r>
              <w:rPr>
                <w:rFonts w:ascii="Consolas" w:hAnsi="Consolas"/>
                <w:sz w:val="18"/>
              </w:rPr>
              <w:t>50 mL</w:t>
            </w:r>
          </w:p>
        </w:tc>
        <w:tc>
          <w:tcPr>
            <w:tcW w:type="dxa" w:w="3515"/>
          </w:tcPr>
          <w:p>
            <w:r>
              <w:rPr>
                <w:sz w:val="19"/>
              </w:rPr>
            </w:r>
            <w:r>
              <w:rPr>
                <w:sz w:val="19"/>
              </w:rPr>
              <w:t>Pack size as printed; its number orders the packs within a brand.</w:t>
            </w:r>
          </w:p>
        </w:tc>
      </w:tr>
    </w:tbl>
    <w:p/>
    <w:p>
      <w:pPr>
        <w:pStyle w:val="Heading3"/>
      </w:pPr>
      <w:r>
        <w:t>Store / geography dimension — dim_geo_store_final.csv (65 rows)</w:t>
      </w:r>
    </w:p>
    <w:p>
      <w:r>
        <w:t>Every trading store: its channel, the retailer or distributor behind it, and where it is. 13 cities in 5 regions, city tiers 1–3.</w:t>
      </w:r>
    </w:p>
    <w:tbl>
      <w:tblPr>
        <w:tblStyle w:val="TableGrid"/>
        <w:tblW w:type="auto" w:w="0"/>
        <w:jc w:val="center"/>
        <w:tblLook w:firstColumn="1" w:firstRow="1" w:lastColumn="0" w:lastRow="0" w:noHBand="0" w:noVBand="1" w:val="04A0"/>
      </w:tblPr>
      <w:tblGrid>
        <w:gridCol w:w="1994"/>
        <w:gridCol w:w="1994"/>
        <w:gridCol w:w="1994"/>
        <w:gridCol w:w="1994"/>
        <w:gridCol w:w="1994"/>
      </w:tblGrid>
      <w:tr>
        <w:trPr>
          <w:tblHeader w:val="true"/>
        </w:trPr>
        <w:tc>
          <w:tcPr>
            <w:tcW w:type="dxa" w:w="1928"/>
            <w:shd w:val="clear" w:color="auto" w:fill="E3F1EF"/>
          </w:tcPr>
          <w:p>
            <w:r/>
            <w:r>
              <w:rPr>
                <w:b/>
                <w:sz w:val="19"/>
              </w:rPr>
              <w:t>Column</w:t>
            </w:r>
          </w:p>
        </w:tc>
        <w:tc>
          <w:tcPr>
            <w:tcW w:type="dxa" w:w="1134"/>
            <w:shd w:val="clear" w:color="auto" w:fill="E3F1EF"/>
          </w:tcPr>
          <w:p>
            <w:r/>
            <w:r>
              <w:rPr>
                <w:b/>
                <w:sz w:val="19"/>
              </w:rPr>
              <w:t>Type</w:t>
            </w:r>
          </w:p>
        </w:tc>
        <w:tc>
          <w:tcPr>
            <w:tcW w:type="dxa" w:w="1134"/>
            <w:shd w:val="clear" w:color="auto" w:fill="E3F1EF"/>
          </w:tcPr>
          <w:p>
            <w:r/>
            <w:r>
              <w:rPr>
                <w:b/>
                <w:sz w:val="19"/>
              </w:rPr>
              <w:t>Required?</w:t>
            </w:r>
          </w:p>
        </w:tc>
        <w:tc>
          <w:tcPr>
            <w:tcW w:type="dxa" w:w="1928"/>
            <w:shd w:val="clear" w:color="auto" w:fill="E3F1EF"/>
          </w:tcPr>
          <w:p>
            <w:r/>
            <w:r>
              <w:rPr>
                <w:b/>
                <w:sz w:val="19"/>
              </w:rPr>
              <w:t>Example</w:t>
            </w:r>
          </w:p>
        </w:tc>
        <w:tc>
          <w:tcPr>
            <w:tcW w:type="dxa" w:w="3515"/>
            <w:shd w:val="clear" w:color="auto" w:fill="E3F1EF"/>
          </w:tcPr>
          <w:p>
            <w:r/>
            <w:r>
              <w:rPr>
                <w:b/>
                <w:sz w:val="19"/>
              </w:rPr>
              <w:t>What it holds</w:t>
            </w:r>
          </w:p>
        </w:tc>
      </w:tr>
      <w:tr>
        <w:tc>
          <w:tcPr>
            <w:tcW w:type="dxa" w:w="1928"/>
          </w:tcPr>
          <w:p>
            <w:r/>
            <w:r>
              <w:rPr>
                <w:rFonts w:ascii="Consolas" w:hAnsi="Consolas"/>
                <w:sz w:val="18"/>
              </w:rPr>
              <w:t>Store_Id</w:t>
            </w:r>
          </w:p>
        </w:tc>
        <w:tc>
          <w:tcPr>
            <w:tcW w:type="dxa" w:w="1134"/>
          </w:tcPr>
          <w:p>
            <w:r>
              <w:rPr>
                <w:sz w:val="19"/>
              </w:rPr>
            </w:r>
            <w:r>
              <w:rPr>
                <w:sz w:val="19"/>
              </w:rPr>
              <w:t>ID</w:t>
            </w:r>
          </w:p>
        </w:tc>
        <w:tc>
          <w:tcPr>
            <w:tcW w:type="dxa" w:w="1134"/>
          </w:tcPr>
          <w:p>
            <w:r>
              <w:rPr>
                <w:sz w:val="19"/>
              </w:rPr>
            </w:r>
            <w:r>
              <w:rPr>
                <w:sz w:val="19"/>
              </w:rPr>
              <w:t>Required</w:t>
            </w:r>
          </w:p>
        </w:tc>
        <w:tc>
          <w:tcPr>
            <w:tcW w:type="dxa" w:w="1928"/>
          </w:tcPr>
          <w:p>
            <w:r/>
            <w:r>
              <w:rPr>
                <w:rFonts w:ascii="Consolas" w:hAnsi="Consolas"/>
                <w:sz w:val="18"/>
              </w:rPr>
              <w:t>S211</w:t>
            </w:r>
          </w:p>
        </w:tc>
        <w:tc>
          <w:tcPr>
            <w:tcW w:type="dxa" w:w="3515"/>
          </w:tcPr>
          <w:p>
            <w:r>
              <w:rPr>
                <w:sz w:val="19"/>
              </w:rPr>
            </w:r>
            <w:r>
              <w:rPr>
                <w:sz w:val="19"/>
              </w:rPr>
              <w:t>Unique per store; the sales file refers to it.</w:t>
            </w:r>
          </w:p>
        </w:tc>
      </w:tr>
      <w:tr>
        <w:tc>
          <w:tcPr>
            <w:tcW w:type="dxa" w:w="1928"/>
          </w:tcPr>
          <w:p>
            <w:r/>
            <w:r>
              <w:rPr>
                <w:rFonts w:ascii="Consolas" w:hAnsi="Consolas"/>
                <w:sz w:val="18"/>
              </w:rPr>
              <w:t>Channel_Id</w:t>
            </w:r>
          </w:p>
        </w:tc>
        <w:tc>
          <w:tcPr>
            <w:tcW w:type="dxa" w:w="1134"/>
          </w:tcPr>
          <w:p>
            <w:r>
              <w:rPr>
                <w:sz w:val="19"/>
              </w:rPr>
            </w:r>
            <w:r>
              <w:rPr>
                <w:sz w:val="19"/>
              </w:rPr>
              <w:t>ID</w:t>
            </w:r>
          </w:p>
        </w:tc>
        <w:tc>
          <w:tcPr>
            <w:tcW w:type="dxa" w:w="1134"/>
          </w:tcPr>
          <w:p>
            <w:r>
              <w:rPr>
                <w:sz w:val="19"/>
              </w:rPr>
            </w:r>
            <w:r>
              <w:rPr>
                <w:sz w:val="19"/>
              </w:rPr>
              <w:t>Required</w:t>
            </w:r>
          </w:p>
        </w:tc>
        <w:tc>
          <w:tcPr>
            <w:tcW w:type="dxa" w:w="1928"/>
          </w:tcPr>
          <w:p>
            <w:r/>
            <w:r>
              <w:rPr>
                <w:rFonts w:ascii="Consolas" w:hAnsi="Consolas"/>
                <w:sz w:val="18"/>
              </w:rPr>
              <w:t>CH001</w:t>
            </w:r>
          </w:p>
        </w:tc>
        <w:tc>
          <w:tcPr>
            <w:tcW w:type="dxa" w:w="3515"/>
          </w:tcPr>
          <w:p>
            <w:r>
              <w:rPr>
                <w:sz w:val="19"/>
              </w:rPr>
            </w:r>
            <w:r>
              <w:rPr>
                <w:sz w:val="19"/>
              </w:rPr>
              <w:t>The channel the store trades in. Must exist in the channel file.</w:t>
            </w:r>
          </w:p>
        </w:tc>
      </w:tr>
      <w:tr>
        <w:tc>
          <w:tcPr>
            <w:tcW w:type="dxa" w:w="1928"/>
          </w:tcPr>
          <w:p>
            <w:r/>
            <w:r>
              <w:rPr>
                <w:rFonts w:ascii="Consolas" w:hAnsi="Consolas"/>
                <w:sz w:val="18"/>
              </w:rPr>
              <w:t>Retailer</w:t>
            </w:r>
          </w:p>
        </w:tc>
        <w:tc>
          <w:tcPr>
            <w:tcW w:type="dxa" w:w="1134"/>
          </w:tcPr>
          <w:p>
            <w:r>
              <w:rPr>
                <w:sz w:val="19"/>
              </w:rPr>
            </w:r>
            <w:r>
              <w:rPr>
                <w:sz w:val="19"/>
              </w:rPr>
              <w:t>Text</w:t>
            </w:r>
          </w:p>
        </w:tc>
        <w:tc>
          <w:tcPr>
            <w:tcW w:type="dxa" w:w="1134"/>
          </w:tcPr>
          <w:p>
            <w:r>
              <w:rPr>
                <w:sz w:val="19"/>
              </w:rPr>
            </w:r>
            <w:r>
              <w:rPr>
                <w:sz w:val="19"/>
              </w:rPr>
              <w:t>Required</w:t>
            </w:r>
          </w:p>
        </w:tc>
        <w:tc>
          <w:tcPr>
            <w:tcW w:type="dxa" w:w="1928"/>
          </w:tcPr>
          <w:p>
            <w:r/>
            <w:r>
              <w:rPr>
                <w:rFonts w:ascii="Consolas" w:hAnsi="Consolas"/>
                <w:sz w:val="18"/>
              </w:rPr>
              <w:t>Amazon</w:t>
            </w:r>
          </w:p>
        </w:tc>
        <w:tc>
          <w:tcPr>
            <w:tcW w:type="dxa" w:w="3515"/>
          </w:tcPr>
          <w:p>
            <w:r>
              <w:rPr>
                <w:sz w:val="19"/>
              </w:rPr>
            </w:r>
            <w:r>
              <w:rPr>
                <w:sz w:val="19"/>
              </w:rPr>
              <w:t>Retail banner. Blank for distributor-served (B2B) stores.</w:t>
            </w:r>
          </w:p>
        </w:tc>
      </w:tr>
      <w:tr>
        <w:tc>
          <w:tcPr>
            <w:tcW w:type="dxa" w:w="1928"/>
          </w:tcPr>
          <w:p>
            <w:r/>
            <w:r>
              <w:rPr>
                <w:rFonts w:ascii="Consolas" w:hAnsi="Consolas"/>
                <w:sz w:val="18"/>
              </w:rPr>
              <w:t>Distributor_Name</w:t>
            </w:r>
          </w:p>
        </w:tc>
        <w:tc>
          <w:tcPr>
            <w:tcW w:type="dxa" w:w="1134"/>
          </w:tcPr>
          <w:p>
            <w:r>
              <w:rPr>
                <w:sz w:val="19"/>
              </w:rPr>
            </w:r>
            <w:r>
              <w:rPr>
                <w:sz w:val="19"/>
              </w:rPr>
              <w:t>Text</w:t>
            </w:r>
          </w:p>
        </w:tc>
        <w:tc>
          <w:tcPr>
            <w:tcW w:type="dxa" w:w="1134"/>
          </w:tcPr>
          <w:p>
            <w:r>
              <w:rPr>
                <w:sz w:val="19"/>
              </w:rPr>
            </w:r>
            <w:r>
              <w:rPr>
                <w:sz w:val="19"/>
              </w:rPr>
              <w:t>Optional</w:t>
            </w:r>
          </w:p>
        </w:tc>
        <w:tc>
          <w:tcPr>
            <w:tcW w:type="dxa" w:w="1928"/>
          </w:tcPr>
          <w:p>
            <w:r/>
            <w:r>
              <w:rPr>
                <w:rFonts w:ascii="Consolas" w:hAnsi="Consolas"/>
                <w:sz w:val="18"/>
              </w:rPr>
              <w:t>Distributor_01</w:t>
            </w:r>
          </w:p>
        </w:tc>
        <w:tc>
          <w:tcPr>
            <w:tcW w:type="dxa" w:w="3515"/>
          </w:tcPr>
          <w:p>
            <w:r>
              <w:rPr>
                <w:sz w:val="19"/>
              </w:rPr>
            </w:r>
            <w:r>
              <w:rPr>
                <w:sz w:val="19"/>
              </w:rPr>
              <w:t>Distributor serving a B2B store. Blank otherwise.</w:t>
            </w:r>
          </w:p>
        </w:tc>
      </w:tr>
      <w:tr>
        <w:tc>
          <w:tcPr>
            <w:tcW w:type="dxa" w:w="1928"/>
          </w:tcPr>
          <w:p>
            <w:r/>
            <w:r>
              <w:rPr>
                <w:rFonts w:ascii="Consolas" w:hAnsi="Consolas"/>
                <w:sz w:val="18"/>
              </w:rPr>
              <w:t>Region</w:t>
            </w:r>
          </w:p>
        </w:tc>
        <w:tc>
          <w:tcPr>
            <w:tcW w:type="dxa" w:w="1134"/>
          </w:tcPr>
          <w:p>
            <w:r>
              <w:rPr>
                <w:sz w:val="19"/>
              </w:rPr>
            </w:r>
            <w:r>
              <w:rPr>
                <w:sz w:val="19"/>
              </w:rPr>
              <w:t>Text</w:t>
            </w:r>
          </w:p>
        </w:tc>
        <w:tc>
          <w:tcPr>
            <w:tcW w:type="dxa" w:w="1134"/>
          </w:tcPr>
          <w:p>
            <w:r>
              <w:rPr>
                <w:sz w:val="19"/>
              </w:rPr>
            </w:r>
            <w:r>
              <w:rPr>
                <w:sz w:val="19"/>
              </w:rPr>
              <w:t>Required</w:t>
            </w:r>
          </w:p>
        </w:tc>
        <w:tc>
          <w:tcPr>
            <w:tcW w:type="dxa" w:w="1928"/>
          </w:tcPr>
          <w:p>
            <w:r/>
            <w:r>
              <w:rPr>
                <w:rFonts w:ascii="Consolas" w:hAnsi="Consolas"/>
                <w:sz w:val="18"/>
              </w:rPr>
              <w:t>North</w:t>
            </w:r>
          </w:p>
        </w:tc>
        <w:tc>
          <w:tcPr>
            <w:tcW w:type="dxa" w:w="3515"/>
          </w:tcPr>
          <w:p>
            <w:r>
              <w:rPr>
                <w:sz w:val="19"/>
              </w:rPr>
            </w:r>
            <w:r>
              <w:rPr>
                <w:sz w:val="19"/>
              </w:rPr>
              <w:t>North, South, East, West or Central.</w:t>
            </w:r>
          </w:p>
        </w:tc>
      </w:tr>
      <w:tr>
        <w:tc>
          <w:tcPr>
            <w:tcW w:type="dxa" w:w="1928"/>
          </w:tcPr>
          <w:p>
            <w:r/>
            <w:r>
              <w:rPr>
                <w:rFonts w:ascii="Consolas" w:hAnsi="Consolas"/>
                <w:sz w:val="18"/>
              </w:rPr>
              <w:t>Country</w:t>
            </w:r>
          </w:p>
        </w:tc>
        <w:tc>
          <w:tcPr>
            <w:tcW w:type="dxa" w:w="1134"/>
          </w:tcPr>
          <w:p>
            <w:r>
              <w:rPr>
                <w:sz w:val="19"/>
              </w:rPr>
            </w:r>
            <w:r>
              <w:rPr>
                <w:sz w:val="19"/>
              </w:rPr>
              <w:t>Text</w:t>
            </w:r>
          </w:p>
        </w:tc>
        <w:tc>
          <w:tcPr>
            <w:tcW w:type="dxa" w:w="1134"/>
          </w:tcPr>
          <w:p>
            <w:r>
              <w:rPr>
                <w:sz w:val="19"/>
              </w:rPr>
            </w:r>
            <w:r>
              <w:rPr>
                <w:sz w:val="19"/>
              </w:rPr>
              <w:t>Optional</w:t>
            </w:r>
          </w:p>
        </w:tc>
        <w:tc>
          <w:tcPr>
            <w:tcW w:type="dxa" w:w="1928"/>
          </w:tcPr>
          <w:p>
            <w:r/>
            <w:r>
              <w:rPr>
                <w:rFonts w:ascii="Consolas" w:hAnsi="Consolas"/>
                <w:sz w:val="18"/>
              </w:rPr>
              <w:t>India</w:t>
            </w:r>
          </w:p>
        </w:tc>
        <w:tc>
          <w:tcPr>
            <w:tcW w:type="dxa" w:w="3515"/>
          </w:tcPr>
          <w:p>
            <w:r>
              <w:rPr>
                <w:sz w:val="19"/>
              </w:rPr>
            </w:r>
            <w:r>
              <w:rPr>
                <w:sz w:val="19"/>
              </w:rPr>
              <w:t>Country.</w:t>
            </w:r>
          </w:p>
        </w:tc>
      </w:tr>
      <w:tr>
        <w:tc>
          <w:tcPr>
            <w:tcW w:type="dxa" w:w="1928"/>
          </w:tcPr>
          <w:p>
            <w:r/>
            <w:r>
              <w:rPr>
                <w:rFonts w:ascii="Consolas" w:hAnsi="Consolas"/>
                <w:sz w:val="18"/>
              </w:rPr>
              <w:t>State</w:t>
            </w:r>
          </w:p>
        </w:tc>
        <w:tc>
          <w:tcPr>
            <w:tcW w:type="dxa" w:w="1134"/>
          </w:tcPr>
          <w:p>
            <w:r>
              <w:rPr>
                <w:sz w:val="19"/>
              </w:rPr>
            </w:r>
            <w:r>
              <w:rPr>
                <w:sz w:val="19"/>
              </w:rPr>
              <w:t>Text</w:t>
            </w:r>
          </w:p>
        </w:tc>
        <w:tc>
          <w:tcPr>
            <w:tcW w:type="dxa" w:w="1134"/>
          </w:tcPr>
          <w:p>
            <w:r>
              <w:rPr>
                <w:sz w:val="19"/>
              </w:rPr>
            </w:r>
            <w:r>
              <w:rPr>
                <w:sz w:val="19"/>
              </w:rPr>
              <w:t>Required</w:t>
            </w:r>
          </w:p>
        </w:tc>
        <w:tc>
          <w:tcPr>
            <w:tcW w:type="dxa" w:w="1928"/>
          </w:tcPr>
          <w:p>
            <w:r/>
            <w:r>
              <w:rPr>
                <w:rFonts w:ascii="Consolas" w:hAnsi="Consolas"/>
                <w:sz w:val="18"/>
              </w:rPr>
              <w:t>Delhi</w:t>
            </w:r>
          </w:p>
        </w:tc>
        <w:tc>
          <w:tcPr>
            <w:tcW w:type="dxa" w:w="3515"/>
          </w:tcPr>
          <w:p>
            <w:r>
              <w:rPr>
                <w:sz w:val="19"/>
              </w:rPr>
            </w:r>
            <w:r>
              <w:rPr>
                <w:sz w:val="19"/>
              </w:rPr>
              <w:t>State.</w:t>
            </w:r>
          </w:p>
        </w:tc>
      </w:tr>
      <w:tr>
        <w:tc>
          <w:tcPr>
            <w:tcW w:type="dxa" w:w="1928"/>
          </w:tcPr>
          <w:p>
            <w:r/>
            <w:r>
              <w:rPr>
                <w:rFonts w:ascii="Consolas" w:hAnsi="Consolas"/>
                <w:sz w:val="18"/>
              </w:rPr>
              <w:t>City</w:t>
            </w:r>
          </w:p>
        </w:tc>
        <w:tc>
          <w:tcPr>
            <w:tcW w:type="dxa" w:w="1134"/>
          </w:tcPr>
          <w:p>
            <w:r>
              <w:rPr>
                <w:sz w:val="19"/>
              </w:rPr>
            </w:r>
            <w:r>
              <w:rPr>
                <w:sz w:val="19"/>
              </w:rPr>
              <w:t>Text</w:t>
            </w:r>
          </w:p>
        </w:tc>
        <w:tc>
          <w:tcPr>
            <w:tcW w:type="dxa" w:w="1134"/>
          </w:tcPr>
          <w:p>
            <w:r>
              <w:rPr>
                <w:sz w:val="19"/>
              </w:rPr>
            </w:r>
            <w:r>
              <w:rPr>
                <w:sz w:val="19"/>
              </w:rPr>
              <w:t>Required</w:t>
            </w:r>
          </w:p>
        </w:tc>
        <w:tc>
          <w:tcPr>
            <w:tcW w:type="dxa" w:w="1928"/>
          </w:tcPr>
          <w:p>
            <w:r/>
            <w:r>
              <w:rPr>
                <w:rFonts w:ascii="Consolas" w:hAnsi="Consolas"/>
                <w:sz w:val="18"/>
              </w:rPr>
              <w:t>Delhi</w:t>
            </w:r>
          </w:p>
        </w:tc>
        <w:tc>
          <w:tcPr>
            <w:tcW w:type="dxa" w:w="3515"/>
          </w:tcPr>
          <w:p>
            <w:r>
              <w:rPr>
                <w:sz w:val="19"/>
              </w:rPr>
            </w:r>
            <w:r>
              <w:rPr>
                <w:sz w:val="19"/>
              </w:rPr>
              <w:t>City.</w:t>
            </w:r>
          </w:p>
        </w:tc>
      </w:tr>
      <w:tr>
        <w:tc>
          <w:tcPr>
            <w:tcW w:type="dxa" w:w="1928"/>
          </w:tcPr>
          <w:p>
            <w:r/>
            <w:r>
              <w:rPr>
                <w:rFonts w:ascii="Consolas" w:hAnsi="Consolas"/>
                <w:sz w:val="18"/>
              </w:rPr>
              <w:t>Tier</w:t>
            </w:r>
          </w:p>
        </w:tc>
        <w:tc>
          <w:tcPr>
            <w:tcW w:type="dxa" w:w="1134"/>
          </w:tcPr>
          <w:p>
            <w:r>
              <w:rPr>
                <w:sz w:val="19"/>
              </w:rPr>
            </w:r>
            <w:r>
              <w:rPr>
                <w:sz w:val="19"/>
              </w:rPr>
              <w:t>Text</w:t>
            </w:r>
          </w:p>
        </w:tc>
        <w:tc>
          <w:tcPr>
            <w:tcW w:type="dxa" w:w="1134"/>
          </w:tcPr>
          <w:p>
            <w:r>
              <w:rPr>
                <w:sz w:val="19"/>
              </w:rPr>
            </w:r>
            <w:r>
              <w:rPr>
                <w:sz w:val="19"/>
              </w:rPr>
              <w:t>Required</w:t>
            </w:r>
          </w:p>
        </w:tc>
        <w:tc>
          <w:tcPr>
            <w:tcW w:type="dxa" w:w="1928"/>
          </w:tcPr>
          <w:p>
            <w:r/>
            <w:r>
              <w:rPr>
                <w:rFonts w:ascii="Consolas" w:hAnsi="Consolas"/>
                <w:sz w:val="18"/>
              </w:rPr>
              <w:t>Tier 1</w:t>
            </w:r>
          </w:p>
        </w:tc>
        <w:tc>
          <w:tcPr>
            <w:tcW w:type="dxa" w:w="3515"/>
          </w:tcPr>
          <w:p>
            <w:r>
              <w:rPr>
                <w:sz w:val="19"/>
              </w:rPr>
            </w:r>
            <w:r>
              <w:rPr>
                <w:sz w:val="19"/>
              </w:rPr>
              <w:t>City tier, Tier 1 (metro) to Tier 3.</w:t>
            </w:r>
          </w:p>
        </w:tc>
      </w:tr>
    </w:tbl>
    <w:p/>
    <w:p>
      <w:pPr>
        <w:pStyle w:val="Heading3"/>
      </w:pPr>
      <w:r>
        <w:t>Channel dimension — dim_channel.csv (6 rows)</w:t>
      </w:r>
    </w:p>
    <w:p>
      <w:r>
        <w:t>E-commerce, Modern Trade, General Trade, Travel &amp; Hospitality, B2B and Q-Commerce.</w:t>
      </w:r>
    </w:p>
    <w:tbl>
      <w:tblPr>
        <w:tblStyle w:val="TableGrid"/>
        <w:tblW w:type="auto" w:w="0"/>
        <w:jc w:val="center"/>
        <w:tblLook w:firstColumn="1" w:firstRow="1" w:lastColumn="0" w:lastRow="0" w:noHBand="0" w:noVBand="1" w:val="04A0"/>
      </w:tblPr>
      <w:tblGrid>
        <w:gridCol w:w="1994"/>
        <w:gridCol w:w="1994"/>
        <w:gridCol w:w="1994"/>
        <w:gridCol w:w="1994"/>
        <w:gridCol w:w="1994"/>
      </w:tblGrid>
      <w:tr>
        <w:trPr>
          <w:tblHeader w:val="true"/>
        </w:trPr>
        <w:tc>
          <w:tcPr>
            <w:tcW w:type="dxa" w:w="1928"/>
            <w:shd w:val="clear" w:color="auto" w:fill="E3F1EF"/>
          </w:tcPr>
          <w:p>
            <w:r/>
            <w:r>
              <w:rPr>
                <w:b/>
                <w:sz w:val="19"/>
              </w:rPr>
              <w:t>Column</w:t>
            </w:r>
          </w:p>
        </w:tc>
        <w:tc>
          <w:tcPr>
            <w:tcW w:type="dxa" w:w="1134"/>
            <w:shd w:val="clear" w:color="auto" w:fill="E3F1EF"/>
          </w:tcPr>
          <w:p>
            <w:r/>
            <w:r>
              <w:rPr>
                <w:b/>
                <w:sz w:val="19"/>
              </w:rPr>
              <w:t>Type</w:t>
            </w:r>
          </w:p>
        </w:tc>
        <w:tc>
          <w:tcPr>
            <w:tcW w:type="dxa" w:w="1134"/>
            <w:shd w:val="clear" w:color="auto" w:fill="E3F1EF"/>
          </w:tcPr>
          <w:p>
            <w:r/>
            <w:r>
              <w:rPr>
                <w:b/>
                <w:sz w:val="19"/>
              </w:rPr>
              <w:t>Required?</w:t>
            </w:r>
          </w:p>
        </w:tc>
        <w:tc>
          <w:tcPr>
            <w:tcW w:type="dxa" w:w="1928"/>
            <w:shd w:val="clear" w:color="auto" w:fill="E3F1EF"/>
          </w:tcPr>
          <w:p>
            <w:r/>
            <w:r>
              <w:rPr>
                <w:b/>
                <w:sz w:val="19"/>
              </w:rPr>
              <w:t>Example</w:t>
            </w:r>
          </w:p>
        </w:tc>
        <w:tc>
          <w:tcPr>
            <w:tcW w:type="dxa" w:w="3515"/>
            <w:shd w:val="clear" w:color="auto" w:fill="E3F1EF"/>
          </w:tcPr>
          <w:p>
            <w:r/>
            <w:r>
              <w:rPr>
                <w:b/>
                <w:sz w:val="19"/>
              </w:rPr>
              <w:t>What it holds</w:t>
            </w:r>
          </w:p>
        </w:tc>
      </w:tr>
      <w:tr>
        <w:tc>
          <w:tcPr>
            <w:tcW w:type="dxa" w:w="1928"/>
          </w:tcPr>
          <w:p>
            <w:r/>
            <w:r>
              <w:rPr>
                <w:rFonts w:ascii="Consolas" w:hAnsi="Consolas"/>
                <w:sz w:val="18"/>
              </w:rPr>
              <w:t>Channel_Id</w:t>
            </w:r>
          </w:p>
        </w:tc>
        <w:tc>
          <w:tcPr>
            <w:tcW w:type="dxa" w:w="1134"/>
          </w:tcPr>
          <w:p>
            <w:r>
              <w:rPr>
                <w:sz w:val="19"/>
              </w:rPr>
            </w:r>
            <w:r>
              <w:rPr>
                <w:sz w:val="19"/>
              </w:rPr>
              <w:t>ID</w:t>
            </w:r>
          </w:p>
        </w:tc>
        <w:tc>
          <w:tcPr>
            <w:tcW w:type="dxa" w:w="1134"/>
          </w:tcPr>
          <w:p>
            <w:r>
              <w:rPr>
                <w:sz w:val="19"/>
              </w:rPr>
            </w:r>
            <w:r>
              <w:rPr>
                <w:sz w:val="19"/>
              </w:rPr>
              <w:t>Required</w:t>
            </w:r>
          </w:p>
        </w:tc>
        <w:tc>
          <w:tcPr>
            <w:tcW w:type="dxa" w:w="1928"/>
          </w:tcPr>
          <w:p>
            <w:r/>
            <w:r>
              <w:rPr>
                <w:rFonts w:ascii="Consolas" w:hAnsi="Consolas"/>
                <w:sz w:val="18"/>
              </w:rPr>
              <w:t>CH002</w:t>
            </w:r>
          </w:p>
        </w:tc>
        <w:tc>
          <w:tcPr>
            <w:tcW w:type="dxa" w:w="3515"/>
          </w:tcPr>
          <w:p>
            <w:r>
              <w:rPr>
                <w:sz w:val="19"/>
              </w:rPr>
            </w:r>
            <w:r>
              <w:rPr>
                <w:sz w:val="19"/>
              </w:rPr>
              <w:t>Unique per channel.</w:t>
            </w:r>
          </w:p>
        </w:tc>
      </w:tr>
      <w:tr>
        <w:tc>
          <w:tcPr>
            <w:tcW w:type="dxa" w:w="1928"/>
          </w:tcPr>
          <w:p>
            <w:r/>
            <w:r>
              <w:rPr>
                <w:rFonts w:ascii="Consolas" w:hAnsi="Consolas"/>
                <w:sz w:val="18"/>
              </w:rPr>
              <w:t>Channel_Name</w:t>
            </w:r>
          </w:p>
        </w:tc>
        <w:tc>
          <w:tcPr>
            <w:tcW w:type="dxa" w:w="1134"/>
          </w:tcPr>
          <w:p>
            <w:r>
              <w:rPr>
                <w:sz w:val="19"/>
              </w:rPr>
            </w:r>
            <w:r>
              <w:rPr>
                <w:sz w:val="19"/>
              </w:rPr>
              <w:t>Text</w:t>
            </w:r>
          </w:p>
        </w:tc>
        <w:tc>
          <w:tcPr>
            <w:tcW w:type="dxa" w:w="1134"/>
          </w:tcPr>
          <w:p>
            <w:r>
              <w:rPr>
                <w:sz w:val="19"/>
              </w:rPr>
            </w:r>
            <w:r>
              <w:rPr>
                <w:sz w:val="19"/>
              </w:rPr>
              <w:t>Required</w:t>
            </w:r>
          </w:p>
        </w:tc>
        <w:tc>
          <w:tcPr>
            <w:tcW w:type="dxa" w:w="1928"/>
          </w:tcPr>
          <w:p>
            <w:r/>
            <w:r>
              <w:rPr>
                <w:rFonts w:ascii="Consolas" w:hAnsi="Consolas"/>
                <w:sz w:val="18"/>
              </w:rPr>
              <w:t>Modern Trade</w:t>
            </w:r>
          </w:p>
        </w:tc>
        <w:tc>
          <w:tcPr>
            <w:tcW w:type="dxa" w:w="3515"/>
          </w:tcPr>
          <w:p>
            <w:r>
              <w:rPr>
                <w:sz w:val="19"/>
              </w:rPr>
            </w:r>
            <w:r>
              <w:rPr>
                <w:sz w:val="19"/>
              </w:rPr>
              <w:t>Display name.</w:t>
            </w:r>
          </w:p>
        </w:tc>
      </w:tr>
      <w:tr>
        <w:tc>
          <w:tcPr>
            <w:tcW w:type="dxa" w:w="1928"/>
          </w:tcPr>
          <w:p>
            <w:r/>
            <w:r>
              <w:rPr>
                <w:rFonts w:ascii="Consolas" w:hAnsi="Consolas"/>
                <w:sz w:val="18"/>
              </w:rPr>
              <w:t>Channel_Type</w:t>
            </w:r>
          </w:p>
        </w:tc>
        <w:tc>
          <w:tcPr>
            <w:tcW w:type="dxa" w:w="1134"/>
          </w:tcPr>
          <w:p>
            <w:r>
              <w:rPr>
                <w:sz w:val="19"/>
              </w:rPr>
            </w:r>
            <w:r>
              <w:rPr>
                <w:sz w:val="19"/>
              </w:rPr>
              <w:t>Text</w:t>
            </w:r>
          </w:p>
        </w:tc>
        <w:tc>
          <w:tcPr>
            <w:tcW w:type="dxa" w:w="1134"/>
          </w:tcPr>
          <w:p>
            <w:r>
              <w:rPr>
                <w:sz w:val="19"/>
              </w:rPr>
            </w:r>
            <w:r>
              <w:rPr>
                <w:sz w:val="19"/>
              </w:rPr>
              <w:t>Required</w:t>
            </w:r>
          </w:p>
        </w:tc>
        <w:tc>
          <w:tcPr>
            <w:tcW w:type="dxa" w:w="1928"/>
          </w:tcPr>
          <w:p>
            <w:r/>
            <w:r>
              <w:rPr>
                <w:rFonts w:ascii="Consolas" w:hAnsi="Consolas"/>
                <w:sz w:val="18"/>
              </w:rPr>
              <w:t>Retail</w:t>
            </w:r>
          </w:p>
        </w:tc>
        <w:tc>
          <w:tcPr>
            <w:tcW w:type="dxa" w:w="3515"/>
          </w:tcPr>
          <w:p>
            <w:r>
              <w:rPr>
                <w:sz w:val="19"/>
              </w:rPr>
            </w:r>
            <w:r>
              <w:rPr>
                <w:sz w:val="19"/>
              </w:rPr>
              <w:t>Grouping above the channel: Retail or B2B.</w:t>
            </w:r>
          </w:p>
        </w:tc>
      </w:tr>
      <w:tr>
        <w:tc>
          <w:tcPr>
            <w:tcW w:type="dxa" w:w="1928"/>
          </w:tcPr>
          <w:p>
            <w:r/>
            <w:r>
              <w:rPr>
                <w:rFonts w:ascii="Consolas" w:hAnsi="Consolas"/>
                <w:sz w:val="18"/>
              </w:rPr>
              <w:t>Schedule</w:t>
            </w:r>
          </w:p>
        </w:tc>
        <w:tc>
          <w:tcPr>
            <w:tcW w:type="dxa" w:w="1134"/>
          </w:tcPr>
          <w:p>
            <w:r>
              <w:rPr>
                <w:sz w:val="19"/>
              </w:rPr>
            </w:r>
            <w:r>
              <w:rPr>
                <w:sz w:val="19"/>
              </w:rPr>
              <w:t>Text</w:t>
            </w:r>
          </w:p>
        </w:tc>
        <w:tc>
          <w:tcPr>
            <w:tcW w:type="dxa" w:w="1134"/>
          </w:tcPr>
          <w:p>
            <w:r>
              <w:rPr>
                <w:sz w:val="19"/>
              </w:rPr>
            </w:r>
            <w:r>
              <w:rPr>
                <w:sz w:val="19"/>
              </w:rPr>
              <w:t>Optional</w:t>
            </w:r>
          </w:p>
        </w:tc>
        <w:tc>
          <w:tcPr>
            <w:tcW w:type="dxa" w:w="1928"/>
          </w:tcPr>
          <w:p>
            <w:r/>
            <w:r>
              <w:rPr>
                <w:rFonts w:ascii="Consolas" w:hAnsi="Consolas"/>
                <w:sz w:val="18"/>
              </w:rPr>
              <w:t>MONTHLY</w:t>
            </w:r>
          </w:p>
        </w:tc>
        <w:tc>
          <w:tcPr>
            <w:tcW w:type="dxa" w:w="3515"/>
          </w:tcPr>
          <w:p>
            <w:r>
              <w:rPr>
                <w:sz w:val="19"/>
              </w:rPr>
            </w:r>
            <w:r>
              <w:rPr>
                <w:sz w:val="19"/>
              </w:rPr>
              <w:t>How the channel plans promotions: WEEKLY (E-commerce, Travel, Q-Commerce) or MONTHLY (Modern Trade, General Trade, B2B).</w:t>
            </w:r>
          </w:p>
        </w:tc>
      </w:tr>
    </w:tbl>
    <w:p/>
    <w:p>
      <w:pPr>
        <w:pStyle w:val="Heading3"/>
      </w:pPr>
      <w:r>
        <w:t>Promotion dimension — dim_promotion_final.csv (20 rows)</w:t>
      </w:r>
    </w:p>
    <w:p>
      <w:r>
        <w:t>The “no promotion” row, three regular discounts (5%, 10%, 15%), and festival offers per year: 20% off in 2024, Buy 3 Get 1 (a 25% effective discount) in 2025 and 2026.</w:t>
      </w:r>
    </w:p>
    <w:tbl>
      <w:tblPr>
        <w:tblStyle w:val="TableGrid"/>
        <w:tblW w:type="auto" w:w="0"/>
        <w:jc w:val="center"/>
        <w:tblLook w:firstColumn="1" w:firstRow="1" w:lastColumn="0" w:lastRow="0" w:noHBand="0" w:noVBand="1" w:val="04A0"/>
      </w:tblPr>
      <w:tblGrid>
        <w:gridCol w:w="1994"/>
        <w:gridCol w:w="1994"/>
        <w:gridCol w:w="1994"/>
        <w:gridCol w:w="1994"/>
        <w:gridCol w:w="1994"/>
      </w:tblGrid>
      <w:tr>
        <w:trPr>
          <w:tblHeader w:val="true"/>
        </w:trPr>
        <w:tc>
          <w:tcPr>
            <w:tcW w:type="dxa" w:w="1928"/>
            <w:shd w:val="clear" w:color="auto" w:fill="E3F1EF"/>
          </w:tcPr>
          <w:p>
            <w:r/>
            <w:r>
              <w:rPr>
                <w:b/>
                <w:sz w:val="19"/>
              </w:rPr>
              <w:t>Column</w:t>
            </w:r>
          </w:p>
        </w:tc>
        <w:tc>
          <w:tcPr>
            <w:tcW w:type="dxa" w:w="1134"/>
            <w:shd w:val="clear" w:color="auto" w:fill="E3F1EF"/>
          </w:tcPr>
          <w:p>
            <w:r/>
            <w:r>
              <w:rPr>
                <w:b/>
                <w:sz w:val="19"/>
              </w:rPr>
              <w:t>Type</w:t>
            </w:r>
          </w:p>
        </w:tc>
        <w:tc>
          <w:tcPr>
            <w:tcW w:type="dxa" w:w="1134"/>
            <w:shd w:val="clear" w:color="auto" w:fill="E3F1EF"/>
          </w:tcPr>
          <w:p>
            <w:r/>
            <w:r>
              <w:rPr>
                <w:b/>
                <w:sz w:val="19"/>
              </w:rPr>
              <w:t>Required?</w:t>
            </w:r>
          </w:p>
        </w:tc>
        <w:tc>
          <w:tcPr>
            <w:tcW w:type="dxa" w:w="1928"/>
            <w:shd w:val="clear" w:color="auto" w:fill="E3F1EF"/>
          </w:tcPr>
          <w:p>
            <w:r/>
            <w:r>
              <w:rPr>
                <w:b/>
                <w:sz w:val="19"/>
              </w:rPr>
              <w:t>Example</w:t>
            </w:r>
          </w:p>
        </w:tc>
        <w:tc>
          <w:tcPr>
            <w:tcW w:type="dxa" w:w="3515"/>
            <w:shd w:val="clear" w:color="auto" w:fill="E3F1EF"/>
          </w:tcPr>
          <w:p>
            <w:r/>
            <w:r>
              <w:rPr>
                <w:b/>
                <w:sz w:val="19"/>
              </w:rPr>
              <w:t>What it holds</w:t>
            </w:r>
          </w:p>
        </w:tc>
      </w:tr>
      <w:tr>
        <w:tc>
          <w:tcPr>
            <w:tcW w:type="dxa" w:w="1928"/>
          </w:tcPr>
          <w:p>
            <w:r/>
            <w:r>
              <w:rPr>
                <w:rFonts w:ascii="Consolas" w:hAnsi="Consolas"/>
                <w:sz w:val="18"/>
              </w:rPr>
              <w:t>Promotion_Id</w:t>
            </w:r>
          </w:p>
        </w:tc>
        <w:tc>
          <w:tcPr>
            <w:tcW w:type="dxa" w:w="1134"/>
          </w:tcPr>
          <w:p>
            <w:r>
              <w:rPr>
                <w:sz w:val="19"/>
              </w:rPr>
            </w:r>
            <w:r>
              <w:rPr>
                <w:sz w:val="19"/>
              </w:rPr>
              <w:t>ID</w:t>
            </w:r>
          </w:p>
        </w:tc>
        <w:tc>
          <w:tcPr>
            <w:tcW w:type="dxa" w:w="1134"/>
          </w:tcPr>
          <w:p>
            <w:r>
              <w:rPr>
                <w:sz w:val="19"/>
              </w:rPr>
            </w:r>
            <w:r>
              <w:rPr>
                <w:sz w:val="19"/>
              </w:rPr>
              <w:t>Required</w:t>
            </w:r>
          </w:p>
        </w:tc>
        <w:tc>
          <w:tcPr>
            <w:tcW w:type="dxa" w:w="1928"/>
          </w:tcPr>
          <w:p>
            <w:r/>
            <w:r>
              <w:rPr>
                <w:rFonts w:ascii="Consolas" w:hAnsi="Consolas"/>
                <w:sz w:val="18"/>
              </w:rPr>
              <w:t>PBDI25</w:t>
            </w:r>
          </w:p>
        </w:tc>
        <w:tc>
          <w:tcPr>
            <w:tcW w:type="dxa" w:w="3515"/>
          </w:tcPr>
          <w:p>
            <w:r>
              <w:rPr>
                <w:sz w:val="19"/>
              </w:rPr>
            </w:r>
            <w:r>
              <w:rPr>
                <w:sz w:val="19"/>
              </w:rPr>
              <w:t>Unique per promotion. The file must include a -1 row for “no promotion”.</w:t>
            </w:r>
          </w:p>
        </w:tc>
      </w:tr>
      <w:tr>
        <w:tc>
          <w:tcPr>
            <w:tcW w:type="dxa" w:w="1928"/>
          </w:tcPr>
          <w:p>
            <w:r/>
            <w:r>
              <w:rPr>
                <w:rFonts w:ascii="Consolas" w:hAnsi="Consolas"/>
                <w:sz w:val="18"/>
              </w:rPr>
              <w:t>Promotion_Name</w:t>
            </w:r>
          </w:p>
        </w:tc>
        <w:tc>
          <w:tcPr>
            <w:tcW w:type="dxa" w:w="1134"/>
          </w:tcPr>
          <w:p>
            <w:r>
              <w:rPr>
                <w:sz w:val="19"/>
              </w:rPr>
            </w:r>
            <w:r>
              <w:rPr>
                <w:sz w:val="19"/>
              </w:rPr>
              <w:t>Text</w:t>
            </w:r>
          </w:p>
        </w:tc>
        <w:tc>
          <w:tcPr>
            <w:tcW w:type="dxa" w:w="1134"/>
          </w:tcPr>
          <w:p>
            <w:r>
              <w:rPr>
                <w:sz w:val="19"/>
              </w:rPr>
            </w:r>
            <w:r>
              <w:rPr>
                <w:sz w:val="19"/>
              </w:rPr>
              <w:t>Required</w:t>
            </w:r>
          </w:p>
        </w:tc>
        <w:tc>
          <w:tcPr>
            <w:tcW w:type="dxa" w:w="1928"/>
          </w:tcPr>
          <w:p>
            <w:r/>
            <w:r>
              <w:rPr>
                <w:rFonts w:ascii="Consolas" w:hAnsi="Consolas"/>
                <w:sz w:val="18"/>
              </w:rPr>
              <w:t>Buy3Get1</w:t>
            </w:r>
          </w:p>
        </w:tc>
        <w:tc>
          <w:tcPr>
            <w:tcW w:type="dxa" w:w="3515"/>
          </w:tcPr>
          <w:p>
            <w:r>
              <w:rPr>
                <w:sz w:val="19"/>
              </w:rPr>
            </w:r>
            <w:r>
              <w:rPr>
                <w:sz w:val="19"/>
              </w:rPr>
              <w:t>The mechanic: “5% Discount” … “20% Discount”, or “Buy3Get1”.</w:t>
            </w:r>
          </w:p>
        </w:tc>
      </w:tr>
      <w:tr>
        <w:tc>
          <w:tcPr>
            <w:tcW w:type="dxa" w:w="1928"/>
          </w:tcPr>
          <w:p>
            <w:r/>
            <w:r>
              <w:rPr>
                <w:rFonts w:ascii="Consolas" w:hAnsi="Consolas"/>
                <w:sz w:val="18"/>
              </w:rPr>
              <w:t>Promotion_Type</w:t>
            </w:r>
          </w:p>
        </w:tc>
        <w:tc>
          <w:tcPr>
            <w:tcW w:type="dxa" w:w="1134"/>
          </w:tcPr>
          <w:p>
            <w:r>
              <w:rPr>
                <w:sz w:val="19"/>
              </w:rPr>
            </w:r>
            <w:r>
              <w:rPr>
                <w:sz w:val="19"/>
              </w:rPr>
              <w:t>Text</w:t>
            </w:r>
          </w:p>
        </w:tc>
        <w:tc>
          <w:tcPr>
            <w:tcW w:type="dxa" w:w="1134"/>
          </w:tcPr>
          <w:p>
            <w:r>
              <w:rPr>
                <w:sz w:val="19"/>
              </w:rPr>
            </w:r>
            <w:r>
              <w:rPr>
                <w:sz w:val="19"/>
              </w:rPr>
              <w:t>Required</w:t>
            </w:r>
          </w:p>
        </w:tc>
        <w:tc>
          <w:tcPr>
            <w:tcW w:type="dxa" w:w="1928"/>
          </w:tcPr>
          <w:p>
            <w:r/>
            <w:r>
              <w:rPr>
                <w:rFonts w:ascii="Consolas" w:hAnsi="Consolas"/>
                <w:sz w:val="18"/>
              </w:rPr>
              <w:t>Seasonal</w:t>
            </w:r>
          </w:p>
        </w:tc>
        <w:tc>
          <w:tcPr>
            <w:tcW w:type="dxa" w:w="3515"/>
          </w:tcPr>
          <w:p>
            <w:r>
              <w:rPr>
                <w:sz w:val="19"/>
              </w:rPr>
            </w:r>
            <w:r>
              <w:rPr>
                <w:sz w:val="19"/>
              </w:rPr>
              <w:t>Regular, Seasonal (festival offers) or Normal (the −1 row).</w:t>
            </w:r>
          </w:p>
        </w:tc>
      </w:tr>
      <w:tr>
        <w:tc>
          <w:tcPr>
            <w:tcW w:type="dxa" w:w="1928"/>
          </w:tcPr>
          <w:p>
            <w:r/>
            <w:r>
              <w:rPr>
                <w:rFonts w:ascii="Consolas" w:hAnsi="Consolas"/>
                <w:sz w:val="18"/>
              </w:rPr>
              <w:t>Promotion_Description</w:t>
            </w:r>
          </w:p>
        </w:tc>
        <w:tc>
          <w:tcPr>
            <w:tcW w:type="dxa" w:w="1134"/>
          </w:tcPr>
          <w:p>
            <w:r>
              <w:rPr>
                <w:sz w:val="19"/>
              </w:rPr>
            </w:r>
            <w:r>
              <w:rPr>
                <w:sz w:val="19"/>
              </w:rPr>
              <w:t>Text</w:t>
            </w:r>
          </w:p>
        </w:tc>
        <w:tc>
          <w:tcPr>
            <w:tcW w:type="dxa" w:w="1134"/>
          </w:tcPr>
          <w:p>
            <w:r>
              <w:rPr>
                <w:sz w:val="19"/>
              </w:rPr>
            </w:r>
            <w:r>
              <w:rPr>
                <w:sz w:val="19"/>
              </w:rPr>
              <w:t>Required</w:t>
            </w:r>
          </w:p>
        </w:tc>
        <w:tc>
          <w:tcPr>
            <w:tcW w:type="dxa" w:w="1928"/>
          </w:tcPr>
          <w:p>
            <w:r/>
            <w:r>
              <w:rPr>
                <w:rFonts w:ascii="Consolas" w:hAnsi="Consolas"/>
                <w:sz w:val="18"/>
              </w:rPr>
              <w:t>Diwali Special 25</w:t>
            </w:r>
          </w:p>
        </w:tc>
        <w:tc>
          <w:tcPr>
            <w:tcW w:type="dxa" w:w="3515"/>
          </w:tcPr>
          <w:p>
            <w:r>
              <w:rPr>
                <w:sz w:val="19"/>
              </w:rPr>
            </w:r>
            <w:r>
              <w:rPr>
                <w:sz w:val="19"/>
              </w:rPr>
              <w:t>The name shown on screen; for a festival, its name and year.</w:t>
            </w:r>
          </w:p>
        </w:tc>
      </w:tr>
    </w:tbl>
    <w:p/>
    <w:p>
      <w:pPr>
        <w:pStyle w:val="Heading3"/>
      </w:pPr>
      <w:r>
        <w:t>Date dimension — dim_date2425_corrected.csv (1,096 rows)</w:t>
      </w:r>
    </w:p>
    <w:p>
      <w:r>
        <w:t>One row per calendar day, 1 Jan 2024 to 31 Dec 2026. It must hold every date the sales file uses.</w:t>
      </w:r>
    </w:p>
    <w:tbl>
      <w:tblPr>
        <w:tblStyle w:val="TableGrid"/>
        <w:tblW w:type="auto" w:w="0"/>
        <w:jc w:val="center"/>
        <w:tblLook w:firstColumn="1" w:firstRow="1" w:lastColumn="0" w:lastRow="0" w:noHBand="0" w:noVBand="1" w:val="04A0"/>
      </w:tblPr>
      <w:tblGrid>
        <w:gridCol w:w="1994"/>
        <w:gridCol w:w="1994"/>
        <w:gridCol w:w="1994"/>
        <w:gridCol w:w="1994"/>
        <w:gridCol w:w="1994"/>
      </w:tblGrid>
      <w:tr>
        <w:trPr>
          <w:tblHeader w:val="true"/>
        </w:trPr>
        <w:tc>
          <w:tcPr>
            <w:tcW w:type="dxa" w:w="1928"/>
            <w:shd w:val="clear" w:color="auto" w:fill="E3F1EF"/>
          </w:tcPr>
          <w:p>
            <w:r/>
            <w:r>
              <w:rPr>
                <w:b/>
                <w:sz w:val="19"/>
              </w:rPr>
              <w:t>Column</w:t>
            </w:r>
          </w:p>
        </w:tc>
        <w:tc>
          <w:tcPr>
            <w:tcW w:type="dxa" w:w="1134"/>
            <w:shd w:val="clear" w:color="auto" w:fill="E3F1EF"/>
          </w:tcPr>
          <w:p>
            <w:r/>
            <w:r>
              <w:rPr>
                <w:b/>
                <w:sz w:val="19"/>
              </w:rPr>
              <w:t>Type</w:t>
            </w:r>
          </w:p>
        </w:tc>
        <w:tc>
          <w:tcPr>
            <w:tcW w:type="dxa" w:w="1134"/>
            <w:shd w:val="clear" w:color="auto" w:fill="E3F1EF"/>
          </w:tcPr>
          <w:p>
            <w:r/>
            <w:r>
              <w:rPr>
                <w:b/>
                <w:sz w:val="19"/>
              </w:rPr>
              <w:t>Required?</w:t>
            </w:r>
          </w:p>
        </w:tc>
        <w:tc>
          <w:tcPr>
            <w:tcW w:type="dxa" w:w="1928"/>
            <w:shd w:val="clear" w:color="auto" w:fill="E3F1EF"/>
          </w:tcPr>
          <w:p>
            <w:r/>
            <w:r>
              <w:rPr>
                <w:b/>
                <w:sz w:val="19"/>
              </w:rPr>
              <w:t>Example</w:t>
            </w:r>
          </w:p>
        </w:tc>
        <w:tc>
          <w:tcPr>
            <w:tcW w:type="dxa" w:w="3515"/>
            <w:shd w:val="clear" w:color="auto" w:fill="E3F1EF"/>
          </w:tcPr>
          <w:p>
            <w:r/>
            <w:r>
              <w:rPr>
                <w:b/>
                <w:sz w:val="19"/>
              </w:rPr>
              <w:t>What it holds</w:t>
            </w:r>
          </w:p>
        </w:tc>
      </w:tr>
      <w:tr>
        <w:tc>
          <w:tcPr>
            <w:tcW w:type="dxa" w:w="1928"/>
          </w:tcPr>
          <w:p>
            <w:r/>
            <w:r>
              <w:rPr>
                <w:rFonts w:ascii="Consolas" w:hAnsi="Consolas"/>
                <w:sz w:val="18"/>
              </w:rPr>
              <w:t>Date</w:t>
            </w:r>
          </w:p>
        </w:tc>
        <w:tc>
          <w:tcPr>
            <w:tcW w:type="dxa" w:w="1134"/>
          </w:tcPr>
          <w:p>
            <w:r>
              <w:rPr>
                <w:sz w:val="19"/>
              </w:rPr>
            </w:r>
            <w:r>
              <w:rPr>
                <w:sz w:val="19"/>
              </w:rPr>
              <w:t>Date</w:t>
            </w:r>
          </w:p>
        </w:tc>
        <w:tc>
          <w:tcPr>
            <w:tcW w:type="dxa" w:w="1134"/>
          </w:tcPr>
          <w:p>
            <w:r>
              <w:rPr>
                <w:sz w:val="19"/>
              </w:rPr>
            </w:r>
            <w:r>
              <w:rPr>
                <w:sz w:val="19"/>
              </w:rPr>
              <w:t>Required</w:t>
            </w:r>
          </w:p>
        </w:tc>
        <w:tc>
          <w:tcPr>
            <w:tcW w:type="dxa" w:w="1928"/>
          </w:tcPr>
          <w:p>
            <w:r/>
            <w:r>
              <w:rPr>
                <w:rFonts w:ascii="Consolas" w:hAnsi="Consolas"/>
                <w:sz w:val="18"/>
              </w:rPr>
              <w:t>01-01-2024</w:t>
            </w:r>
          </w:p>
        </w:tc>
        <w:tc>
          <w:tcPr>
            <w:tcW w:type="dxa" w:w="3515"/>
          </w:tcPr>
          <w:p>
            <w:r>
              <w:rPr>
                <w:sz w:val="19"/>
              </w:rPr>
            </w:r>
            <w:r>
              <w:rPr>
                <w:sz w:val="19"/>
              </w:rPr>
              <w:t>The day, DD-MM-YYYY.</w:t>
            </w:r>
          </w:p>
        </w:tc>
      </w:tr>
      <w:tr>
        <w:tc>
          <w:tcPr>
            <w:tcW w:type="dxa" w:w="1928"/>
          </w:tcPr>
          <w:p>
            <w:r/>
            <w:r>
              <w:rPr>
                <w:rFonts w:ascii="Consolas" w:hAnsi="Consolas"/>
                <w:sz w:val="18"/>
              </w:rPr>
              <w:t>Year</w:t>
            </w:r>
          </w:p>
        </w:tc>
        <w:tc>
          <w:tcPr>
            <w:tcW w:type="dxa" w:w="1134"/>
          </w:tcPr>
          <w:p>
            <w:r>
              <w:rPr>
                <w:sz w:val="19"/>
              </w:rPr>
            </w:r>
            <w:r>
              <w:rPr>
                <w:sz w:val="19"/>
              </w:rPr>
              <w:t>Whole number</w:t>
            </w:r>
          </w:p>
        </w:tc>
        <w:tc>
          <w:tcPr>
            <w:tcW w:type="dxa" w:w="1134"/>
          </w:tcPr>
          <w:p>
            <w:r>
              <w:rPr>
                <w:sz w:val="19"/>
              </w:rPr>
            </w:r>
            <w:r>
              <w:rPr>
                <w:sz w:val="19"/>
              </w:rPr>
              <w:t>Required</w:t>
            </w:r>
          </w:p>
        </w:tc>
        <w:tc>
          <w:tcPr>
            <w:tcW w:type="dxa" w:w="1928"/>
          </w:tcPr>
          <w:p>
            <w:r/>
            <w:r>
              <w:rPr>
                <w:rFonts w:ascii="Consolas" w:hAnsi="Consolas"/>
                <w:sz w:val="18"/>
              </w:rPr>
              <w:t>2024</w:t>
            </w:r>
          </w:p>
        </w:tc>
        <w:tc>
          <w:tcPr>
            <w:tcW w:type="dxa" w:w="3515"/>
          </w:tcPr>
          <w:p>
            <w:r>
              <w:rPr>
                <w:sz w:val="19"/>
              </w:rPr>
            </w:r>
            <w:r>
              <w:rPr>
                <w:sz w:val="19"/>
              </w:rPr>
              <w:t>Calendar year.</w:t>
            </w:r>
          </w:p>
        </w:tc>
      </w:tr>
      <w:tr>
        <w:tc>
          <w:tcPr>
            <w:tcW w:type="dxa" w:w="1928"/>
          </w:tcPr>
          <w:p>
            <w:r/>
            <w:r>
              <w:rPr>
                <w:rFonts w:ascii="Consolas" w:hAnsi="Consolas"/>
                <w:sz w:val="18"/>
              </w:rPr>
              <w:t>Month</w:t>
            </w:r>
          </w:p>
        </w:tc>
        <w:tc>
          <w:tcPr>
            <w:tcW w:type="dxa" w:w="1134"/>
          </w:tcPr>
          <w:p>
            <w:r>
              <w:rPr>
                <w:sz w:val="19"/>
              </w:rPr>
            </w:r>
            <w:r>
              <w:rPr>
                <w:sz w:val="19"/>
              </w:rPr>
              <w:t>Text</w:t>
            </w:r>
          </w:p>
        </w:tc>
        <w:tc>
          <w:tcPr>
            <w:tcW w:type="dxa" w:w="1134"/>
          </w:tcPr>
          <w:p>
            <w:r>
              <w:rPr>
                <w:sz w:val="19"/>
              </w:rPr>
            </w:r>
            <w:r>
              <w:rPr>
                <w:sz w:val="19"/>
              </w:rPr>
              <w:t>Required</w:t>
            </w:r>
          </w:p>
        </w:tc>
        <w:tc>
          <w:tcPr>
            <w:tcW w:type="dxa" w:w="1928"/>
          </w:tcPr>
          <w:p>
            <w:r/>
            <w:r>
              <w:rPr>
                <w:rFonts w:ascii="Consolas" w:hAnsi="Consolas"/>
                <w:sz w:val="18"/>
              </w:rPr>
              <w:t>January</w:t>
            </w:r>
          </w:p>
        </w:tc>
        <w:tc>
          <w:tcPr>
            <w:tcW w:type="dxa" w:w="3515"/>
          </w:tcPr>
          <w:p>
            <w:r>
              <w:rPr>
                <w:sz w:val="19"/>
              </w:rPr>
            </w:r>
            <w:r>
              <w:rPr>
                <w:sz w:val="19"/>
              </w:rPr>
              <w:t>Full month name.</w:t>
            </w:r>
          </w:p>
        </w:tc>
      </w:tr>
      <w:tr>
        <w:tc>
          <w:tcPr>
            <w:tcW w:type="dxa" w:w="1928"/>
          </w:tcPr>
          <w:p>
            <w:r/>
            <w:r>
              <w:rPr>
                <w:rFonts w:ascii="Consolas" w:hAnsi="Consolas"/>
                <w:sz w:val="18"/>
              </w:rPr>
              <w:t>Quarter</w:t>
            </w:r>
          </w:p>
        </w:tc>
        <w:tc>
          <w:tcPr>
            <w:tcW w:type="dxa" w:w="1134"/>
          </w:tcPr>
          <w:p>
            <w:r>
              <w:rPr>
                <w:sz w:val="19"/>
              </w:rPr>
            </w:r>
            <w:r>
              <w:rPr>
                <w:sz w:val="19"/>
              </w:rPr>
              <w:t>Text</w:t>
            </w:r>
          </w:p>
        </w:tc>
        <w:tc>
          <w:tcPr>
            <w:tcW w:type="dxa" w:w="1134"/>
          </w:tcPr>
          <w:p>
            <w:r>
              <w:rPr>
                <w:sz w:val="19"/>
              </w:rPr>
            </w:r>
            <w:r>
              <w:rPr>
                <w:sz w:val="19"/>
              </w:rPr>
              <w:t>Optional</w:t>
            </w:r>
          </w:p>
        </w:tc>
        <w:tc>
          <w:tcPr>
            <w:tcW w:type="dxa" w:w="1928"/>
          </w:tcPr>
          <w:p>
            <w:r/>
            <w:r>
              <w:rPr>
                <w:rFonts w:ascii="Consolas" w:hAnsi="Consolas"/>
                <w:sz w:val="18"/>
              </w:rPr>
              <w:t>Q1</w:t>
            </w:r>
          </w:p>
        </w:tc>
        <w:tc>
          <w:tcPr>
            <w:tcW w:type="dxa" w:w="3515"/>
          </w:tcPr>
          <w:p>
            <w:r>
              <w:rPr>
                <w:sz w:val="19"/>
              </w:rPr>
            </w:r>
            <w:r>
              <w:rPr>
                <w:sz w:val="19"/>
              </w:rPr>
              <w:t>Calendar quarter.</w:t>
            </w:r>
          </w:p>
        </w:tc>
      </w:tr>
      <w:tr>
        <w:tc>
          <w:tcPr>
            <w:tcW w:type="dxa" w:w="1928"/>
          </w:tcPr>
          <w:p>
            <w:r/>
            <w:r>
              <w:rPr>
                <w:rFonts w:ascii="Consolas" w:hAnsi="Consolas"/>
                <w:sz w:val="18"/>
              </w:rPr>
              <w:t>Week</w:t>
            </w:r>
          </w:p>
        </w:tc>
        <w:tc>
          <w:tcPr>
            <w:tcW w:type="dxa" w:w="1134"/>
          </w:tcPr>
          <w:p>
            <w:r>
              <w:rPr>
                <w:sz w:val="19"/>
              </w:rPr>
            </w:r>
            <w:r>
              <w:rPr>
                <w:sz w:val="19"/>
              </w:rPr>
              <w:t>Whole number</w:t>
            </w:r>
          </w:p>
        </w:tc>
        <w:tc>
          <w:tcPr>
            <w:tcW w:type="dxa" w:w="1134"/>
          </w:tcPr>
          <w:p>
            <w:r>
              <w:rPr>
                <w:sz w:val="19"/>
              </w:rPr>
            </w:r>
            <w:r>
              <w:rPr>
                <w:sz w:val="19"/>
              </w:rPr>
              <w:t>Required</w:t>
            </w:r>
          </w:p>
        </w:tc>
        <w:tc>
          <w:tcPr>
            <w:tcW w:type="dxa" w:w="1928"/>
          </w:tcPr>
          <w:p>
            <w:r/>
            <w:r>
              <w:rPr>
                <w:rFonts w:ascii="Consolas" w:hAnsi="Consolas"/>
                <w:sz w:val="18"/>
              </w:rPr>
              <w:t>1</w:t>
            </w:r>
          </w:p>
        </w:tc>
        <w:tc>
          <w:tcPr>
            <w:tcW w:type="dxa" w:w="3515"/>
          </w:tcPr>
          <w:p>
            <w:r>
              <w:rPr>
                <w:sz w:val="19"/>
              </w:rPr>
            </w:r>
            <w:r>
              <w:rPr>
                <w:sz w:val="19"/>
              </w:rPr>
              <w:t>Business week of the year: week 1 starts on 1 January and each Monday starts the next. 29–31 December are week 53.</w:t>
            </w:r>
          </w:p>
        </w:tc>
      </w:tr>
      <w:tr>
        <w:tc>
          <w:tcPr>
            <w:tcW w:type="dxa" w:w="1928"/>
          </w:tcPr>
          <w:p>
            <w:r/>
            <w:r>
              <w:rPr>
                <w:rFonts w:ascii="Consolas" w:hAnsi="Consolas"/>
                <w:sz w:val="18"/>
              </w:rPr>
              <w:t>Day</w:t>
            </w:r>
          </w:p>
        </w:tc>
        <w:tc>
          <w:tcPr>
            <w:tcW w:type="dxa" w:w="1134"/>
          </w:tcPr>
          <w:p>
            <w:r>
              <w:rPr>
                <w:sz w:val="19"/>
              </w:rPr>
            </w:r>
            <w:r>
              <w:rPr>
                <w:sz w:val="19"/>
              </w:rPr>
              <w:t>Text</w:t>
            </w:r>
          </w:p>
        </w:tc>
        <w:tc>
          <w:tcPr>
            <w:tcW w:type="dxa" w:w="1134"/>
          </w:tcPr>
          <w:p>
            <w:r>
              <w:rPr>
                <w:sz w:val="19"/>
              </w:rPr>
            </w:r>
            <w:r>
              <w:rPr>
                <w:sz w:val="19"/>
              </w:rPr>
              <w:t>Optional</w:t>
            </w:r>
          </w:p>
        </w:tc>
        <w:tc>
          <w:tcPr>
            <w:tcW w:type="dxa" w:w="1928"/>
          </w:tcPr>
          <w:p>
            <w:r/>
            <w:r>
              <w:rPr>
                <w:rFonts w:ascii="Consolas" w:hAnsi="Consolas"/>
                <w:sz w:val="18"/>
              </w:rPr>
              <w:t>Monday</w:t>
            </w:r>
          </w:p>
        </w:tc>
        <w:tc>
          <w:tcPr>
            <w:tcW w:type="dxa" w:w="3515"/>
          </w:tcPr>
          <w:p>
            <w:r>
              <w:rPr>
                <w:sz w:val="19"/>
              </w:rPr>
            </w:r>
            <w:r>
              <w:rPr>
                <w:sz w:val="19"/>
              </w:rPr>
              <w:t>Day of the week.</w:t>
            </w:r>
          </w:p>
        </w:tc>
      </w:tr>
    </w:tbl>
    <w:p/>
    <w:p>
      <w:pPr>
        <w:pStyle w:val="Heading2"/>
      </w:pPr>
      <w:r>
        <w:t>What the app works out itself</w:t>
      </w:r>
    </w:p>
    <w:p>
      <w:r>
        <w:t>These figures are not columns in any file. The platform calculates them from the columns above, so a client file never needs to carry them.</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1928"/>
            <w:shd w:val="clear" w:color="auto" w:fill="E3F1EF"/>
          </w:tcPr>
          <w:p>
            <w:r/>
            <w:r>
              <w:rPr>
                <w:b/>
                <w:sz w:val="19"/>
              </w:rPr>
              <w:t>Figure</w:t>
            </w:r>
          </w:p>
        </w:tc>
        <w:tc>
          <w:tcPr>
            <w:tcW w:type="dxa" w:w="4876"/>
            <w:shd w:val="clear" w:color="auto" w:fill="E3F1EF"/>
          </w:tcPr>
          <w:p>
            <w:r/>
            <w:r>
              <w:rPr>
                <w:b/>
                <w:sz w:val="19"/>
              </w:rPr>
              <w:t>How it is worked out</w:t>
            </w:r>
          </w:p>
        </w:tc>
        <w:tc>
          <w:tcPr>
            <w:tcW w:type="dxa" w:w="2835"/>
            <w:shd w:val="clear" w:color="auto" w:fill="E3F1EF"/>
          </w:tcPr>
          <w:p>
            <w:r/>
            <w:r>
              <w:rPr>
                <w:b/>
                <w:sz w:val="19"/>
              </w:rPr>
              <w:t>Example (sales row above)</w:t>
            </w:r>
          </w:p>
        </w:tc>
      </w:tr>
      <w:tr>
        <w:tc>
          <w:tcPr>
            <w:tcW w:type="dxa" w:w="1928"/>
          </w:tcPr>
          <w:p>
            <w:r>
              <w:rPr>
                <w:sz w:val="19"/>
              </w:rPr>
            </w:r>
            <w:r>
              <w:rPr>
                <w:sz w:val="19"/>
              </w:rPr>
              <w:t>Week, Month</w:t>
            </w:r>
          </w:p>
        </w:tc>
        <w:tc>
          <w:tcPr>
            <w:tcW w:type="dxa" w:w="4876"/>
          </w:tcPr>
          <w:p>
            <w:r>
              <w:rPr>
                <w:sz w:val="19"/>
              </w:rPr>
            </w:r>
            <w:r>
              <w:rPr>
                <w:sz w:val="19"/>
              </w:rPr>
              <w:t>Looked up in the date file by the row's Date.</w:t>
            </w:r>
          </w:p>
        </w:tc>
        <w:tc>
          <w:tcPr>
            <w:tcW w:type="dxa" w:w="2835"/>
          </w:tcPr>
          <w:p>
            <w:r>
              <w:rPr>
                <w:sz w:val="19"/>
              </w:rPr>
            </w:r>
            <w:r>
              <w:rPr>
                <w:sz w:val="19"/>
              </w:rPr>
              <w:t>Week 2, January</w:t>
            </w:r>
          </w:p>
        </w:tc>
      </w:tr>
      <w:tr>
        <w:tc>
          <w:tcPr>
            <w:tcW w:type="dxa" w:w="1928"/>
          </w:tcPr>
          <w:p>
            <w:r>
              <w:rPr>
                <w:sz w:val="19"/>
              </w:rPr>
            </w:r>
            <w:r>
              <w:rPr>
                <w:sz w:val="19"/>
              </w:rPr>
              <w:t>Channel</w:t>
            </w:r>
          </w:p>
        </w:tc>
        <w:tc>
          <w:tcPr>
            <w:tcW w:type="dxa" w:w="4876"/>
          </w:tcPr>
          <w:p>
            <w:r>
              <w:rPr>
                <w:sz w:val="19"/>
              </w:rPr>
            </w:r>
            <w:r>
              <w:rPr>
                <w:sz w:val="19"/>
              </w:rPr>
              <w:t>Looked up in the store file by Store_Id.</w:t>
            </w:r>
          </w:p>
        </w:tc>
        <w:tc>
          <w:tcPr>
            <w:tcW w:type="dxa" w:w="2835"/>
          </w:tcPr>
          <w:p>
            <w:r>
              <w:rPr>
                <w:sz w:val="19"/>
              </w:rPr>
            </w:r>
            <w:r>
              <w:rPr>
                <w:sz w:val="19"/>
              </w:rPr>
              <w:t>CH001 E-commerce</w:t>
            </w:r>
          </w:p>
        </w:tc>
      </w:tr>
      <w:tr>
        <w:tc>
          <w:tcPr>
            <w:tcW w:type="dxa" w:w="1928"/>
          </w:tcPr>
          <w:p>
            <w:r>
              <w:rPr>
                <w:sz w:val="19"/>
              </w:rPr>
            </w:r>
            <w:r>
              <w:rPr>
                <w:sz w:val="19"/>
              </w:rPr>
              <w:t>Base Revenue</w:t>
            </w:r>
          </w:p>
        </w:tc>
        <w:tc>
          <w:tcPr>
            <w:tcW w:type="dxa" w:w="4876"/>
          </w:tcPr>
          <w:p>
            <w:r>
              <w:rPr>
                <w:sz w:val="19"/>
              </w:rPr>
            </w:r>
            <w:r>
              <w:rPr>
                <w:sz w:val="19"/>
              </w:rPr>
              <w:t>Actual_Quantity × Base_Price — the units sold, at list price.</w:t>
            </w:r>
          </w:p>
        </w:tc>
        <w:tc>
          <w:tcPr>
            <w:tcW w:type="dxa" w:w="2835"/>
          </w:tcPr>
          <w:p>
            <w:r>
              <w:rPr>
                <w:sz w:val="19"/>
              </w:rPr>
            </w:r>
            <w:r>
              <w:rPr>
                <w:sz w:val="19"/>
              </w:rPr>
              <w:t>156 × 80 = 12,480</w:t>
            </w:r>
          </w:p>
        </w:tc>
      </w:tr>
      <w:tr>
        <w:tc>
          <w:tcPr>
            <w:tcW w:type="dxa" w:w="1928"/>
          </w:tcPr>
          <w:p>
            <w:r>
              <w:rPr>
                <w:sz w:val="19"/>
              </w:rPr>
            </w:r>
            <w:r>
              <w:rPr>
                <w:sz w:val="19"/>
              </w:rPr>
              <w:t>Actual Revenue</w:t>
            </w:r>
          </w:p>
        </w:tc>
        <w:tc>
          <w:tcPr>
            <w:tcW w:type="dxa" w:w="4876"/>
          </w:tcPr>
          <w:p>
            <w:r>
              <w:rPr>
                <w:sz w:val="19"/>
              </w:rPr>
            </w:r>
            <w:r>
              <w:rPr>
                <w:sz w:val="19"/>
              </w:rPr>
              <w:t>Actual_Quantity × Actual_Price.</w:t>
            </w:r>
          </w:p>
        </w:tc>
        <w:tc>
          <w:tcPr>
            <w:tcW w:type="dxa" w:w="2835"/>
          </w:tcPr>
          <w:p>
            <w:r>
              <w:rPr>
                <w:sz w:val="19"/>
              </w:rPr>
            </w:r>
            <w:r>
              <w:rPr>
                <w:sz w:val="19"/>
              </w:rPr>
              <w:t>156 × 72 = 11,232</w:t>
            </w:r>
          </w:p>
        </w:tc>
      </w:tr>
      <w:tr>
        <w:tc>
          <w:tcPr>
            <w:tcW w:type="dxa" w:w="1928"/>
          </w:tcPr>
          <w:p>
            <w:r>
              <w:rPr>
                <w:sz w:val="19"/>
              </w:rPr>
            </w:r>
            <w:r>
              <w:rPr>
                <w:sz w:val="19"/>
              </w:rPr>
              <w:t>Discount Given</w:t>
            </w:r>
          </w:p>
        </w:tc>
        <w:tc>
          <w:tcPr>
            <w:tcW w:type="dxa" w:w="4876"/>
          </w:tcPr>
          <w:p>
            <w:r>
              <w:rPr>
                <w:sz w:val="19"/>
              </w:rPr>
            </w:r>
            <w:r>
              <w:rPr>
                <w:sz w:val="19"/>
              </w:rPr>
              <w:t>Base Revenue − Actual Revenue.</w:t>
            </w:r>
          </w:p>
        </w:tc>
        <w:tc>
          <w:tcPr>
            <w:tcW w:type="dxa" w:w="2835"/>
          </w:tcPr>
          <w:p>
            <w:r>
              <w:rPr>
                <w:sz w:val="19"/>
              </w:rPr>
            </w:r>
            <w:r>
              <w:rPr>
                <w:sz w:val="19"/>
              </w:rPr>
              <w:t>1,248</w:t>
            </w:r>
          </w:p>
        </w:tc>
      </w:tr>
      <w:tr>
        <w:tc>
          <w:tcPr>
            <w:tcW w:type="dxa" w:w="1928"/>
          </w:tcPr>
          <w:p>
            <w:r>
              <w:rPr>
                <w:sz w:val="19"/>
              </w:rPr>
            </w:r>
            <w:r>
              <w:rPr>
                <w:sz w:val="19"/>
              </w:rPr>
              <w:t>Unit Cost</w:t>
            </w:r>
          </w:p>
        </w:tc>
        <w:tc>
          <w:tcPr>
            <w:tcW w:type="dxa" w:w="4876"/>
          </w:tcPr>
          <w:p>
            <w:r>
              <w:rPr>
                <w:sz w:val="19"/>
              </w:rPr>
            </w:r>
            <w:r>
              <w:rPr>
                <w:sz w:val="19"/>
              </w:rPr>
              <w:t>Total_Cost ÷ Actual_Quantity.</w:t>
            </w:r>
          </w:p>
        </w:tc>
        <w:tc>
          <w:tcPr>
            <w:tcW w:type="dxa" w:w="2835"/>
          </w:tcPr>
          <w:p>
            <w:r>
              <w:rPr>
                <w:sz w:val="19"/>
              </w:rPr>
            </w:r>
            <w:r>
              <w:rPr>
                <w:sz w:val="19"/>
              </w:rPr>
              <w:t>5,616 ÷ 156 = 36</w:t>
            </w:r>
          </w:p>
        </w:tc>
      </w:tr>
      <w:tr>
        <w:tc>
          <w:tcPr>
            <w:tcW w:type="dxa" w:w="1928"/>
          </w:tcPr>
          <w:p>
            <w:r>
              <w:rPr>
                <w:sz w:val="19"/>
              </w:rPr>
            </w:r>
            <w:r>
              <w:rPr>
                <w:sz w:val="19"/>
              </w:rPr>
              <w:t>Expected Units</w:t>
            </w:r>
          </w:p>
        </w:tc>
        <w:tc>
          <w:tcPr>
            <w:tcW w:type="dxa" w:w="4876"/>
          </w:tcPr>
          <w:p>
            <w:r>
              <w:rPr>
                <w:sz w:val="19"/>
              </w:rPr>
            </w:r>
            <w:r>
              <w:rPr>
                <w:sz w:val="19"/>
              </w:rPr>
              <w:t>Base_Quantity when the file has a real one; otherwise the nearest ordinary weeks (see Part 2).</w:t>
            </w:r>
          </w:p>
        </w:tc>
        <w:tc>
          <w:tcPr>
            <w:tcW w:type="dxa" w:w="2835"/>
          </w:tcPr>
          <w:p>
            <w:r>
              <w:rPr>
                <w:sz w:val="19"/>
              </w:rPr>
            </w:r>
            <w:r>
              <w:rPr>
                <w:sz w:val="19"/>
              </w:rPr>
              <w:t>95</w:t>
            </w:r>
          </w:p>
        </w:tc>
      </w:tr>
    </w:tbl>
    <w:p/>
    <w:p>
      <w:pPr>
        <w:pStyle w:val="Heading2"/>
      </w:pPr>
      <w:r>
        <w:t>Rules the data follows</w:t>
      </w:r>
    </w:p>
    <w:p>
      <w:r>
        <w:t>This dataset is a demonstration set built to behave like real Indian FMCG trade (scripts/build_final_dataset.py). These are the rules it was built by, useful for reading its numbers.</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2041"/>
            <w:shd w:val="clear" w:color="auto" w:fill="E3F1EF"/>
          </w:tcPr>
          <w:p>
            <w:r/>
            <w:r>
              <w:rPr>
                <w:b/>
                <w:sz w:val="19"/>
              </w:rPr>
              <w:t>Rule</w:t>
            </w:r>
          </w:p>
        </w:tc>
        <w:tc>
          <w:tcPr>
            <w:tcW w:type="dxa" w:w="7597"/>
            <w:shd w:val="clear" w:color="auto" w:fill="E3F1EF"/>
          </w:tcPr>
          <w:p>
            <w:r/>
            <w:r>
              <w:rPr>
                <w:b/>
                <w:sz w:val="19"/>
              </w:rPr>
              <w:t>What the data does</w:t>
            </w:r>
          </w:p>
        </w:tc>
      </w:tr>
      <w:tr>
        <w:tc>
          <w:tcPr>
            <w:tcW w:type="dxa" w:w="2041"/>
          </w:tcPr>
          <w:p>
            <w:r>
              <w:rPr>
                <w:sz w:val="19"/>
              </w:rPr>
            </w:r>
            <w:r>
              <w:rPr>
                <w:sz w:val="19"/>
              </w:rPr>
              <w:t>Prices</w:t>
            </w:r>
          </w:p>
        </w:tc>
        <w:tc>
          <w:tcPr>
            <w:tcW w:type="dxa" w:w="7597"/>
          </w:tcPr>
          <w:p>
            <w:r>
              <w:rPr>
                <w:sz w:val="19"/>
              </w:rPr>
            </w:r>
            <w:r>
              <w:rPr>
                <w:sz w:val="19"/>
              </w:rPr>
              <w:t>List price is fixed per product. Promoted price = list × (1 − discount), rounded to the rupee. Buy 3 Get 1 is booked as a 25% effective discount.</w:t>
            </w:r>
          </w:p>
        </w:tc>
      </w:tr>
      <w:tr>
        <w:tc>
          <w:tcPr>
            <w:tcW w:type="dxa" w:w="2041"/>
          </w:tcPr>
          <w:p>
            <w:r>
              <w:rPr>
                <w:sz w:val="19"/>
              </w:rPr>
            </w:r>
            <w:r>
              <w:rPr>
                <w:sz w:val="19"/>
              </w:rPr>
              <w:t>Cost of goods</w:t>
            </w:r>
          </w:p>
        </w:tc>
        <w:tc>
          <w:tcPr>
            <w:tcW w:type="dxa" w:w="7597"/>
          </w:tcPr>
          <w:p>
            <w:r>
              <w:rPr>
                <w:sz w:val="19"/>
              </w:rPr>
            </w:r>
            <w:r>
              <w:rPr>
                <w:sz w:val="19"/>
              </w:rPr>
              <w:t>Unit cost = 45% of list price, in every channel: a 55% gross margin at list price.</w:t>
            </w:r>
          </w:p>
        </w:tc>
      </w:tr>
      <w:tr>
        <w:tc>
          <w:tcPr>
            <w:tcW w:type="dxa" w:w="2041"/>
          </w:tcPr>
          <w:p>
            <w:r>
              <w:rPr>
                <w:sz w:val="19"/>
              </w:rPr>
            </w:r>
            <w:r>
              <w:rPr>
                <w:sz w:val="19"/>
              </w:rPr>
              <w:t>Promotion cost</w:t>
            </w:r>
          </w:p>
        </w:tc>
        <w:tc>
          <w:tcPr>
            <w:tcW w:type="dxa" w:w="7597"/>
          </w:tcPr>
          <w:p>
            <w:r>
              <w:rPr>
                <w:sz w:val="19"/>
              </w:rPr>
            </w:r>
            <w:r>
              <w:rPr>
                <w:sz w:val="19"/>
              </w:rPr>
              <w:t>3% of the list value of units sold, on promoted rows only.</w:t>
            </w:r>
          </w:p>
        </w:tc>
      </w:tr>
      <w:tr>
        <w:tc>
          <w:tcPr>
            <w:tcW w:type="dxa" w:w="2041"/>
          </w:tcPr>
          <w:p>
            <w:r>
              <w:rPr>
                <w:sz w:val="19"/>
              </w:rPr>
            </w:r>
            <w:r>
              <w:rPr>
                <w:sz w:val="19"/>
              </w:rPr>
              <w:t>Festival dates</w:t>
            </w:r>
          </w:p>
        </w:tc>
        <w:tc>
          <w:tcPr>
            <w:tcW w:type="dxa" w:w="7597"/>
          </w:tcPr>
          <w:p>
            <w:r>
              <w:rPr>
                <w:sz w:val="19"/>
              </w:rPr>
            </w:r>
            <w:r>
              <w:rPr>
                <w:sz w:val="19"/>
              </w:rPr>
              <w:t>From the Government of India gazetted holidays: Holi, Independence Day, Dussehra, Diwali; New Year from 1 Jan. Weekly channels run the festival week; monthly channels the month leading into it.</w:t>
            </w:r>
          </w:p>
        </w:tc>
      </w:tr>
      <w:tr>
        <w:tc>
          <w:tcPr>
            <w:tcW w:type="dxa" w:w="2041"/>
          </w:tcPr>
          <w:p>
            <w:r>
              <w:rPr>
                <w:sz w:val="19"/>
              </w:rPr>
            </w:r>
            <w:r>
              <w:rPr>
                <w:sz w:val="19"/>
              </w:rPr>
              <w:t>Promotion frequency</w:t>
            </w:r>
          </w:p>
        </w:tc>
        <w:tc>
          <w:tcPr>
            <w:tcW w:type="dxa" w:w="7597"/>
          </w:tcPr>
          <w:p>
            <w:r>
              <w:rPr>
                <w:sz w:val="19"/>
              </w:rPr>
            </w:r>
            <w:r>
              <w:rPr>
                <w:sz w:val="19"/>
              </w:rPr>
              <w:t>Weekly channels: at most 30% of a product's weeks, with at least two ordinary weeks between offers. Monthly channels: one regular offer month in four, at most two festival months and four promoted months a year.</w:t>
            </w:r>
          </w:p>
        </w:tc>
      </w:tr>
      <w:tr>
        <w:tc>
          <w:tcPr>
            <w:tcW w:type="dxa" w:w="2041"/>
          </w:tcPr>
          <w:p>
            <w:r>
              <w:rPr>
                <w:sz w:val="19"/>
              </w:rPr>
            </w:r>
            <w:r>
              <w:rPr>
                <w:sz w:val="19"/>
              </w:rPr>
              <w:t>Response</w:t>
            </w:r>
          </w:p>
        </w:tc>
        <w:tc>
          <w:tcPr>
            <w:tcW w:type="dxa" w:w="7597"/>
          </w:tcPr>
          <w:p>
            <w:r>
              <w:rPr>
                <w:sz w:val="19"/>
              </w:rPr>
            </w:r>
            <w:r>
              <w:rPr>
                <w:sz w:val="19"/>
              </w:rPr>
              <w:t>Lift grows with discount depth and differs by channel, region, store tier, brand, festival and retailer. Capped at 4× normal weekly sales.</w:t>
            </w:r>
          </w:p>
        </w:tc>
      </w:tr>
      <w:tr>
        <w:tc>
          <w:tcPr>
            <w:tcW w:type="dxa" w:w="2041"/>
          </w:tcPr>
          <w:p>
            <w:r>
              <w:rPr>
                <w:sz w:val="19"/>
              </w:rPr>
            </w:r>
            <w:r>
              <w:rPr>
                <w:sz w:val="19"/>
              </w:rPr>
              <w:t>Cannibalization</w:t>
            </w:r>
          </w:p>
        </w:tc>
        <w:tc>
          <w:tcPr>
            <w:tcW w:type="dxa" w:w="7597"/>
          </w:tcPr>
          <w:p>
            <w:r>
              <w:rPr>
                <w:sz w:val="19"/>
              </w:rPr>
            </w:r>
            <w:r>
              <w:rPr>
                <w:sz w:val="19"/>
              </w:rPr>
              <w:t>A promoted pack takes 10–30% of its extra units from the pack sizes either side of it in the same brand, that week.</w:t>
            </w:r>
          </w:p>
        </w:tc>
      </w:tr>
      <w:tr>
        <w:tc>
          <w:tcPr>
            <w:tcW w:type="dxa" w:w="2041"/>
          </w:tcPr>
          <w:p>
            <w:r>
              <w:rPr>
                <w:sz w:val="19"/>
              </w:rPr>
            </w:r>
            <w:r>
              <w:rPr>
                <w:sz w:val="19"/>
              </w:rPr>
              <w:t>Seasonality</w:t>
            </w:r>
          </w:p>
        </w:tc>
        <w:tc>
          <w:tcPr>
            <w:tcW w:type="dxa" w:w="7597"/>
          </w:tcPr>
          <w:p>
            <w:r>
              <w:rPr>
                <w:sz w:val="19"/>
              </w:rPr>
            </w:r>
            <w:r>
              <w:rPr>
                <w:sz w:val="19"/>
              </w:rPr>
              <w:t>Cough &amp; Cold sells most in winter; other brands are flat through the year.</w:t>
            </w:r>
          </w:p>
        </w:tc>
      </w:tr>
    </w:tbl>
    <w:p/>
    <w:p>
      <w:r>
        <w:br w:type="page"/>
      </w:r>
    </w:p>
    <w:p>
      <w:pPr>
        <w:pStyle w:val="Heading1"/>
      </w:pPr>
      <w:r>
        <w:t>Part 2 · The KPI cards</w:t>
      </w:r>
    </w:p>
    <w:p>
      <w:r>
        <w:t>The Insights Hub shows six headline cards and three more on request. Every figure follows the filters on the page, and each card's change is against the same filters one year earlier. Values below are for the full year 2025.</w:t>
      </w:r>
    </w:p>
    <w:p>
      <w:pPr>
        <w:pStyle w:val="Heading2"/>
      </w:pPr>
      <w:r>
        <w:t>Ideas every KPI uses</w:t>
      </w:r>
    </w:p>
    <w:p>
      <w:pPr>
        <w:pStyle w:val="ListBullet"/>
      </w:pPr>
      <w:r>
        <w:rPr>
          <w:b/>
        </w:rPr>
        <w:t>Expected units (the baseline).</w:t>
      </w:r>
      <w:r>
        <w:t xml:space="preserve"> What a promoted row would have sold without its promotion. The file's Base_Quantity when it carries a real one. Otherwise the product's average sales per store-week over the nearest four ordinary weeks either side, in the same channel, so a seasonal peak is not mistaken for promotional lift.</w:t>
      </w:r>
    </w:p>
    <w:p>
      <w:pPr>
        <w:pStyle w:val="ListBullet"/>
      </w:pPr>
      <w:r>
        <w:rPr>
          <w:b/>
        </w:rPr>
        <w:t>Promotion event.</w:t>
      </w:r>
      <w:r>
        <w:t xml:space="preserve"> One product in one channel on one offer, over its run of consecutive promoted weeks. A month-long Modern Trade offer is one event. 2025 has 1,310 events.</w:t>
      </w:r>
    </w:p>
    <w:p>
      <w:pPr>
        <w:pStyle w:val="ListBullet"/>
      </w:pPr>
      <w:r>
        <w:rPr>
          <w:b/>
        </w:rPr>
        <w:t>Target ROI and alerts.</w:t>
      </w:r>
      <w:r>
        <w:t xml:space="preserve"> Default target 1.50x, adjustable from 1.00x to 2.00x. An event below target raises an alert: Critical under target − 0.25, High under target − 0.10, Medium under target.</w:t>
      </w:r>
    </w:p>
    <w:p>
      <w:pPr>
        <w:pStyle w:val="ListBullet"/>
      </w:pPr>
      <w:r>
        <w:rPr>
          <w:b/>
        </w:rPr>
        <w:t>Cannibalization.</w:t>
      </w:r>
      <w:r>
        <w:t xml:space="preserve"> Units a promoted pack takes from the pack sizes either side of it in the same brand, measured against those packs' own nearby ordinary weeks.</w:t>
      </w:r>
    </w:p>
    <w:p>
      <w:pPr>
        <w:pStyle w:val="Heading2"/>
      </w:pPr>
      <w:r>
        <w:t>One sales row, worked through</w:t>
      </w:r>
    </w:p>
    <w:p>
      <w:r>
        <w:t>Liquid Laundry Detergent 100 mL at store S211 (Amazon, Delhi, E-commerce), week of 8 Jan 2024, on the 10% Discount.</w:t>
      </w:r>
    </w:p>
    <w:p>
      <w:r>
        <w:rPr>
          <w:rFonts w:ascii="Consolas" w:hAnsi="Consolas"/>
          <w:sz w:val="19"/>
        </w:rPr>
        <w:t>Base_Quantity 95 · Actual_Quantity 156 · Base_Price 80 · Actual_Price 72 · Total_Cost 5,616 · Promotion_Cost 374</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118"/>
            <w:shd w:val="clear" w:color="auto" w:fill="E3F1EF"/>
          </w:tcPr>
          <w:p>
            <w:r/>
            <w:r>
              <w:rPr>
                <w:b/>
                <w:sz w:val="19"/>
              </w:rPr>
              <w:t>KPI piece</w:t>
            </w:r>
          </w:p>
        </w:tc>
        <w:tc>
          <w:tcPr>
            <w:tcW w:type="dxa" w:w="3685"/>
            <w:shd w:val="clear" w:color="auto" w:fill="E3F1EF"/>
          </w:tcPr>
          <w:p>
            <w:r/>
            <w:r>
              <w:rPr>
                <w:b/>
                <w:sz w:val="19"/>
              </w:rPr>
              <w:t>Calculation</w:t>
            </w:r>
          </w:p>
        </w:tc>
        <w:tc>
          <w:tcPr>
            <w:tcW w:type="dxa" w:w="2835"/>
            <w:shd w:val="clear" w:color="auto" w:fill="E3F1EF"/>
          </w:tcPr>
          <w:p>
            <w:r/>
            <w:r>
              <w:rPr>
                <w:b/>
                <w:sz w:val="19"/>
              </w:rPr>
              <w:t>Result</w:t>
            </w:r>
          </w:p>
        </w:tc>
      </w:tr>
      <w:tr>
        <w:tc>
          <w:tcPr>
            <w:tcW w:type="dxa" w:w="3118"/>
          </w:tcPr>
          <w:p>
            <w:r>
              <w:rPr>
                <w:sz w:val="19"/>
              </w:rPr>
            </w:r>
            <w:r>
              <w:rPr>
                <w:sz w:val="19"/>
              </w:rPr>
              <w:t>Trade Spend</w:t>
            </w:r>
          </w:p>
        </w:tc>
        <w:tc>
          <w:tcPr>
            <w:tcW w:type="dxa" w:w="3685"/>
          </w:tcPr>
          <w:p>
            <w:r/>
            <w:r>
              <w:rPr>
                <w:rFonts w:ascii="Consolas" w:hAnsi="Consolas"/>
                <w:sz w:val="18"/>
              </w:rPr>
              <w:t>156 × (80 − 72) + 374</w:t>
            </w:r>
          </w:p>
        </w:tc>
        <w:tc>
          <w:tcPr>
            <w:tcW w:type="dxa" w:w="2835"/>
          </w:tcPr>
          <w:p>
            <w:r>
              <w:rPr>
                <w:sz w:val="19"/>
              </w:rPr>
            </w:r>
            <w:r>
              <w:rPr>
                <w:sz w:val="19"/>
              </w:rPr>
              <w:t>₹1,622</w:t>
            </w:r>
          </w:p>
        </w:tc>
      </w:tr>
      <w:tr>
        <w:tc>
          <w:tcPr>
            <w:tcW w:type="dxa" w:w="3118"/>
          </w:tcPr>
          <w:p>
            <w:r>
              <w:rPr>
                <w:sz w:val="19"/>
              </w:rPr>
            </w:r>
            <w:r>
              <w:rPr>
                <w:sz w:val="19"/>
              </w:rPr>
              <w:t>Incremental units</w:t>
            </w:r>
          </w:p>
        </w:tc>
        <w:tc>
          <w:tcPr>
            <w:tcW w:type="dxa" w:w="3685"/>
          </w:tcPr>
          <w:p>
            <w:r/>
            <w:r>
              <w:rPr>
                <w:rFonts w:ascii="Consolas" w:hAnsi="Consolas"/>
                <w:sz w:val="18"/>
              </w:rPr>
              <w:t>156 − 95</w:t>
            </w:r>
          </w:p>
        </w:tc>
        <w:tc>
          <w:tcPr>
            <w:tcW w:type="dxa" w:w="2835"/>
          </w:tcPr>
          <w:p>
            <w:r>
              <w:rPr>
                <w:sz w:val="19"/>
              </w:rPr>
            </w:r>
            <w:r>
              <w:rPr>
                <w:sz w:val="19"/>
              </w:rPr>
              <w:t>61</w:t>
            </w:r>
          </w:p>
        </w:tc>
      </w:tr>
      <w:tr>
        <w:tc>
          <w:tcPr>
            <w:tcW w:type="dxa" w:w="3118"/>
          </w:tcPr>
          <w:p>
            <w:r>
              <w:rPr>
                <w:sz w:val="19"/>
              </w:rPr>
            </w:r>
            <w:r>
              <w:rPr>
                <w:sz w:val="19"/>
              </w:rPr>
              <w:t>Incremental Sales</w:t>
            </w:r>
          </w:p>
        </w:tc>
        <w:tc>
          <w:tcPr>
            <w:tcW w:type="dxa" w:w="3685"/>
          </w:tcPr>
          <w:p>
            <w:r/>
            <w:r>
              <w:rPr>
                <w:rFonts w:ascii="Consolas" w:hAnsi="Consolas"/>
                <w:sz w:val="18"/>
              </w:rPr>
              <w:t>61 × 72</w:t>
            </w:r>
          </w:p>
        </w:tc>
        <w:tc>
          <w:tcPr>
            <w:tcW w:type="dxa" w:w="2835"/>
          </w:tcPr>
          <w:p>
            <w:r>
              <w:rPr>
                <w:sz w:val="19"/>
              </w:rPr>
            </w:r>
            <w:r>
              <w:rPr>
                <w:sz w:val="19"/>
              </w:rPr>
              <w:t>₹4,392</w:t>
            </w:r>
          </w:p>
        </w:tc>
      </w:tr>
      <w:tr>
        <w:tc>
          <w:tcPr>
            <w:tcW w:type="dxa" w:w="3118"/>
          </w:tcPr>
          <w:p>
            <w:r>
              <w:rPr>
                <w:sz w:val="19"/>
              </w:rPr>
            </w:r>
            <w:r>
              <w:rPr>
                <w:sz w:val="19"/>
              </w:rPr>
              <w:t>Promotion ROI</w:t>
            </w:r>
          </w:p>
        </w:tc>
        <w:tc>
          <w:tcPr>
            <w:tcW w:type="dxa" w:w="3685"/>
          </w:tcPr>
          <w:p>
            <w:r/>
            <w:r>
              <w:rPr>
                <w:rFonts w:ascii="Consolas" w:hAnsi="Consolas"/>
                <w:sz w:val="18"/>
              </w:rPr>
              <w:t>4,392 ÷ 1,622</w:t>
            </w:r>
          </w:p>
        </w:tc>
        <w:tc>
          <w:tcPr>
            <w:tcW w:type="dxa" w:w="2835"/>
          </w:tcPr>
          <w:p>
            <w:r>
              <w:rPr>
                <w:sz w:val="19"/>
              </w:rPr>
            </w:r>
            <w:r>
              <w:rPr>
                <w:sz w:val="19"/>
              </w:rPr>
              <w:t>2.71x</w:t>
            </w:r>
          </w:p>
        </w:tc>
      </w:tr>
      <w:tr>
        <w:tc>
          <w:tcPr>
            <w:tcW w:type="dxa" w:w="3118"/>
          </w:tcPr>
          <w:p>
            <w:r>
              <w:rPr>
                <w:sz w:val="19"/>
              </w:rPr>
            </w:r>
            <w:r>
              <w:rPr>
                <w:sz w:val="19"/>
              </w:rPr>
              <w:t>Volume Uplift</w:t>
            </w:r>
          </w:p>
        </w:tc>
        <w:tc>
          <w:tcPr>
            <w:tcW w:type="dxa" w:w="3685"/>
          </w:tcPr>
          <w:p>
            <w:r/>
            <w:r>
              <w:rPr>
                <w:rFonts w:ascii="Consolas" w:hAnsi="Consolas"/>
                <w:sz w:val="18"/>
              </w:rPr>
              <w:t>61 ÷ 95</w:t>
            </w:r>
          </w:p>
        </w:tc>
        <w:tc>
          <w:tcPr>
            <w:tcW w:type="dxa" w:w="2835"/>
          </w:tcPr>
          <w:p>
            <w:r>
              <w:rPr>
                <w:sz w:val="19"/>
              </w:rPr>
            </w:r>
            <w:r>
              <w:rPr>
                <w:sz w:val="19"/>
              </w:rPr>
              <w:t>64.2%</w:t>
            </w:r>
          </w:p>
        </w:tc>
      </w:tr>
      <w:tr>
        <w:tc>
          <w:tcPr>
            <w:tcW w:type="dxa" w:w="3118"/>
          </w:tcPr>
          <w:p>
            <w:r>
              <w:rPr>
                <w:sz w:val="19"/>
              </w:rPr>
            </w:r>
            <w:r>
              <w:rPr>
                <w:sz w:val="19"/>
              </w:rPr>
              <w:t>Margin with the promotion</w:t>
            </w:r>
          </w:p>
        </w:tc>
        <w:tc>
          <w:tcPr>
            <w:tcW w:type="dxa" w:w="3685"/>
          </w:tcPr>
          <w:p>
            <w:r/>
            <w:r>
              <w:rPr>
                <w:rFonts w:ascii="Consolas" w:hAnsi="Consolas"/>
                <w:sz w:val="18"/>
              </w:rPr>
              <w:t>156 × 72 − 5,616</w:t>
            </w:r>
          </w:p>
        </w:tc>
        <w:tc>
          <w:tcPr>
            <w:tcW w:type="dxa" w:w="2835"/>
          </w:tcPr>
          <w:p>
            <w:r>
              <w:rPr>
                <w:sz w:val="19"/>
              </w:rPr>
            </w:r>
            <w:r>
              <w:rPr>
                <w:sz w:val="19"/>
              </w:rPr>
              <w:t>₹5,616</w:t>
            </w:r>
          </w:p>
        </w:tc>
      </w:tr>
      <w:tr>
        <w:tc>
          <w:tcPr>
            <w:tcW w:type="dxa" w:w="3118"/>
          </w:tcPr>
          <w:p>
            <w:r>
              <w:rPr>
                <w:sz w:val="19"/>
              </w:rPr>
            </w:r>
            <w:r>
              <w:rPr>
                <w:sz w:val="19"/>
              </w:rPr>
              <w:t>Margin without the promotion</w:t>
            </w:r>
          </w:p>
        </w:tc>
        <w:tc>
          <w:tcPr>
            <w:tcW w:type="dxa" w:w="3685"/>
          </w:tcPr>
          <w:p>
            <w:r/>
            <w:r>
              <w:rPr>
                <w:rFonts w:ascii="Consolas" w:hAnsi="Consolas"/>
                <w:sz w:val="18"/>
              </w:rPr>
              <w:t>95 × (80 − 36)</w:t>
            </w:r>
          </w:p>
        </w:tc>
        <w:tc>
          <w:tcPr>
            <w:tcW w:type="dxa" w:w="2835"/>
          </w:tcPr>
          <w:p>
            <w:r>
              <w:rPr>
                <w:sz w:val="19"/>
              </w:rPr>
            </w:r>
            <w:r>
              <w:rPr>
                <w:sz w:val="19"/>
              </w:rPr>
              <w:t>₹4,180</w:t>
            </w:r>
          </w:p>
        </w:tc>
      </w:tr>
      <w:tr>
        <w:tc>
          <w:tcPr>
            <w:tcW w:type="dxa" w:w="3118"/>
          </w:tcPr>
          <w:p>
            <w:r>
              <w:rPr>
                <w:sz w:val="19"/>
              </w:rPr>
            </w:r>
            <w:r>
              <w:rPr>
                <w:sz w:val="19"/>
              </w:rPr>
              <w:t>Margin Impact</w:t>
            </w:r>
          </w:p>
        </w:tc>
        <w:tc>
          <w:tcPr>
            <w:tcW w:type="dxa" w:w="3685"/>
          </w:tcPr>
          <w:p>
            <w:r/>
            <w:r>
              <w:rPr>
                <w:rFonts w:ascii="Consolas" w:hAnsi="Consolas"/>
                <w:sz w:val="18"/>
              </w:rPr>
              <w:t>5,616 − 4,180</w:t>
            </w:r>
          </w:p>
        </w:tc>
        <w:tc>
          <w:tcPr>
            <w:tcW w:type="dxa" w:w="2835"/>
          </w:tcPr>
          <w:p>
            <w:r>
              <w:rPr>
                <w:sz w:val="19"/>
              </w:rPr>
            </w:r>
            <w:r>
              <w:rPr>
                <w:sz w:val="19"/>
              </w:rPr>
              <w:t>₹1,436</w:t>
            </w:r>
          </w:p>
        </w:tc>
      </w:tr>
      <w:tr>
        <w:tc>
          <w:tcPr>
            <w:tcW w:type="dxa" w:w="3118"/>
          </w:tcPr>
          <w:p>
            <w:r>
              <w:rPr>
                <w:sz w:val="19"/>
              </w:rPr>
            </w:r>
            <w:r>
              <w:rPr>
                <w:sz w:val="19"/>
              </w:rPr>
              <w:t>Net Incremental Profit</w:t>
            </w:r>
          </w:p>
        </w:tc>
        <w:tc>
          <w:tcPr>
            <w:tcW w:type="dxa" w:w="3685"/>
          </w:tcPr>
          <w:p>
            <w:r/>
            <w:r>
              <w:rPr>
                <w:rFonts w:ascii="Consolas" w:hAnsi="Consolas"/>
                <w:sz w:val="18"/>
              </w:rPr>
              <w:t>1,436 − 374 − cannibalized margin</w:t>
            </w:r>
          </w:p>
        </w:tc>
        <w:tc>
          <w:tcPr>
            <w:tcW w:type="dxa" w:w="2835"/>
          </w:tcPr>
          <w:p>
            <w:r>
              <w:rPr>
                <w:sz w:val="19"/>
              </w:rPr>
            </w:r>
            <w:r>
              <w:rPr>
                <w:sz w:val="19"/>
              </w:rPr>
              <w:t>₹1,062 before cannibalization</w:t>
            </w:r>
          </w:p>
        </w:tc>
      </w:tr>
    </w:tbl>
    <w:p/>
    <w:p>
      <w:pPr>
        <w:pStyle w:val="Heading2"/>
      </w:pPr>
      <w:r>
        <w:t>All nine cards at a glance</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2381"/>
            <w:shd w:val="clear" w:color="auto" w:fill="E3F1EF"/>
          </w:tcPr>
          <w:p>
            <w:r/>
            <w:r>
              <w:rPr>
                <w:b/>
                <w:sz w:val="19"/>
              </w:rPr>
              <w:t>KPI</w:t>
            </w:r>
          </w:p>
        </w:tc>
        <w:tc>
          <w:tcPr>
            <w:tcW w:type="dxa" w:w="5556"/>
            <w:shd w:val="clear" w:color="auto" w:fill="E3F1EF"/>
          </w:tcPr>
          <w:p>
            <w:r/>
            <w:r>
              <w:rPr>
                <w:b/>
                <w:sz w:val="19"/>
              </w:rPr>
              <w:t>Formula</w:t>
            </w:r>
          </w:p>
        </w:tc>
        <w:tc>
          <w:tcPr>
            <w:tcW w:type="dxa" w:w="1701"/>
            <w:shd w:val="clear" w:color="auto" w:fill="E3F1EF"/>
          </w:tcPr>
          <w:p>
            <w:r/>
            <w:r>
              <w:rPr>
                <w:b/>
                <w:sz w:val="19"/>
              </w:rPr>
              <w:t>2025</w:t>
            </w:r>
          </w:p>
        </w:tc>
      </w:tr>
      <w:tr>
        <w:tc>
          <w:tcPr>
            <w:tcW w:type="dxa" w:w="2381"/>
          </w:tcPr>
          <w:p>
            <w:r>
              <w:rPr>
                <w:sz w:val="19"/>
              </w:rPr>
            </w:r>
            <w:r>
              <w:rPr>
                <w:sz w:val="19"/>
              </w:rPr>
              <w:t>Trade Spend</w:t>
            </w:r>
          </w:p>
        </w:tc>
        <w:tc>
          <w:tcPr>
            <w:tcW w:type="dxa" w:w="5556"/>
          </w:tcPr>
          <w:p>
            <w:r>
              <w:rPr>
                <w:sz w:val="19"/>
              </w:rPr>
            </w:r>
            <w:r>
              <w:rPr>
                <w:sz w:val="19"/>
              </w:rPr>
              <w:t>Discount Given + Promotion Cost</w:t>
            </w:r>
          </w:p>
        </w:tc>
        <w:tc>
          <w:tcPr>
            <w:tcW w:type="dxa" w:w="1701"/>
          </w:tcPr>
          <w:p>
            <w:r>
              <w:rPr>
                <w:sz w:val="19"/>
              </w:rPr>
            </w:r>
            <w:r>
              <w:rPr>
                <w:sz w:val="19"/>
              </w:rPr>
              <w:t>₹76.17 Cr</w:t>
            </w:r>
          </w:p>
        </w:tc>
      </w:tr>
      <w:tr>
        <w:tc>
          <w:tcPr>
            <w:tcW w:type="dxa" w:w="2381"/>
          </w:tcPr>
          <w:p>
            <w:r>
              <w:rPr>
                <w:sz w:val="19"/>
              </w:rPr>
            </w:r>
            <w:r>
              <w:rPr>
                <w:sz w:val="19"/>
              </w:rPr>
              <w:t>Incremental Sales</w:t>
            </w:r>
          </w:p>
        </w:tc>
        <w:tc>
          <w:tcPr>
            <w:tcW w:type="dxa" w:w="5556"/>
          </w:tcPr>
          <w:p>
            <w:r>
              <w:rPr>
                <w:sz w:val="19"/>
              </w:rPr>
            </w:r>
            <w:r>
              <w:rPr>
                <w:sz w:val="19"/>
              </w:rPr>
              <w:t>Σ (Actual Units − Expected Units) × Actual Price</w:t>
            </w:r>
          </w:p>
        </w:tc>
        <w:tc>
          <w:tcPr>
            <w:tcW w:type="dxa" w:w="1701"/>
          </w:tcPr>
          <w:p>
            <w:r>
              <w:rPr>
                <w:sz w:val="19"/>
              </w:rPr>
            </w:r>
            <w:r>
              <w:rPr>
                <w:sz w:val="19"/>
              </w:rPr>
              <w:t>₹130.72 Cr</w:t>
            </w:r>
          </w:p>
        </w:tc>
      </w:tr>
      <w:tr>
        <w:tc>
          <w:tcPr>
            <w:tcW w:type="dxa" w:w="2381"/>
          </w:tcPr>
          <w:p>
            <w:r>
              <w:rPr>
                <w:sz w:val="19"/>
              </w:rPr>
            </w:r>
            <w:r>
              <w:rPr>
                <w:sz w:val="19"/>
              </w:rPr>
              <w:t>Promotion ROI</w:t>
            </w:r>
          </w:p>
        </w:tc>
        <w:tc>
          <w:tcPr>
            <w:tcW w:type="dxa" w:w="5556"/>
          </w:tcPr>
          <w:p>
            <w:r>
              <w:rPr>
                <w:sz w:val="19"/>
              </w:rPr>
            </w:r>
            <w:r>
              <w:rPr>
                <w:sz w:val="19"/>
              </w:rPr>
              <w:t>Incremental Sales ÷ Trade Spend</w:t>
            </w:r>
          </w:p>
        </w:tc>
        <w:tc>
          <w:tcPr>
            <w:tcW w:type="dxa" w:w="1701"/>
          </w:tcPr>
          <w:p>
            <w:r>
              <w:rPr>
                <w:sz w:val="19"/>
              </w:rPr>
            </w:r>
            <w:r>
              <w:rPr>
                <w:sz w:val="19"/>
              </w:rPr>
              <w:t>1.72x</w:t>
            </w:r>
          </w:p>
        </w:tc>
      </w:tr>
      <w:tr>
        <w:tc>
          <w:tcPr>
            <w:tcW w:type="dxa" w:w="2381"/>
          </w:tcPr>
          <w:p>
            <w:r>
              <w:rPr>
                <w:sz w:val="19"/>
              </w:rPr>
            </w:r>
            <w:r>
              <w:rPr>
                <w:sz w:val="19"/>
              </w:rPr>
              <w:t>Margin Impact</w:t>
            </w:r>
          </w:p>
        </w:tc>
        <w:tc>
          <w:tcPr>
            <w:tcW w:type="dxa" w:w="5556"/>
          </w:tcPr>
          <w:p>
            <w:r>
              <w:rPr>
                <w:sz w:val="19"/>
              </w:rPr>
            </w:r>
            <w:r>
              <w:rPr>
                <w:sz w:val="19"/>
              </w:rPr>
              <w:t>Gross Margin with − Gross Margin without the promotion</w:t>
            </w:r>
          </w:p>
        </w:tc>
        <w:tc>
          <w:tcPr>
            <w:tcW w:type="dxa" w:w="1701"/>
          </w:tcPr>
          <w:p>
            <w:r>
              <w:rPr>
                <w:sz w:val="19"/>
              </w:rPr>
            </w:r>
            <w:r>
              <w:rPr>
                <w:sz w:val="19"/>
              </w:rPr>
              <w:t>₹25.37 Cr</w:t>
            </w:r>
          </w:p>
        </w:tc>
      </w:tr>
      <w:tr>
        <w:tc>
          <w:tcPr>
            <w:tcW w:type="dxa" w:w="2381"/>
          </w:tcPr>
          <w:p>
            <w:r>
              <w:rPr>
                <w:sz w:val="19"/>
              </w:rPr>
            </w:r>
            <w:r>
              <w:rPr>
                <w:sz w:val="19"/>
              </w:rPr>
              <w:t>Promotion Efficiency Index</w:t>
            </w:r>
          </w:p>
        </w:tc>
        <w:tc>
          <w:tcPr>
            <w:tcW w:type="dxa" w:w="5556"/>
          </w:tcPr>
          <w:p>
            <w:r>
              <w:rPr>
                <w:sz w:val="19"/>
              </w:rPr>
            </w:r>
            <w:r>
              <w:rPr>
                <w:sz w:val="19"/>
              </w:rPr>
              <w:t>0.40 × ROI + 0.30 × Incremental Qty % + 0.30 × Gross Margin %</w:t>
            </w:r>
          </w:p>
        </w:tc>
        <w:tc>
          <w:tcPr>
            <w:tcW w:type="dxa" w:w="1701"/>
          </w:tcPr>
          <w:p>
            <w:r>
              <w:rPr>
                <w:sz w:val="19"/>
              </w:rPr>
            </w:r>
            <w:r>
              <w:rPr>
                <w:sz w:val="19"/>
              </w:rPr>
              <w:t>89</w:t>
            </w:r>
          </w:p>
        </w:tc>
      </w:tr>
      <w:tr>
        <w:tc>
          <w:tcPr>
            <w:tcW w:type="dxa" w:w="2381"/>
          </w:tcPr>
          <w:p>
            <w:r>
              <w:rPr>
                <w:sz w:val="19"/>
              </w:rPr>
            </w:r>
            <w:r>
              <w:rPr>
                <w:sz w:val="19"/>
              </w:rPr>
              <w:t>Cannibalization Rate</w:t>
            </w:r>
          </w:p>
        </w:tc>
        <w:tc>
          <w:tcPr>
            <w:tcW w:type="dxa" w:w="5556"/>
          </w:tcPr>
          <w:p>
            <w:r>
              <w:rPr>
                <w:sz w:val="19"/>
              </w:rPr>
            </w:r>
            <w:r>
              <w:rPr>
                <w:sz w:val="19"/>
              </w:rPr>
              <w:t>Cannibalized Units ÷ Incremental Units × 100</w:t>
            </w:r>
          </w:p>
        </w:tc>
        <w:tc>
          <w:tcPr>
            <w:tcW w:type="dxa" w:w="1701"/>
          </w:tcPr>
          <w:p>
            <w:r>
              <w:rPr>
                <w:sz w:val="19"/>
              </w:rPr>
            </w:r>
            <w:r>
              <w:rPr>
                <w:sz w:val="19"/>
              </w:rPr>
              <w:t>17.45%</w:t>
            </w:r>
          </w:p>
        </w:tc>
      </w:tr>
      <w:tr>
        <w:tc>
          <w:tcPr>
            <w:tcW w:type="dxa" w:w="2381"/>
          </w:tcPr>
          <w:p>
            <w:r>
              <w:rPr>
                <w:sz w:val="19"/>
              </w:rPr>
            </w:r>
            <w:r>
              <w:rPr>
                <w:sz w:val="19"/>
              </w:rPr>
              <w:t>Volume Uplift</w:t>
            </w:r>
          </w:p>
        </w:tc>
        <w:tc>
          <w:tcPr>
            <w:tcW w:type="dxa" w:w="5556"/>
          </w:tcPr>
          <w:p>
            <w:r>
              <w:rPr>
                <w:sz w:val="19"/>
              </w:rPr>
            </w:r>
            <w:r>
              <w:rPr>
                <w:sz w:val="19"/>
              </w:rPr>
              <w:t>Incremental Units ÷ Expected Units × 100</w:t>
            </w:r>
          </w:p>
        </w:tc>
        <w:tc>
          <w:tcPr>
            <w:tcW w:type="dxa" w:w="1701"/>
          </w:tcPr>
          <w:p>
            <w:r>
              <w:rPr>
                <w:sz w:val="19"/>
              </w:rPr>
            </w:r>
            <w:r>
              <w:rPr>
                <w:sz w:val="19"/>
              </w:rPr>
              <w:t>72.32%</w:t>
            </w:r>
          </w:p>
        </w:tc>
      </w:tr>
      <w:tr>
        <w:tc>
          <w:tcPr>
            <w:tcW w:type="dxa" w:w="2381"/>
          </w:tcPr>
          <w:p>
            <w:r>
              <w:rPr>
                <w:sz w:val="19"/>
              </w:rPr>
            </w:r>
            <w:r>
              <w:rPr>
                <w:sz w:val="19"/>
              </w:rPr>
              <w:t>Net Incremental Profit</w:t>
            </w:r>
          </w:p>
        </w:tc>
        <w:tc>
          <w:tcPr>
            <w:tcW w:type="dxa" w:w="5556"/>
          </w:tcPr>
          <w:p>
            <w:r>
              <w:rPr>
                <w:sz w:val="19"/>
              </w:rPr>
            </w:r>
            <w:r>
              <w:rPr>
                <w:sz w:val="19"/>
              </w:rPr>
              <w:t>Margin Impact − Promotion Cost − Cannibalized Margin</w:t>
            </w:r>
          </w:p>
        </w:tc>
        <w:tc>
          <w:tcPr>
            <w:tcW w:type="dxa" w:w="1701"/>
          </w:tcPr>
          <w:p>
            <w:r>
              <w:rPr>
                <w:sz w:val="19"/>
              </w:rPr>
            </w:r>
            <w:r>
              <w:rPr>
                <w:sz w:val="19"/>
              </w:rPr>
              <w:t>₹2.86 Cr</w:t>
            </w:r>
          </w:p>
        </w:tc>
      </w:tr>
      <w:tr>
        <w:tc>
          <w:tcPr>
            <w:tcW w:type="dxa" w:w="2381"/>
          </w:tcPr>
          <w:p>
            <w:r>
              <w:rPr>
                <w:sz w:val="19"/>
              </w:rPr>
            </w:r>
            <w:r>
              <w:rPr>
                <w:sz w:val="19"/>
              </w:rPr>
              <w:t>Target Hit Rate</w:t>
            </w:r>
          </w:p>
        </w:tc>
        <w:tc>
          <w:tcPr>
            <w:tcW w:type="dxa" w:w="5556"/>
          </w:tcPr>
          <w:p>
            <w:r>
              <w:rPr>
                <w:sz w:val="19"/>
              </w:rPr>
            </w:r>
            <w:r>
              <w:rPr>
                <w:sz w:val="19"/>
              </w:rPr>
              <w:t>Events with ROI ≥ target ÷ All events × 100</w:t>
            </w:r>
          </w:p>
        </w:tc>
        <w:tc>
          <w:tcPr>
            <w:tcW w:type="dxa" w:w="1701"/>
          </w:tcPr>
          <w:p>
            <w:r>
              <w:rPr>
                <w:sz w:val="19"/>
              </w:rPr>
            </w:r>
            <w:r>
              <w:rPr>
                <w:sz w:val="19"/>
              </w:rPr>
              <w:t>70.00%</w:t>
            </w:r>
          </w:p>
        </w:tc>
      </w:tr>
    </w:tbl>
    <w:p/>
    <w:p>
      <w:pPr>
        <w:pStyle w:val="Heading2"/>
      </w:pPr>
      <w:r>
        <w:t>Each card in detail</w:t>
      </w:r>
    </w:p>
    <w:p>
      <w:pPr>
        <w:pStyle w:val="Heading3"/>
      </w:pPr>
      <w:r>
        <w:t>Trade Spend — ₹76.17 Cr (2025)</w:t>
      </w:r>
    </w:p>
    <w:p>
      <w:r>
        <w:rPr>
          <w:color w:val="4B5755"/>
        </w:rPr>
        <w:t>Headline card</w:t>
      </w:r>
    </w:p>
    <w:p>
      <w:r>
        <w:t>The total investment behind the promotions: the discount given away on every unit sold, plus the promotion cost booked against it.</w:t>
      </w:r>
    </w:p>
    <w:tbl>
      <w:tblPr>
        <w:tblW w:type="auto" w:w="0"/>
        <w:tblLook w:firstColumn="1" w:firstRow="1" w:lastColumn="0" w:lastRow="0" w:noHBand="0" w:noVBand="1" w:val="04A0"/>
      </w:tblPr>
      <w:tblGrid>
        <w:gridCol w:w="9972"/>
      </w:tblGrid>
      <w:tr>
        <w:tc>
          <w:tcPr>
            <w:tcW w:type="dxa" w:w="9972"/>
            <w:shd w:val="clear" w:color="auto" w:fill="F0F3F1"/>
          </w:tcPr>
          <w:p>
            <w:r/>
            <w:r>
              <w:rPr>
                <w:rFonts w:ascii="Consolas" w:hAnsi="Consolas"/>
                <w:sz w:val="19"/>
              </w:rPr>
              <w:t>Σ (Base Price − Actual Price) × Units Sold  +  Σ Promotion Cost</w:t>
            </w:r>
          </w:p>
        </w:tc>
      </w:tr>
    </w:tbl>
    <w:p>
      <w:pPr>
        <w:spacing w:after="0"/>
      </w:pPr>
    </w:p>
    <w:p>
      <w:r>
        <w:rPr>
          <w:b/>
        </w:rPr>
        <w:t xml:space="preserve">2025: </w:t>
      </w:r>
      <w:r>
        <w:t>₹65.07 Cr discount given + ₹11.10 Cr promotion cost = ₹76.17 Cr</w:t>
      </w:r>
    </w:p>
    <w:p>
      <w:r>
        <w:rPr>
          <w:b/>
        </w:rPr>
        <w:t xml:space="preserve">Read it as: </w:t>
      </w:r>
      <w:r>
        <w:t>What the promotions cost to run. Lower is better for the same return.</w:t>
      </w:r>
    </w:p>
    <w:p>
      <w:pPr>
        <w:pStyle w:val="Heading3"/>
      </w:pPr>
      <w:r>
        <w:t>Incremental Sales — ₹130.72 Cr (2025)</w:t>
      </w:r>
    </w:p>
    <w:p>
      <w:r>
        <w:rPr>
          <w:color w:val="4B5755"/>
        </w:rPr>
        <w:t>Headline card</w:t>
      </w:r>
    </w:p>
    <w:p>
      <w:r>
        <w:t>Revenue the promotions added above what the same rows would have sold without them, each row valued at its own selling price.</w:t>
      </w:r>
    </w:p>
    <w:tbl>
      <w:tblPr>
        <w:tblW w:type="auto" w:w="0"/>
        <w:tblLook w:firstColumn="1" w:firstRow="1" w:lastColumn="0" w:lastRow="0" w:noHBand="0" w:noVBand="1" w:val="04A0"/>
      </w:tblPr>
      <w:tblGrid>
        <w:gridCol w:w="9972"/>
      </w:tblGrid>
      <w:tr>
        <w:tc>
          <w:tcPr>
            <w:tcW w:type="dxa" w:w="9972"/>
            <w:shd w:val="clear" w:color="auto" w:fill="F0F3F1"/>
          </w:tcPr>
          <w:p>
            <w:r/>
            <w:r>
              <w:rPr>
                <w:rFonts w:ascii="Consolas" w:hAnsi="Consolas"/>
                <w:sz w:val="19"/>
              </w:rPr>
              <w:t>Σ over promoted rows of (Actual Units − Expected Units) × Actual Price</w:t>
            </w:r>
          </w:p>
        </w:tc>
      </w:tr>
    </w:tbl>
    <w:p>
      <w:pPr>
        <w:spacing w:after="0"/>
      </w:pPr>
    </w:p>
    <w:p>
      <w:r>
        <w:rPr>
          <w:b/>
        </w:rPr>
        <w:t xml:space="preserve">2025: </w:t>
      </w:r>
      <w:r>
        <w:t>+4,345,507 extra units across 162 promoted product-channels, valued at their promoted prices</w:t>
      </w:r>
    </w:p>
    <w:p>
      <w:r>
        <w:rPr>
          <w:b/>
        </w:rPr>
        <w:t xml:space="preserve">Read it as: </w:t>
      </w:r>
      <w:r>
        <w:t>The extra revenue the promotions bought. Higher is better. Adds up exactly across months, channels and events.</w:t>
      </w:r>
    </w:p>
    <w:p>
      <w:pPr>
        <w:pStyle w:val="Heading3"/>
      </w:pPr>
      <w:r>
        <w:t>Promotion ROI — 1.72x (2025)</w:t>
      </w:r>
    </w:p>
    <w:p>
      <w:r>
        <w:rPr>
          <w:color w:val="4B5755"/>
        </w:rPr>
        <w:t>Headline card</w:t>
      </w:r>
    </w:p>
    <w:p>
      <w:r>
        <w:t>Incremental sales returned for every rupee of trade spend. 1.00x means the spend came back as extra revenue and nothing more.</w:t>
      </w:r>
    </w:p>
    <w:tbl>
      <w:tblPr>
        <w:tblW w:type="auto" w:w="0"/>
        <w:tblLook w:firstColumn="1" w:firstRow="1" w:lastColumn="0" w:lastRow="0" w:noHBand="0" w:noVBand="1" w:val="04A0"/>
      </w:tblPr>
      <w:tblGrid>
        <w:gridCol w:w="9972"/>
      </w:tblGrid>
      <w:tr>
        <w:tc>
          <w:tcPr>
            <w:tcW w:type="dxa" w:w="9972"/>
            <w:shd w:val="clear" w:color="auto" w:fill="F0F3F1"/>
          </w:tcPr>
          <w:p>
            <w:r/>
            <w:r>
              <w:rPr>
                <w:rFonts w:ascii="Consolas" w:hAnsi="Consolas"/>
                <w:sz w:val="19"/>
              </w:rPr>
              <w:t>Incremental Sales ÷ Trade Spend</w:t>
            </w:r>
          </w:p>
        </w:tc>
      </w:tr>
    </w:tbl>
    <w:p>
      <w:pPr>
        <w:spacing w:after="0"/>
      </w:pPr>
    </w:p>
    <w:p>
      <w:r>
        <w:rPr>
          <w:b/>
        </w:rPr>
        <w:t xml:space="preserve">2025: </w:t>
      </w:r>
      <w:r>
        <w:t>₹130.72 Cr ÷ ₹76.17 Cr = 1.72x   (target 1.50x)</w:t>
      </w:r>
    </w:p>
    <w:p>
      <w:r>
        <w:rPr>
          <w:b/>
        </w:rPr>
        <w:t xml:space="preserve">Read it as: </w:t>
      </w:r>
      <w:r>
        <w:t>A revenue ratio. Higher is better. Its change is shown as a difference in multiples (−0.19), not a percent.</w:t>
      </w:r>
    </w:p>
    <w:p>
      <w:pPr>
        <w:pStyle w:val="Heading3"/>
      </w:pPr>
      <w:r>
        <w:t>Margin Impact — ₹25.37 Cr (2025)</w:t>
      </w:r>
    </w:p>
    <w:p>
      <w:r>
        <w:rPr>
          <w:color w:val="4B5755"/>
        </w:rPr>
        <w:t>Headline card</w:t>
      </w:r>
    </w:p>
    <w:p>
      <w:r>
        <w:t>The extra gross margin the promotions earned. “Without” is the same products at list price, selling only the units they would have sold anyway. The discount lowers the margin on every unit; the extra units add margin back.</w:t>
      </w:r>
    </w:p>
    <w:tbl>
      <w:tblPr>
        <w:tblW w:type="auto" w:w="0"/>
        <w:tblLook w:firstColumn="1" w:firstRow="1" w:lastColumn="0" w:lastRow="0" w:noHBand="0" w:noVBand="1" w:val="04A0"/>
      </w:tblPr>
      <w:tblGrid>
        <w:gridCol w:w="9972"/>
      </w:tblGrid>
      <w:tr>
        <w:tc>
          <w:tcPr>
            <w:tcW w:type="dxa" w:w="9972"/>
            <w:shd w:val="clear" w:color="auto" w:fill="F0F3F1"/>
          </w:tcPr>
          <w:p>
            <w:r/>
            <w:r>
              <w:rPr>
                <w:rFonts w:ascii="Consolas" w:hAnsi="Consolas"/>
                <w:sz w:val="19"/>
              </w:rPr>
              <w:t>Gross Margin with the promotion − Gross Margin without the promotion</w:t>
              <w:br/>
            </w:r>
            <w:r>
              <w:rPr>
                <w:rFonts w:ascii="Consolas" w:hAnsi="Consolas"/>
                <w:sz w:val="19"/>
              </w:rPr>
              <w:t>Gross Margin = Revenue − Total Cost</w:t>
            </w:r>
          </w:p>
        </w:tc>
      </w:tr>
    </w:tbl>
    <w:p>
      <w:pPr>
        <w:spacing w:after="0"/>
      </w:pPr>
    </w:p>
    <w:p>
      <w:r>
        <w:rPr>
          <w:b/>
        </w:rPr>
        <w:t xml:space="preserve">2025: </w:t>
      </w:r>
      <w:r>
        <w:t>₹138.44 Cr with the promotion − ₹113.07 Cr without = ₹25.37 Cr</w:t>
      </w:r>
    </w:p>
    <w:p>
      <w:r>
        <w:rPr>
          <w:b/>
        </w:rPr>
        <w:t xml:space="preserve">Read it as: </w:t>
      </w:r>
      <w:r>
        <w:t>Positive when the extra volume more than pays for the discount. Higher is better. Promotion cost is taken off in Net Incremental Profit, not here.</w:t>
      </w:r>
    </w:p>
    <w:p>
      <w:pPr>
        <w:pStyle w:val="Heading3"/>
      </w:pPr>
      <w:r>
        <w:t>Promotion Efficiency Index (PEI) — 89 (2025)</w:t>
      </w:r>
    </w:p>
    <w:p>
      <w:r>
        <w:rPr>
          <w:color w:val="4B5755"/>
        </w:rPr>
        <w:t>Headline card</w:t>
      </w:r>
    </w:p>
    <w:p>
      <w:r>
        <w:t>A 0–100 score combining return, volume response and margin. Each part is scored 0–100 first, then weighted.</w:t>
      </w:r>
    </w:p>
    <w:tbl>
      <w:tblPr>
        <w:tblW w:type="auto" w:w="0"/>
        <w:tblLook w:firstColumn="1" w:firstRow="1" w:lastColumn="0" w:lastRow="0" w:noHBand="0" w:noVBand="1" w:val="04A0"/>
      </w:tblPr>
      <w:tblGrid>
        <w:gridCol w:w="9972"/>
      </w:tblGrid>
      <w:tr>
        <w:tc>
          <w:tcPr>
            <w:tcW w:type="dxa" w:w="9972"/>
            <w:shd w:val="clear" w:color="auto" w:fill="F0F3F1"/>
          </w:tcPr>
          <w:p>
            <w:r/>
            <w:r>
              <w:rPr>
                <w:rFonts w:ascii="Consolas" w:hAnsi="Consolas"/>
                <w:sz w:val="19"/>
              </w:rPr>
              <w:t>0.40 × ROI  +  0.30 × Incremental Qty %  +  0.30 × Gross Margin %</w:t>
              <w:br/>
            </w:r>
            <w:r>
              <w:rPr>
                <w:rFonts w:ascii="Consolas" w:hAnsi="Consolas"/>
                <w:sz w:val="19"/>
              </w:rPr>
              <w:t>ROI part:        1.00x scores 0, 2.00x scores 100</w:t>
              <w:br/>
            </w:r>
            <w:r>
              <w:rPr>
                <w:rFonts w:ascii="Consolas" w:hAnsi="Consolas"/>
                <w:sz w:val="19"/>
              </w:rPr>
              <w:t>Incremental Qty: 50% scores 100</w:t>
              <w:br/>
            </w:r>
            <w:r>
              <w:rPr>
                <w:rFonts w:ascii="Consolas" w:hAnsi="Consolas"/>
                <w:sz w:val="19"/>
              </w:rPr>
              <w:t>Gross Margin:    40% scores 100</w:t>
            </w:r>
          </w:p>
        </w:tc>
      </w:tr>
    </w:tbl>
    <w:p>
      <w:pPr>
        <w:spacing w:after="0"/>
      </w:pPr>
    </w:p>
    <w:p>
      <w:r>
        <w:rPr>
          <w:b/>
        </w:rPr>
        <w:t xml:space="preserve">2025: </w:t>
      </w:r>
      <w:r>
        <w:t>0.40 × 72 + 0.30 × 100 + 0.30 × 100 = 89   (ROI 1.72x · uplift 72.32% · margin 52.69%)</w:t>
      </w:r>
    </w:p>
    <w:p>
      <w:r>
        <w:rPr>
          <w:b/>
        </w:rPr>
        <w:t xml:space="preserve">Read it as: </w:t>
      </w:r>
      <w:r>
        <w:t>Higher is better. If a part cannot be computed, its weight is shared among the others. Shown only when something was promoted.</w:t>
      </w:r>
    </w:p>
    <w:p>
      <w:pPr>
        <w:pStyle w:val="Heading3"/>
      </w:pPr>
      <w:r>
        <w:t>Cannibalization Rate — 17.45% (2025)</w:t>
      </w:r>
    </w:p>
    <w:p>
      <w:r>
        <w:rPr>
          <w:color w:val="4B5755"/>
        </w:rPr>
        <w:t>Headline card</w:t>
      </w:r>
    </w:p>
    <w:p>
      <w:r>
        <w:t>The share of a promotion's extra units that came out of the pack sizes either side of it in the same brand, rather than being new demand.</w:t>
      </w:r>
    </w:p>
    <w:tbl>
      <w:tblPr>
        <w:tblW w:type="auto" w:w="0"/>
        <w:tblLook w:firstColumn="1" w:firstRow="1" w:lastColumn="0" w:lastRow="0" w:noHBand="0" w:noVBand="1" w:val="04A0"/>
      </w:tblPr>
      <w:tblGrid>
        <w:gridCol w:w="9972"/>
      </w:tblGrid>
      <w:tr>
        <w:tc>
          <w:tcPr>
            <w:tcW w:type="dxa" w:w="9972"/>
            <w:shd w:val="clear" w:color="auto" w:fill="F0F3F1"/>
          </w:tcPr>
          <w:p>
            <w:r/>
            <w:r>
              <w:rPr>
                <w:rFonts w:ascii="Consolas" w:hAnsi="Consolas"/>
                <w:sz w:val="19"/>
              </w:rPr>
              <w:t>Units lost by neighbouring packs ÷ Promoted pack's incremental units × 100</w:t>
            </w:r>
          </w:p>
        </w:tc>
      </w:tr>
    </w:tbl>
    <w:p>
      <w:pPr>
        <w:spacing w:after="0"/>
      </w:pPr>
    </w:p>
    <w:p>
      <w:r>
        <w:rPr>
          <w:b/>
        </w:rPr>
        <w:t xml:space="preserve">2025: </w:t>
      </w:r>
      <w:r>
        <w:t>Measured on 1,738 comparable promotion events</w:t>
      </w:r>
    </w:p>
    <w:p>
      <w:r>
        <w:rPr>
          <w:b/>
        </w:rPr>
        <w:t xml:space="preserve">Read it as: </w:t>
      </w:r>
      <w:r>
        <w:t>Lower is better. Needs at least three comparable events; a narrower selection shows the rate for the nearest wider scope and names it.</w:t>
      </w:r>
    </w:p>
    <w:p>
      <w:pPr>
        <w:pStyle w:val="Heading3"/>
      </w:pPr>
      <w:r>
        <w:t>Volume Uplift — 72.32% (2025)</w:t>
      </w:r>
    </w:p>
    <w:p>
      <w:r>
        <w:rPr>
          <w:color w:val="4B5755"/>
        </w:rPr>
        <w:t>Added card</w:t>
      </w:r>
    </w:p>
    <w:p>
      <w:r>
        <w:t>How much more volume the promoted rows moved than they would have without the promotion, independent of price.</w:t>
      </w:r>
    </w:p>
    <w:tbl>
      <w:tblPr>
        <w:tblW w:type="auto" w:w="0"/>
        <w:tblLook w:firstColumn="1" w:firstRow="1" w:lastColumn="0" w:lastRow="0" w:noHBand="0" w:noVBand="1" w:val="04A0"/>
      </w:tblPr>
      <w:tblGrid>
        <w:gridCol w:w="9972"/>
      </w:tblGrid>
      <w:tr>
        <w:tc>
          <w:tcPr>
            <w:tcW w:type="dxa" w:w="9972"/>
            <w:shd w:val="clear" w:color="auto" w:fill="F0F3F1"/>
          </w:tcPr>
          <w:p>
            <w:r/>
            <w:r>
              <w:rPr>
                <w:rFonts w:ascii="Consolas" w:hAnsi="Consolas"/>
                <w:sz w:val="19"/>
              </w:rPr>
              <w:t>(Actual Units − Expected Units) ÷ Expected Units × 100, over promoted rows</w:t>
            </w:r>
          </w:p>
        </w:tc>
      </w:tr>
    </w:tbl>
    <w:p>
      <w:pPr>
        <w:spacing w:after="0"/>
      </w:pPr>
    </w:p>
    <w:p>
      <w:r>
        <w:rPr>
          <w:b/>
        </w:rPr>
        <w:t xml:space="preserve">2025: </w:t>
      </w:r>
      <w:r>
        <w:t>+4,345,507 units on a 6,008,472-unit baseline = 72.32%</w:t>
      </w:r>
    </w:p>
    <w:p>
      <w:r>
        <w:rPr>
          <w:b/>
        </w:rPr>
        <w:t xml:space="preserve">Read it as: </w:t>
      </w:r>
      <w:r>
        <w:t>Higher is better. Its change is shown in percentage points.</w:t>
      </w:r>
    </w:p>
    <w:p>
      <w:pPr>
        <w:pStyle w:val="Heading3"/>
      </w:pPr>
      <w:r>
        <w:t>Net Incremental Profit — ₹2.86 Cr (2025)</w:t>
      </w:r>
    </w:p>
    <w:p>
      <w:r>
        <w:rPr>
          <w:color w:val="4B5755"/>
        </w:rPr>
        <w:t>Added card</w:t>
      </w:r>
    </w:p>
    <w:p>
      <w:r>
        <w:t>What the promotions added to profit: the extra gross margin they earned, less what it cost to run them and the margin taken from neighbouring pack sizes.</w:t>
      </w:r>
    </w:p>
    <w:tbl>
      <w:tblPr>
        <w:tblW w:type="auto" w:w="0"/>
        <w:tblLook w:firstColumn="1" w:firstRow="1" w:lastColumn="0" w:lastRow="0" w:noHBand="0" w:noVBand="1" w:val="04A0"/>
      </w:tblPr>
      <w:tblGrid>
        <w:gridCol w:w="9972"/>
      </w:tblGrid>
      <w:tr>
        <w:tc>
          <w:tcPr>
            <w:tcW w:type="dxa" w:w="9972"/>
            <w:shd w:val="clear" w:color="auto" w:fill="F0F3F1"/>
          </w:tcPr>
          <w:p>
            <w:r/>
            <w:r>
              <w:rPr>
                <w:rFonts w:ascii="Consolas" w:hAnsi="Consolas"/>
                <w:sz w:val="19"/>
              </w:rPr>
              <w:t>Margin Impact − Promotion Cost − Margin lost on cannibalized packs</w:t>
            </w:r>
          </w:p>
        </w:tc>
      </w:tr>
    </w:tbl>
    <w:p>
      <w:pPr>
        <w:spacing w:after="0"/>
      </w:pPr>
    </w:p>
    <w:p>
      <w:r>
        <w:rPr>
          <w:b/>
        </w:rPr>
        <w:t xml:space="preserve">2025: </w:t>
      </w:r>
      <w:r>
        <w:t>₹25.37 Cr − ₹11.10 Cr − ₹11.41 Cr = ₹2.86 Cr</w:t>
      </w:r>
    </w:p>
    <w:p>
      <w:r>
        <w:rPr>
          <w:b/>
        </w:rPr>
        <w:t xml:space="preserve">Read it as: </w:t>
      </w:r>
      <w:r>
        <w:t>Higher is better. Can be negative while ROI is above 1.00x, because ROI is about revenue and this is about profit.</w:t>
      </w:r>
    </w:p>
    <w:p>
      <w:pPr>
        <w:pStyle w:val="Heading3"/>
      </w:pPr>
      <w:r>
        <w:t>Target Hit Rate — 70.00% (2025)</w:t>
      </w:r>
    </w:p>
    <w:p>
      <w:r>
        <w:rPr>
          <w:color w:val="4B5755"/>
        </w:rPr>
        <w:t>Added card</w:t>
      </w:r>
    </w:p>
    <w:p>
      <w:r>
        <w:t>The share of individual promotion events that reached the ROI target. Counted from the same events as the Risk Alerts.</w:t>
      </w:r>
    </w:p>
    <w:tbl>
      <w:tblPr>
        <w:tblW w:type="auto" w:w="0"/>
        <w:tblLook w:firstColumn="1" w:firstRow="1" w:lastColumn="0" w:lastRow="0" w:noHBand="0" w:noVBand="1" w:val="04A0"/>
      </w:tblPr>
      <w:tblGrid>
        <w:gridCol w:w="9972"/>
      </w:tblGrid>
      <w:tr>
        <w:tc>
          <w:tcPr>
            <w:tcW w:type="dxa" w:w="9972"/>
            <w:shd w:val="clear" w:color="auto" w:fill="F0F3F1"/>
          </w:tcPr>
          <w:p>
            <w:r/>
            <w:r>
              <w:rPr>
                <w:rFonts w:ascii="Consolas" w:hAnsi="Consolas"/>
                <w:sz w:val="19"/>
              </w:rPr>
              <w:t>Events with ROI ≥ Target ÷ All promotion events × 100</w:t>
            </w:r>
          </w:p>
        </w:tc>
      </w:tr>
    </w:tbl>
    <w:p>
      <w:pPr>
        <w:spacing w:after="0"/>
      </w:pPr>
    </w:p>
    <w:p>
      <w:r>
        <w:rPr>
          <w:b/>
        </w:rPr>
        <w:t xml:space="preserve">2025: </w:t>
      </w:r>
      <w:r>
        <w:t>917 of 1,310 events at or above 1.50x = 70.00%   (alerts: 256 Critical · 91 High · 46 Medium)</w:t>
      </w:r>
    </w:p>
    <w:p>
      <w:r>
        <w:rPr>
          <w:b/>
        </w:rPr>
        <w:t xml:space="preserve">Read it as: </w:t>
      </w:r>
      <w:r>
        <w:t>Higher is better. Moves with the target you set on the page.</w:t>
      </w:r>
    </w:p>
    <w:p/>
    <w:p>
      <w:r>
        <w:rPr>
          <w:i/>
          <w:color w:val="4B5755"/>
        </w:rPr>
        <w:t>Figures from the dataset loaded on 9 October 2026, full year 2025, in INR. Every formula here is the one the platform computes; each card's ⓘ shows the same formula and its evidence line shows the same inputs.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6E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E6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6E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F6E6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