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EF17" w14:textId="77777777" w:rsidR="00F52966" w:rsidRDefault="00000000">
      <w:pPr>
        <w:pStyle w:val="Title"/>
        <w:spacing w:after="60"/>
      </w:pPr>
      <w:r>
        <w:t>TPO INVESTIGATIONS</w:t>
      </w:r>
    </w:p>
    <w:p w14:paraId="5124EF18" w14:textId="77777777" w:rsidR="00F52966" w:rsidRDefault="00000000">
      <w:pPr>
        <w:pStyle w:val="Subtitle"/>
        <w:spacing w:after="220"/>
      </w:pPr>
      <w:r>
        <w:t>A simple guide to the six agents and Simulation Studio</w:t>
      </w:r>
    </w:p>
    <w:p w14:paraId="5124EF19" w14:textId="77777777" w:rsidR="00F52966" w:rsidRDefault="00000000">
      <w:pPr>
        <w:pStyle w:val="Heading1"/>
        <w:spacing w:after="100"/>
      </w:pPr>
      <w:r>
        <w:t>What is the Investigations page?</w:t>
      </w:r>
    </w:p>
    <w:p w14:paraId="5124EF1A" w14:textId="104DCED2" w:rsidR="00F52966" w:rsidRDefault="00000000">
      <w:pPr>
        <w:spacing w:after="100"/>
      </w:pPr>
      <w:r>
        <w:t xml:space="preserve">The Investigations page examines a promotion that has already happened. It brings together focused </w:t>
      </w:r>
      <w:r w:rsidR="006218EA">
        <w:t>checks? Called</w:t>
      </w:r>
      <w:r>
        <w:t xml:space="preserve"> </w:t>
      </w:r>
      <w:proofErr w:type="spellStart"/>
      <w:r>
        <w:t>agents?to</w:t>
      </w:r>
      <w:proofErr w:type="spellEnd"/>
      <w:r>
        <w:t xml:space="preserve"> help explain how the promotion performed, where results differed, and what may deserve a closer look. Each agent looks at a different business question.</w:t>
      </w:r>
    </w:p>
    <w:p w14:paraId="5124EF1B" w14:textId="77777777" w:rsidR="00F52966" w:rsidRDefault="00000000">
      <w:pPr>
        <w:spacing w:after="100"/>
      </w:pPr>
      <w:r>
        <w:t xml:space="preserve">The example used throughout this guide is the page shown in your screenshot: ?Dussehra Deal 25 on Outdoor Fresh Dryer Sheets 240 </w:t>
      </w:r>
      <w:proofErr w:type="spellStart"/>
      <w:r>
        <w:t>ct</w:t>
      </w:r>
      <w:proofErr w:type="spellEnd"/>
      <w:r>
        <w:t>? for week 41 of 2025. The six agents shown are Benchmarking, Effectiveness, Diagnostics, Risk, Optimization, and Cannibalization.</w:t>
      </w:r>
    </w:p>
    <w:p w14:paraId="5124EF1C" w14:textId="77777777" w:rsidR="00F52966" w:rsidRDefault="00000000">
      <w:pPr>
        <w:pStyle w:val="Heading1"/>
        <w:spacing w:after="100"/>
      </w:pPr>
      <w:r>
        <w:t>The six agents</w:t>
      </w:r>
    </w:p>
    <w:p w14:paraId="5124EF1D" w14:textId="77777777" w:rsidR="00F52966" w:rsidRDefault="00000000">
      <w:pPr>
        <w:pStyle w:val="Heading2"/>
        <w:spacing w:after="80"/>
      </w:pPr>
      <w:r>
        <w:t>1. Benchmarking Agent</w:t>
      </w:r>
    </w:p>
    <w:p w14:paraId="5124EF1E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How does this promotion or segment compare with the wider business?</w:t>
      </w:r>
    </w:p>
    <w:p w14:paraId="5124EF1F" w14:textId="77777777" w:rsidR="00F52966" w:rsidRDefault="00000000">
      <w:pPr>
        <w:spacing w:after="90"/>
      </w:pPr>
      <w:r>
        <w:rPr>
          <w:b/>
        </w:rPr>
        <w:t xml:space="preserve">What it looks at: </w:t>
      </w:r>
      <w:r>
        <w:t xml:space="preserve">It compares the selected </w:t>
      </w:r>
      <w:proofErr w:type="spellStart"/>
      <w:r>
        <w:t>segment?s</w:t>
      </w:r>
      <w:proofErr w:type="spellEnd"/>
      <w:r>
        <w:t xml:space="preserve"> ROI with business-level results, including comparisons across channels and regions.</w:t>
      </w:r>
    </w:p>
    <w:p w14:paraId="5124EF20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>If the Dussehra offer has a lower ROI than the business overall, the comparison helps show that the result is unusual in the broader context. It can also help show whether the result is mostly a channel or region pattern.</w:t>
      </w:r>
    </w:p>
    <w:p w14:paraId="5124EF21" w14:textId="77777777" w:rsidR="00F52966" w:rsidRDefault="00000000">
      <w:pPr>
        <w:spacing w:after="140"/>
      </w:pPr>
      <w:r>
        <w:rPr>
          <w:b/>
        </w:rPr>
        <w:t xml:space="preserve">When it is useful: </w:t>
      </w:r>
      <w:r>
        <w:t>Use it to establish a fair reference point before deciding whether a result is strong, weak, or simply typical. A benchmark is context; it does not by itself explain the cause.</w:t>
      </w:r>
    </w:p>
    <w:p w14:paraId="5124EF22" w14:textId="77777777" w:rsidR="00F52966" w:rsidRDefault="00000000">
      <w:pPr>
        <w:pStyle w:val="Heading2"/>
        <w:spacing w:after="80"/>
      </w:pPr>
      <w:r>
        <w:t>2. Effectiveness Agent</w:t>
      </w:r>
    </w:p>
    <w:p w14:paraId="5124EF23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Does this type of promotion work here as well as it does elsewhere?</w:t>
      </w:r>
    </w:p>
    <w:p w14:paraId="5124EF24" w14:textId="38D61E44" w:rsidR="00F52966" w:rsidRDefault="00000000">
      <w:pPr>
        <w:spacing w:after="90"/>
      </w:pPr>
      <w:r>
        <w:rPr>
          <w:b/>
        </w:rPr>
        <w:t xml:space="preserve">What it looks at: </w:t>
      </w:r>
      <w:r>
        <w:t xml:space="preserve">It compares a promotion </w:t>
      </w:r>
      <w:r w:rsidR="00677C27">
        <w:t>mechanic’s</w:t>
      </w:r>
      <w:r>
        <w:t xml:space="preserve"> ROI in the selected segment with the same mechanic across the business. A mechanic is the offer structure, such as a percentage discount or Buy 3 Get 1.</w:t>
      </w:r>
    </w:p>
    <w:p w14:paraId="5124EF25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>Suppose a 5% discount performs well in other regions but poorly for this product in one region. That points toward a local execution or fit issue. If the same mechanic performs poorly everywhere, the mechanic itself may be worth reconsidering.</w:t>
      </w:r>
    </w:p>
    <w:p w14:paraId="5124EF26" w14:textId="77777777" w:rsidR="00F52966" w:rsidRDefault="00000000">
      <w:pPr>
        <w:spacing w:after="140"/>
      </w:pPr>
      <w:r>
        <w:rPr>
          <w:b/>
        </w:rPr>
        <w:t xml:space="preserve">When it is useful: </w:t>
      </w:r>
      <w:r>
        <w:t>Use it when choosing between offer types or checking whether a weak result is specific to this product, retailer, or location.</w:t>
      </w:r>
    </w:p>
    <w:p w14:paraId="5124EF27" w14:textId="07BEE0CC" w:rsidR="00F52966" w:rsidRDefault="00000000">
      <w:pPr>
        <w:pStyle w:val="Heading2"/>
        <w:spacing w:after="80"/>
      </w:pPr>
      <w:r>
        <w:t>3. Diagnostics Agent</w:t>
      </w:r>
      <w:r w:rsidR="007D70C7">
        <w:t>(Modify)</w:t>
      </w:r>
    </w:p>
    <w:p w14:paraId="5124EF28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Which specific promotions missed their target, and what is at stake?</w:t>
      </w:r>
    </w:p>
    <w:p w14:paraId="5124EF29" w14:textId="77777777" w:rsidR="00F52966" w:rsidRDefault="00000000">
      <w:pPr>
        <w:spacing w:after="90"/>
      </w:pPr>
      <w:r>
        <w:rPr>
          <w:b/>
        </w:rPr>
        <w:t xml:space="preserve">What it looks at: </w:t>
      </w:r>
      <w:r>
        <w:t>It lists underperforming promotion events with details such as offer, product, channel, week, ROI, target gap, and trade spend. It can surface an explanation or action to investigate.</w:t>
      </w:r>
    </w:p>
    <w:p w14:paraId="5124EF2A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>It may point to one retailer and week where the offer missed its ROI target, and show the trade spend associated with that event. This narrows a broad ?the promotion underperformed? concern to something a team can inspect.</w:t>
      </w:r>
    </w:p>
    <w:p w14:paraId="5124EF2B" w14:textId="77777777" w:rsidR="00F52966" w:rsidRDefault="00000000">
      <w:pPr>
        <w:spacing w:after="140"/>
      </w:pPr>
      <w:r>
        <w:rPr>
          <w:b/>
        </w:rPr>
        <w:lastRenderedPageBreak/>
        <w:t xml:space="preserve">When it is useful: </w:t>
      </w:r>
      <w:r>
        <w:t>Use it to move from a headline result to the particular offer, product, channel, and period that need attention. Treat a suggested explanation as a lead to check against business context.</w:t>
      </w:r>
    </w:p>
    <w:p w14:paraId="5124EF2C" w14:textId="5A89721B" w:rsidR="00F52966" w:rsidRDefault="00000000">
      <w:pPr>
        <w:pStyle w:val="Heading2"/>
        <w:spacing w:after="80"/>
      </w:pPr>
      <w:r>
        <w:t>4. Risk Agent</w:t>
      </w:r>
      <w:r w:rsidR="00952357">
        <w:t>(Scrap)</w:t>
      </w:r>
    </w:p>
    <w:p w14:paraId="5124EF2D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How many promotions are below the ROI target, how serious are they, and how much spend is involved?</w:t>
      </w:r>
    </w:p>
    <w:p w14:paraId="5124EF2E" w14:textId="77777777" w:rsidR="00F52966" w:rsidRDefault="00000000">
      <w:pPr>
        <w:spacing w:after="90"/>
      </w:pPr>
      <w:r>
        <w:rPr>
          <w:b/>
        </w:rPr>
        <w:t xml:space="preserve">What it looks at: </w:t>
      </w:r>
      <w:r>
        <w:t>It summarizes risk alerts by severity and surfaces alert details such as ROI and trade spend at stake.</w:t>
      </w:r>
    </w:p>
    <w:p w14:paraId="5124EF2F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>If several events are below target, the risk view can help distinguish a small number of severe issues from a larger number of less severe ones, while showing the spend connected to them.</w:t>
      </w:r>
    </w:p>
    <w:p w14:paraId="5124EF30" w14:textId="77777777" w:rsidR="00F52966" w:rsidRDefault="00000000">
      <w:pPr>
        <w:spacing w:after="140"/>
      </w:pPr>
      <w:r>
        <w:rPr>
          <w:b/>
        </w:rPr>
        <w:t xml:space="preserve">When it is useful: </w:t>
      </w:r>
      <w:r>
        <w:t>Use it to prioritize follow-up. The ?at stake? amount is associated trade spend to review; it is not automatically a confirmed loss or a guaranteed amount recoverable.</w:t>
      </w:r>
    </w:p>
    <w:p w14:paraId="5124EF31" w14:textId="42828796" w:rsidR="00F52966" w:rsidRDefault="00000000">
      <w:pPr>
        <w:pStyle w:val="Heading2"/>
        <w:spacing w:after="80"/>
      </w:pPr>
      <w:r>
        <w:t>5. Optimization Agent</w:t>
      </w:r>
      <w:r w:rsidR="00552D8A">
        <w:t>(Modify)</w:t>
      </w:r>
    </w:p>
    <w:p w14:paraId="5124EF32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Where, at a useful level of detail, is the weak result concentrated?</w:t>
      </w:r>
    </w:p>
    <w:p w14:paraId="5124EF33" w14:textId="77777777" w:rsidR="00F52966" w:rsidRDefault="00000000">
      <w:pPr>
        <w:spacing w:after="90"/>
      </w:pPr>
      <w:r>
        <w:rPr>
          <w:b/>
        </w:rPr>
        <w:t xml:space="preserve">What it looks at: </w:t>
      </w:r>
      <w:r>
        <w:t xml:space="preserve">It breaks ROI down by geography and </w:t>
      </w:r>
      <w:proofErr w:type="spellStart"/>
      <w:r>
        <w:t>retailer?for</w:t>
      </w:r>
      <w:proofErr w:type="spellEnd"/>
      <w:r>
        <w:t xml:space="preserve"> example, region, state, or </w:t>
      </w:r>
      <w:proofErr w:type="spellStart"/>
      <w:r>
        <w:t>retailer?to</w:t>
      </w:r>
      <w:proofErr w:type="spellEnd"/>
      <w:r>
        <w:t xml:space="preserve"> locate the smallest area that helps explain the overall result.</w:t>
      </w:r>
    </w:p>
    <w:p w14:paraId="5124EF34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>The national result may look weak, while one state or retailer accounts for most of the gap. That lets the team focus its investigation on that smaller slice.</w:t>
      </w:r>
    </w:p>
    <w:p w14:paraId="5124EF35" w14:textId="77777777" w:rsidR="00F52966" w:rsidRDefault="00000000">
      <w:pPr>
        <w:spacing w:after="140"/>
      </w:pPr>
      <w:r>
        <w:rPr>
          <w:b/>
        </w:rPr>
        <w:t xml:space="preserve">When it is useful: </w:t>
      </w:r>
      <w:r>
        <w:t xml:space="preserve">Use it to target the next review or compare local execution. This agent identifies where results differ; Simulation Studio is where you test </w:t>
      </w:r>
      <w:proofErr w:type="spellStart"/>
      <w:r>
        <w:t>modeled</w:t>
      </w:r>
      <w:proofErr w:type="spellEnd"/>
      <w:r>
        <w:t xml:space="preserve"> changes to levers.</w:t>
      </w:r>
    </w:p>
    <w:p w14:paraId="5124EF36" w14:textId="77777777" w:rsidR="00F52966" w:rsidRDefault="00000000">
      <w:pPr>
        <w:pStyle w:val="Heading2"/>
        <w:spacing w:after="80"/>
      </w:pPr>
      <w:r>
        <w:t>6. Cannibalization Agent</w:t>
      </w:r>
    </w:p>
    <w:p w14:paraId="5124EF37" w14:textId="77777777" w:rsidR="00F52966" w:rsidRDefault="00000000">
      <w:pPr>
        <w:spacing w:after="90"/>
      </w:pPr>
      <w:r>
        <w:rPr>
          <w:b/>
        </w:rPr>
        <w:t xml:space="preserve">In plain terms: </w:t>
      </w:r>
      <w:r>
        <w:t>Did nearby products in the same brand sell less during the promotion period?</w:t>
      </w:r>
    </w:p>
    <w:p w14:paraId="5124EF38" w14:textId="77777777" w:rsidR="00F52966" w:rsidRDefault="00000000">
      <w:pPr>
        <w:spacing w:after="90"/>
      </w:pPr>
      <w:r>
        <w:rPr>
          <w:b/>
        </w:rPr>
        <w:t xml:space="preserve">What it looks at: </w:t>
      </w:r>
      <w:r>
        <w:t>It compares sales changes for related products in the same brand and product form during the promotion weeks. A decline is a signal to investigate possible cannibalization.</w:t>
      </w:r>
    </w:p>
    <w:p w14:paraId="5124EF39" w14:textId="77777777" w:rsidR="00F52966" w:rsidRDefault="00000000">
      <w:pPr>
        <w:spacing w:after="90"/>
      </w:pPr>
      <w:r>
        <w:rPr>
          <w:b/>
          <w:color w:val="6246EA"/>
        </w:rPr>
        <w:t xml:space="preserve">Example: </w:t>
      </w:r>
      <w:r>
        <w:t xml:space="preserve">Dryer Sheets sales rise during the deal, while a related dryer-sheet SKU sells less that week. The pattern may mean customers shifted between the </w:t>
      </w:r>
      <w:proofErr w:type="spellStart"/>
      <w:r>
        <w:t>brand?s</w:t>
      </w:r>
      <w:proofErr w:type="spellEnd"/>
      <w:r>
        <w:t xml:space="preserve"> products, so the team should review total brand impact.</w:t>
      </w:r>
    </w:p>
    <w:p w14:paraId="5124EF3A" w14:textId="77777777" w:rsidR="00F52966" w:rsidRDefault="00000000">
      <w:pPr>
        <w:spacing w:after="140"/>
      </w:pPr>
      <w:r>
        <w:rPr>
          <w:b/>
        </w:rPr>
        <w:t xml:space="preserve">When it is useful: </w:t>
      </w:r>
      <w:r>
        <w:t>Use it to look beyond the promoted SKU and check the wider product portfolio. A sales decline happening at the same time is a clue, not proof that the promotion caused it.</w:t>
      </w:r>
    </w:p>
    <w:p w14:paraId="5124EF3B" w14:textId="77777777" w:rsidR="00F52966" w:rsidRDefault="00000000">
      <w:pPr>
        <w:pStyle w:val="Heading1"/>
        <w:spacing w:after="100"/>
      </w:pPr>
      <w:r>
        <w:t>How this differs from Simulation Studio</w:t>
      </w:r>
    </w:p>
    <w:p w14:paraId="5124EF3C" w14:textId="77777777" w:rsidR="00F52966" w:rsidRDefault="00000000">
      <w:pPr>
        <w:spacing w:after="100"/>
      </w:pPr>
      <w:r>
        <w:t>Think of Investigations as looking backward to understand observed results. Simulation Studio looks forward by changing selected inputs and estimating what could happen under a different plan.</w:t>
      </w:r>
    </w:p>
    <w:tbl>
      <w:tblPr>
        <w:tblW w:w="0" w:type="auto"/>
        <w:tblInd w:w="100" w:type="dxa"/>
        <w:tblBorders>
          <w:top w:val="single" w:sz="4" w:space="0" w:color="D8D9E2"/>
          <w:left w:val="single" w:sz="4" w:space="0" w:color="D8D9E2"/>
          <w:bottom w:val="single" w:sz="4" w:space="0" w:color="D8D9E2"/>
          <w:right w:val="single" w:sz="4" w:space="0" w:color="D8D9E2"/>
          <w:insideH w:val="single" w:sz="4" w:space="0" w:color="D8D9E2"/>
          <w:insideV w:val="single" w:sz="4" w:space="0" w:color="D8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4210"/>
        <w:gridCol w:w="4205"/>
      </w:tblGrid>
      <w:tr w:rsidR="00F52966" w14:paraId="5124EF40" w14:textId="77777777">
        <w:tc>
          <w:tcPr>
            <w:tcW w:w="220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3D" w14:textId="77777777" w:rsidR="00F52966" w:rsidRDefault="00F52966">
            <w:pPr>
              <w:spacing w:after="20"/>
            </w:pPr>
          </w:p>
        </w:tc>
        <w:tc>
          <w:tcPr>
            <w:tcW w:w="440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3E" w14:textId="77777777" w:rsidR="00F52966" w:rsidRDefault="00000000">
            <w:pPr>
              <w:spacing w:after="20"/>
            </w:pPr>
            <w:r>
              <w:rPr>
                <w:b/>
                <w:color w:val="30245E"/>
              </w:rPr>
              <w:t>Investigations: six agents</w:t>
            </w:r>
          </w:p>
        </w:tc>
        <w:tc>
          <w:tcPr>
            <w:tcW w:w="440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3F" w14:textId="77777777" w:rsidR="00F52966" w:rsidRDefault="00000000">
            <w:pPr>
              <w:spacing w:after="20"/>
            </w:pPr>
            <w:r>
              <w:rPr>
                <w:b/>
                <w:color w:val="30245E"/>
              </w:rPr>
              <w:t>Simulation Studio</w:t>
            </w:r>
          </w:p>
        </w:tc>
      </w:tr>
      <w:tr w:rsidR="00F52966" w14:paraId="5124EF44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1" w14:textId="77777777" w:rsidR="00F52966" w:rsidRDefault="00000000">
            <w:pPr>
              <w:spacing w:after="20"/>
            </w:pPr>
            <w:r>
              <w:t>Main purpose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2" w14:textId="77777777" w:rsidR="00F52966" w:rsidRDefault="00000000">
            <w:pPr>
              <w:spacing w:after="20"/>
            </w:pPr>
            <w:r>
              <w:t>Explain and contextualize a promotion that ran.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3" w14:textId="77777777" w:rsidR="00F52966" w:rsidRDefault="00000000">
            <w:pPr>
              <w:spacing w:after="20"/>
            </w:pPr>
            <w:r>
              <w:t>Estimate outcomes for a proposed promotion scenario.</w:t>
            </w:r>
          </w:p>
        </w:tc>
      </w:tr>
      <w:tr w:rsidR="00F52966" w14:paraId="5124EF48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5" w14:textId="77777777" w:rsidR="00F52966" w:rsidRDefault="00000000">
            <w:pPr>
              <w:spacing w:after="20"/>
            </w:pPr>
            <w:r>
              <w:t>Starting point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6" w14:textId="77777777" w:rsidR="00F52966" w:rsidRDefault="00000000">
            <w:pPr>
              <w:spacing w:after="20"/>
            </w:pPr>
            <w:r>
              <w:t>Historical promotion and business data.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7" w14:textId="77777777" w:rsidR="00F52966" w:rsidRDefault="00000000">
            <w:pPr>
              <w:spacing w:after="20"/>
            </w:pPr>
            <w:r>
              <w:t>A selected product/scope and adjustable scenario inputs.</w:t>
            </w:r>
          </w:p>
        </w:tc>
      </w:tr>
      <w:tr w:rsidR="00F52966" w14:paraId="5124EF4C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9" w14:textId="77777777" w:rsidR="00F52966" w:rsidRDefault="00000000">
            <w:pPr>
              <w:spacing w:after="20"/>
            </w:pPr>
            <w:r>
              <w:lastRenderedPageBreak/>
              <w:t>Typical questions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A" w14:textId="77777777" w:rsidR="00F52966" w:rsidRDefault="00000000">
            <w:pPr>
              <w:spacing w:after="20"/>
            </w:pPr>
            <w:r>
              <w:t>Where did ROI miss target? Which offers, regions, or products need review?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B" w14:textId="77777777" w:rsidR="00F52966" w:rsidRDefault="00000000">
            <w:pPr>
              <w:spacing w:after="20"/>
            </w:pPr>
            <w:r>
              <w:t>What might happen if we change discount, duration, or trade-spend budget?</w:t>
            </w:r>
          </w:p>
        </w:tc>
      </w:tr>
      <w:tr w:rsidR="00F52966" w14:paraId="5124EF50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D" w14:textId="77777777" w:rsidR="00F52966" w:rsidRDefault="00000000">
            <w:pPr>
              <w:spacing w:after="20"/>
            </w:pPr>
            <w:r>
              <w:t>How it works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E" w14:textId="77777777" w:rsidR="00F52966" w:rsidRDefault="00000000">
            <w:pPr>
              <w:spacing w:after="20"/>
            </w:pPr>
            <w:r>
              <w:t>Runs relevant data checks and combines their findings.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4F" w14:textId="77777777" w:rsidR="00F52966" w:rsidRDefault="00000000">
            <w:pPr>
              <w:spacing w:after="20"/>
            </w:pPr>
            <w:r>
              <w:t>Uses historical response patterns to estimate revenue and ROI for chosen inputs; scenarios can be compared with a baseline.</w:t>
            </w:r>
          </w:p>
        </w:tc>
      </w:tr>
      <w:tr w:rsidR="00F52966" w14:paraId="5124EF54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1" w14:textId="77777777" w:rsidR="00F52966" w:rsidRDefault="00000000">
            <w:pPr>
              <w:spacing w:after="20"/>
            </w:pPr>
            <w:r>
              <w:t>Output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2" w14:textId="77777777" w:rsidR="00F52966" w:rsidRDefault="00000000">
            <w:pPr>
              <w:spacing w:after="20"/>
            </w:pPr>
            <w:r>
              <w:t>Comparisons, flagged events, breakdowns, risks, and clues for follow-up.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3" w14:textId="77777777" w:rsidR="00F52966" w:rsidRDefault="00000000">
            <w:pPr>
              <w:spacing w:after="20"/>
            </w:pPr>
            <w:proofErr w:type="spellStart"/>
            <w:r>
              <w:t>Modeled</w:t>
            </w:r>
            <w:proofErr w:type="spellEnd"/>
            <w:r>
              <w:t xml:space="preserve"> scenario estimates and comparisons to the starting point.</w:t>
            </w:r>
          </w:p>
        </w:tc>
      </w:tr>
      <w:tr w:rsidR="00F52966" w14:paraId="5124EF58" w14:textId="77777777">
        <w:tc>
          <w:tcPr>
            <w:tcW w:w="22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5" w14:textId="77777777" w:rsidR="00F52966" w:rsidRDefault="00000000">
            <w:pPr>
              <w:spacing w:after="20"/>
            </w:pPr>
            <w:r>
              <w:t>Example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6" w14:textId="77777777" w:rsidR="00F52966" w:rsidRDefault="00000000">
            <w:pPr>
              <w:spacing w:after="20"/>
            </w:pPr>
            <w:r>
              <w:t>Why did the Dussehra dryer sheets promotion perform differently by retailer?</w:t>
            </w:r>
          </w:p>
        </w:tc>
        <w:tc>
          <w:tcPr>
            <w:tcW w:w="44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7" w14:textId="77777777" w:rsidR="00F52966" w:rsidRDefault="00000000">
            <w:pPr>
              <w:spacing w:after="20"/>
            </w:pPr>
            <w:r>
              <w:t>What estimated revenue and ROI might result from a different discount or number of promotion days?</w:t>
            </w:r>
          </w:p>
        </w:tc>
      </w:tr>
    </w:tbl>
    <w:p w14:paraId="5124EF59" w14:textId="77777777" w:rsidR="00F52966" w:rsidRDefault="00000000">
      <w:pPr>
        <w:pStyle w:val="Heading1"/>
        <w:spacing w:after="100"/>
      </w:pPr>
      <w:r>
        <w:t>Use them together</w:t>
      </w:r>
    </w:p>
    <w:p w14:paraId="5124EF5A" w14:textId="77777777" w:rsidR="00F52966" w:rsidRDefault="00000000">
      <w:pPr>
        <w:spacing w:after="100"/>
      </w:pPr>
      <w:r>
        <w:t>1. Start in Investigations to see what happened and where the important gaps or patterns are.</w:t>
      </w:r>
    </w:p>
    <w:p w14:paraId="5124EF5B" w14:textId="77777777" w:rsidR="00F52966" w:rsidRDefault="00000000">
      <w:pPr>
        <w:spacing w:after="100"/>
      </w:pPr>
      <w:r>
        <w:t xml:space="preserve">2. Use the relevant agent findings to choose a </w:t>
      </w:r>
      <w:proofErr w:type="spellStart"/>
      <w:r>
        <w:t>question?for</w:t>
      </w:r>
      <w:proofErr w:type="spellEnd"/>
      <w:r>
        <w:t xml:space="preserve"> example, whether the issue is concentrated in one retailer or whether a different mechanic has worked better elsewhere.</w:t>
      </w:r>
    </w:p>
    <w:p w14:paraId="5124EF5C" w14:textId="77777777" w:rsidR="00F52966" w:rsidRDefault="00000000">
      <w:pPr>
        <w:spacing w:after="100"/>
      </w:pPr>
      <w:r>
        <w:t xml:space="preserve">3. In Simulation Studio, adjust the available scenario levers and compare the </w:t>
      </w:r>
      <w:proofErr w:type="spellStart"/>
      <w:r>
        <w:t>modeled</w:t>
      </w:r>
      <w:proofErr w:type="spellEnd"/>
      <w:r>
        <w:t xml:space="preserve"> result with the baseline. Treat the output as an estimate based on the available data and model, not a promise of future performance.</w:t>
      </w:r>
    </w:p>
    <w:p w14:paraId="5124EF5D" w14:textId="77777777" w:rsidR="00F52966" w:rsidRDefault="00000000">
      <w:pPr>
        <w:pStyle w:val="Heading1"/>
        <w:spacing w:after="100"/>
      </w:pPr>
      <w:r>
        <w:t>A few useful terms</w:t>
      </w:r>
    </w:p>
    <w:tbl>
      <w:tblPr>
        <w:tblW w:w="0" w:type="auto"/>
        <w:tblInd w:w="100" w:type="dxa"/>
        <w:tblBorders>
          <w:top w:val="single" w:sz="4" w:space="0" w:color="D8D9E2"/>
          <w:left w:val="single" w:sz="4" w:space="0" w:color="D8D9E2"/>
          <w:bottom w:val="single" w:sz="4" w:space="0" w:color="D8D9E2"/>
          <w:right w:val="single" w:sz="4" w:space="0" w:color="D8D9E2"/>
          <w:insideH w:val="single" w:sz="4" w:space="0" w:color="D8D9E2"/>
          <w:insideV w:val="single" w:sz="4" w:space="0" w:color="D8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8090"/>
      </w:tblGrid>
      <w:tr w:rsidR="00F52966" w14:paraId="5124EF60" w14:textId="77777777">
        <w:tc>
          <w:tcPr>
            <w:tcW w:w="250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E" w14:textId="77777777" w:rsidR="00F52966" w:rsidRDefault="00000000">
            <w:pPr>
              <w:spacing w:after="20"/>
            </w:pPr>
            <w:r>
              <w:rPr>
                <w:b/>
                <w:color w:val="30245E"/>
              </w:rPr>
              <w:t>Term</w:t>
            </w:r>
          </w:p>
        </w:tc>
        <w:tc>
          <w:tcPr>
            <w:tcW w:w="8500" w:type="dxa"/>
            <w:shd w:val="clear" w:color="auto" w:fill="E9E5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5F" w14:textId="77777777" w:rsidR="00F52966" w:rsidRDefault="00000000">
            <w:pPr>
              <w:spacing w:after="20"/>
            </w:pPr>
            <w:r>
              <w:rPr>
                <w:b/>
                <w:color w:val="30245E"/>
              </w:rPr>
              <w:t>Simple meaning</w:t>
            </w:r>
          </w:p>
        </w:tc>
      </w:tr>
      <w:tr w:rsidR="00F52966" w14:paraId="5124EF63" w14:textId="77777777">
        <w:tc>
          <w:tcPr>
            <w:tcW w:w="2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1" w14:textId="77777777" w:rsidR="00F52966" w:rsidRDefault="00000000">
            <w:pPr>
              <w:spacing w:after="20"/>
            </w:pPr>
            <w:r>
              <w:t>ROI (in this TPO view)</w:t>
            </w:r>
          </w:p>
        </w:tc>
        <w:tc>
          <w:tcPr>
            <w:tcW w:w="8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2" w14:textId="77777777" w:rsidR="00F52966" w:rsidRDefault="00000000">
            <w:pPr>
              <w:spacing w:after="20"/>
            </w:pPr>
            <w:r>
              <w:t xml:space="preserve">Incremental sales divided by trade spend, expressed as a multiple. For example, 1.00 means incremental sales equal the trade spend; the </w:t>
            </w:r>
            <w:proofErr w:type="spellStart"/>
            <w:r>
              <w:t>system?s</w:t>
            </w:r>
            <w:proofErr w:type="spellEnd"/>
            <w:r>
              <w:t xml:space="preserve"> target hurdle is 1.50.</w:t>
            </w:r>
          </w:p>
        </w:tc>
      </w:tr>
      <w:tr w:rsidR="00F52966" w14:paraId="5124EF66" w14:textId="77777777">
        <w:tc>
          <w:tcPr>
            <w:tcW w:w="2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4" w14:textId="77777777" w:rsidR="00F52966" w:rsidRDefault="00000000">
            <w:pPr>
              <w:spacing w:after="20"/>
            </w:pPr>
            <w:r>
              <w:t>Trade spend</w:t>
            </w:r>
          </w:p>
        </w:tc>
        <w:tc>
          <w:tcPr>
            <w:tcW w:w="8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5" w14:textId="77777777" w:rsidR="00F52966" w:rsidRDefault="00000000">
            <w:pPr>
              <w:spacing w:after="20"/>
            </w:pPr>
            <w:r>
              <w:t>Promotion investment recorded for the offer, such as discount or related promotional funding.</w:t>
            </w:r>
          </w:p>
        </w:tc>
      </w:tr>
      <w:tr w:rsidR="00F52966" w14:paraId="5124EF69" w14:textId="77777777">
        <w:tc>
          <w:tcPr>
            <w:tcW w:w="2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7" w14:textId="77777777" w:rsidR="00F52966" w:rsidRDefault="00000000">
            <w:pPr>
              <w:spacing w:after="20"/>
            </w:pPr>
            <w:r>
              <w:t>At stake</w:t>
            </w:r>
          </w:p>
        </w:tc>
        <w:tc>
          <w:tcPr>
            <w:tcW w:w="8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8" w14:textId="77777777" w:rsidR="00F52966" w:rsidRDefault="00000000">
            <w:pPr>
              <w:spacing w:after="20"/>
            </w:pPr>
            <w:r>
              <w:t>The spend associated with an event or alert that deserves review. It does not prove the full amount is lost.</w:t>
            </w:r>
          </w:p>
        </w:tc>
      </w:tr>
      <w:tr w:rsidR="00F52966" w14:paraId="5124EF6C" w14:textId="77777777">
        <w:tc>
          <w:tcPr>
            <w:tcW w:w="2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A" w14:textId="77777777" w:rsidR="00F52966" w:rsidRDefault="00000000">
            <w:pPr>
              <w:spacing w:after="20"/>
            </w:pPr>
            <w:r>
              <w:t>Mechanic</w:t>
            </w:r>
          </w:p>
        </w:tc>
        <w:tc>
          <w:tcPr>
            <w:tcW w:w="8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B" w14:textId="77777777" w:rsidR="00F52966" w:rsidRDefault="00000000">
            <w:pPr>
              <w:spacing w:after="20"/>
            </w:pPr>
            <w:r>
              <w:t>The structure of an offer, such as a percentage discount or Buy 3 Get 1.</w:t>
            </w:r>
          </w:p>
        </w:tc>
      </w:tr>
      <w:tr w:rsidR="00F52966" w14:paraId="5124EF6F" w14:textId="77777777">
        <w:tc>
          <w:tcPr>
            <w:tcW w:w="2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D" w14:textId="77777777" w:rsidR="00F52966" w:rsidRDefault="00000000">
            <w:pPr>
              <w:spacing w:after="20"/>
            </w:pPr>
            <w:r>
              <w:t>Cannibalization signal</w:t>
            </w:r>
          </w:p>
        </w:tc>
        <w:tc>
          <w:tcPr>
            <w:tcW w:w="8500" w:type="dxa"/>
            <w:shd w:val="clear" w:color="auto" w:fill="F5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24EF6E" w14:textId="77777777" w:rsidR="00F52966" w:rsidRDefault="00000000">
            <w:pPr>
              <w:spacing w:after="20"/>
            </w:pPr>
            <w:r>
              <w:t xml:space="preserve">A related </w:t>
            </w:r>
            <w:proofErr w:type="spellStart"/>
            <w:r>
              <w:t>product?s</w:t>
            </w:r>
            <w:proofErr w:type="spellEnd"/>
            <w:r>
              <w:t xml:space="preserve"> sales fell during the promotion period. This indicates a pattern to investigate, not proof of cause.</w:t>
            </w:r>
          </w:p>
        </w:tc>
      </w:tr>
    </w:tbl>
    <w:p w14:paraId="5124EF70" w14:textId="77777777" w:rsidR="00F52966" w:rsidRDefault="00000000">
      <w:pPr>
        <w:pStyle w:val="Heading2"/>
        <w:spacing w:after="100"/>
      </w:pPr>
      <w:r>
        <w:t>One note about the six-agent view</w:t>
      </w:r>
    </w:p>
    <w:p w14:paraId="5124EF71" w14:textId="77777777" w:rsidR="00F52966" w:rsidRDefault="00000000">
      <w:pPr>
        <w:spacing w:after="100"/>
      </w:pPr>
      <w:r>
        <w:t xml:space="preserve">These are the six agents shown on the Investigations page in your screenshot. The application also has other internal analysis specialties, so this </w:t>
      </w:r>
      <w:proofErr w:type="spellStart"/>
      <w:r>
        <w:t>screen?s</w:t>
      </w:r>
      <w:proofErr w:type="spellEnd"/>
      <w:r>
        <w:t xml:space="preserve"> six visible agents should not be read as an exhaustive list of every analysis capability. Which specialists run can depend on the question and available data.</w:t>
      </w:r>
    </w:p>
    <w:p w14:paraId="5124EF72" w14:textId="77777777" w:rsidR="00F52966" w:rsidRDefault="00000000">
      <w:pPr>
        <w:spacing w:after="100"/>
      </w:pPr>
      <w:r>
        <w:lastRenderedPageBreak/>
        <w:t>The red figures visible beside Benchmarking and Effectiveness in the screenshot are left uninterpreted here; their precise meaning should be read from the corresponding finding details and metric labels.</w:t>
      </w:r>
    </w:p>
    <w:sectPr w:rsidR="00F52966">
      <w:pgSz w:w="12240" w:h="15840"/>
      <w:pgMar w:top="1080" w:right="900" w:bottom="1080" w:left="900" w:header="540" w:footer="5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966"/>
    <w:rsid w:val="00361599"/>
    <w:rsid w:val="00552D8A"/>
    <w:rsid w:val="006218EA"/>
    <w:rsid w:val="00677C27"/>
    <w:rsid w:val="007D70C7"/>
    <w:rsid w:val="00952357"/>
    <w:rsid w:val="00C51AB4"/>
    <w:rsid w:val="00F5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EF17"/>
  <w15:docId w15:val="{D8A6E523-DB79-4B14-92B3-5ED52798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242333"/>
        <w:sz w:val="21"/>
        <w:lang w:val="en-IN" w:eastAsia="en-I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60" w:after="120"/>
      <w:outlineLvl w:val="0"/>
    </w:pPr>
    <w:rPr>
      <w:b/>
      <w:color w:val="30245E"/>
      <w:sz w:val="29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90" w:after="90"/>
      <w:outlineLvl w:val="1"/>
    </w:pPr>
    <w:rPr>
      <w:b/>
      <w:color w:val="30245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6246EA"/>
      <w:sz w:val="34"/>
    </w:rPr>
  </w:style>
  <w:style w:type="paragraph" w:styleId="Subtitle">
    <w:name w:val="Subtitle"/>
    <w:uiPriority w:val="11"/>
    <w:qFormat/>
    <w:rPr>
      <w:color w:val="48465A"/>
      <w:sz w:val="25"/>
    </w:rPr>
  </w:style>
  <w:style w:type="paragraph" w:styleId="ListParagraph">
    <w:name w:val="List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shivasai kuncharapu</cp:lastModifiedBy>
  <cp:revision>6</cp:revision>
  <dcterms:created xsi:type="dcterms:W3CDTF">2026-10-05T09:09:00Z</dcterms:created>
  <dcterms:modified xsi:type="dcterms:W3CDTF">2026-10-07T10:54:00Z</dcterms:modified>
</cp:coreProperties>
</file>