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3A63"/>
          <w:sz w:val="46"/>
        </w:rPr>
        <w:t>Investigations and Promotion Intelligence</w:t>
      </w:r>
    </w:p>
    <w:p>
      <w:pPr>
        <w:spacing w:after="60"/>
      </w:pPr>
      <w:r>
        <w:rPr>
          <w:i/>
          <w:color w:val="555F6D"/>
          <w:sz w:val="23"/>
        </w:rPr>
        <w:t>The agent panel, how a question becomes a root cause, and where the numbers come from</w:t>
      </w:r>
    </w:p>
    <w:p>
      <w:pPr>
        <w:spacing w:after="260"/>
      </w:pPr>
      <w:r>
        <w:rPr>
          <w:color w:val="555F6D"/>
          <w:sz w:val="18"/>
        </w:rPr>
        <w:t>Retail Intelligence Platform  |  Trade Promotion Optimisation  |  15 October 2026</w:t>
      </w:r>
    </w:p>
    <w:p>
      <w:pPr>
        <w:pStyle w:val="Heading1"/>
      </w:pPr>
      <w:r>
        <w:t>1. What these two modules are for</w:t>
      </w:r>
    </w:p>
    <w:p>
      <w:r>
        <w:rPr>
          <w:b w:val="0"/>
          <w:i w:val="0"/>
        </w:rPr>
        <w:t>The Insights Hub tells you WHAT happened: ROI was 1.73x, trade spend was Rs 52.37 Cr, these promotions missed target. It does not tell you why, and it does not tell you what to do. Those are the next two questions, and they are two different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Module</w:t>
            </w:r>
          </w:p>
        </w:tc>
        <w:tc>
          <w:tcPr>
            <w:tcW w:type="dxa" w:w="2880"/>
          </w:tcPr>
          <w:p>
            <w:r/>
            <w:r>
              <w:rPr>
                <w:b/>
                <w:sz w:val="18"/>
              </w:rPr>
              <w:t>The question it answers</w:t>
            </w:r>
          </w:p>
        </w:tc>
        <w:tc>
          <w:tcPr>
            <w:tcW w:type="dxa" w:w="4176"/>
          </w:tcPr>
          <w:p>
            <w:r/>
            <w:r>
              <w:rPr>
                <w:b/>
                <w:sz w:val="18"/>
              </w:rPr>
              <w:t>What it produces</w:t>
            </w:r>
          </w:p>
        </w:tc>
      </w:tr>
      <w:tr>
        <w:tc>
          <w:tcPr>
            <w:tcW w:type="dxa" w:w="2160"/>
          </w:tcPr>
          <w:p>
            <w:r/>
            <w:r>
              <w:rPr>
                <w:b/>
                <w:sz w:val="18"/>
              </w:rPr>
              <w:t>Investigations</w:t>
            </w:r>
          </w:p>
        </w:tc>
        <w:tc>
          <w:tcPr>
            <w:tcW w:type="dxa" w:w="2880"/>
          </w:tcPr>
          <w:p>
            <w:r/>
            <w:r>
              <w:rPr>
                <w:sz w:val="18"/>
              </w:rPr>
              <w:t>Why did this happen?</w:t>
            </w:r>
          </w:p>
        </w:tc>
        <w:tc>
          <w:tcPr>
            <w:tcW w:type="dxa" w:w="4176"/>
          </w:tcPr>
          <w:p>
            <w:r/>
            <w:r>
              <w:rPr>
                <w:sz w:val="18"/>
              </w:rPr>
              <w:t>A ranked set of root causes, each with the evidence behind it and its share of the problem</w:t>
            </w:r>
          </w:p>
        </w:tc>
      </w:tr>
      <w:tr>
        <w:tc>
          <w:tcPr>
            <w:tcW w:type="dxa" w:w="2160"/>
          </w:tcPr>
          <w:p>
            <w:r/>
            <w:r>
              <w:rPr>
                <w:b/>
                <w:sz w:val="18"/>
              </w:rPr>
              <w:t>Promotion Intelligence</w:t>
            </w:r>
          </w:p>
        </w:tc>
        <w:tc>
          <w:tcPr>
            <w:tcW w:type="dxa" w:w="2880"/>
          </w:tcPr>
          <w:p>
            <w:r/>
            <w:r>
              <w:rPr>
                <w:sz w:val="18"/>
              </w:rPr>
              <w:t>What should we do about it?</w:t>
            </w:r>
          </w:p>
        </w:tc>
        <w:tc>
          <w:tcPr>
            <w:tcW w:type="dxa" w:w="4176"/>
          </w:tcPr>
          <w:p>
            <w:r/>
            <w:r>
              <w:rPr>
                <w:sz w:val="18"/>
              </w:rPr>
              <w:t>A diagnosis, then recommendations carrying parameters the Simulation Studio can run</w:t>
            </w:r>
          </w:p>
        </w:tc>
      </w:tr>
    </w:tbl>
    <w:p>
      <w:pPr>
        <w:spacing w:after="220"/>
      </w:pPr>
      <w:r>
        <w:rPr>
          <w:b w:val="0"/>
          <w:i/>
          <w:color w:val="555F6D"/>
          <w:sz w:val="17"/>
        </w:rPr>
        <w:t>Investigations is the diagnosis; Promotion Intelligence is the prescription. The loop closes in the Simulation Studio, which prices the prescription.</w:t>
      </w:r>
    </w:p>
    <w:p>
      <w:r>
        <w:rPr>
          <w:b w:val="0"/>
          <w:i w:val="0"/>
        </w:rPr>
        <w:t xml:space="preserve">A principle that runs through both and is worth stating once: </w:t>
      </w:r>
      <w:r>
        <w:rPr>
          <w:b/>
          <w:i w:val="0"/>
        </w:rPr>
        <w:t>the agents never do arithmetic.</w:t>
      </w:r>
      <w:r>
        <w:rPr>
          <w:b w:val="0"/>
          <w:i w:val="0"/>
        </w:rPr>
        <w:t xml:space="preserve"> Every figure they cite is computed by the KPI engine (app/tpo/aggregate.py) or the intelligence engine, and handed to them. They select, interpret, rank and advise. This is what makes the output auditable -- any number on the screen can be traced to the engine that produced it, and the same question asked twice cannot produce two different totals.</w:t>
      </w:r>
    </w:p>
    <w:p>
      <w:pPr>
        <w:pStyle w:val="Heading1"/>
      </w:pPr>
      <w:r>
        <w:t>2. The agent panel: four specialists, one causal chain</w:t>
      </w:r>
    </w:p>
    <w:p>
      <w:r>
        <w:rPr>
          <w:b w:val="0"/>
          <w:i w:val="0"/>
        </w:rPr>
        <w:t>Earlier the system invented a specialist per question. Every one of them did the same thing -- one breakdown, one metric -- under a different name, so findings overlapped and several agents simply restated the segment total. The panel is now a FIXED roster of four genuinely different analysts. Each owns one link in the promotion-ROI causal chain, pulls its own data through its own service calls, and carries its own instructions.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8"/>
              </w:rPr>
              <w:t>Agent</w:t>
            </w:r>
          </w:p>
        </w:tc>
        <w:tc>
          <w:tcPr>
            <w:tcW w:type="dxa" w:w="3168"/>
          </w:tcPr>
          <w:p>
            <w:r/>
            <w:r>
              <w:rPr>
                <w:b/>
                <w:sz w:val="18"/>
              </w:rPr>
              <w:t>The one question it answers</w:t>
            </w:r>
          </w:p>
        </w:tc>
        <w:tc>
          <w:tcPr>
            <w:tcW w:type="dxa" w:w="4176"/>
          </w:tcPr>
          <w:p>
            <w:r/>
            <w:r>
              <w:rPr>
                <w:b/>
                <w:sz w:val="18"/>
              </w:rPr>
              <w:t>What it actually reads</w:t>
            </w:r>
          </w:p>
        </w:tc>
      </w:tr>
      <w:tr>
        <w:tc>
          <w:tcPr>
            <w:tcW w:type="dxa" w:w="1872"/>
          </w:tcPr>
          <w:p>
            <w:r/>
            <w:r>
              <w:rPr>
                <w:b/>
                <w:sz w:val="18"/>
              </w:rPr>
              <w:t>Performance</w:t>
            </w:r>
          </w:p>
        </w:tc>
        <w:tc>
          <w:tcPr>
            <w:tcW w:type="dxa" w:w="3168"/>
          </w:tcPr>
          <w:p>
            <w:r/>
            <w:r>
              <w:rPr>
                <w:sz w:val="18"/>
              </w:rPr>
              <w:t>Is this segment really underperforming, and when?</w:t>
            </w:r>
          </w:p>
        </w:tc>
        <w:tc>
          <w:tcPr>
            <w:tcW w:type="dxa" w:w="4176"/>
          </w:tcPr>
          <w:p>
            <w:r/>
            <w:r>
              <w:rPr>
                <w:sz w:val="18"/>
              </w:rPr>
              <w:t>The segment against the business norm and against peer channels and regions, plus the monthly trend</w:t>
            </w:r>
          </w:p>
        </w:tc>
      </w:tr>
      <w:tr>
        <w:tc>
          <w:tcPr>
            <w:tcW w:type="dxa" w:w="1872"/>
          </w:tcPr>
          <w:p>
            <w:r/>
            <w:r>
              <w:rPr>
                <w:b/>
                <w:sz w:val="18"/>
              </w:rPr>
              <w:t>Promotion Design</w:t>
            </w:r>
          </w:p>
        </w:tc>
        <w:tc>
          <w:tcPr>
            <w:tcW w:type="dxa" w:w="3168"/>
          </w:tcPr>
          <w:p>
            <w:r/>
            <w:r>
              <w:rPr>
                <w:sz w:val="18"/>
              </w:rPr>
              <w:t>Which mechanics and which events lost the money?</w:t>
            </w:r>
          </w:p>
        </w:tc>
        <w:tc>
          <w:tcPr>
            <w:tcW w:type="dxa" w:w="4176"/>
          </w:tcPr>
          <w:p>
            <w:r/>
            <w:r>
              <w:rPr>
                <w:sz w:val="18"/>
              </w:rPr>
              <w:t>Each mechanic's ROI here versus the same mechanic across the business, its share of spend, and the specific events that missed target with the money at stake</w:t>
            </w:r>
          </w:p>
        </w:tc>
      </w:tr>
      <w:tr>
        <w:tc>
          <w:tcPr>
            <w:tcW w:type="dxa" w:w="1872"/>
          </w:tcPr>
          <w:p>
            <w:r/>
            <w:r>
              <w:rPr>
                <w:b/>
                <w:sz w:val="18"/>
              </w:rPr>
              <w:t>Market &amp; Portfolio</w:t>
            </w:r>
          </w:p>
        </w:tc>
        <w:tc>
          <w:tcPr>
            <w:tcW w:type="dxa" w:w="3168"/>
          </w:tcPr>
          <w:p>
            <w:r/>
            <w:r>
              <w:rPr>
                <w:sz w:val="18"/>
              </w:rPr>
              <w:t>Where does it break -- place, partner, category, brand?</w:t>
            </w:r>
          </w:p>
        </w:tc>
        <w:tc>
          <w:tcPr>
            <w:tcW w:type="dxa" w:w="4176"/>
          </w:tcPr>
          <w:p>
            <w:r/>
            <w:r>
              <w:rPr>
                <w:sz w:val="18"/>
              </w:rPr>
              <w:t>Region, state, retailer, category and brand breakdowns</w:t>
            </w:r>
          </w:p>
        </w:tc>
      </w:tr>
      <w:tr>
        <w:tc>
          <w:tcPr>
            <w:tcW w:type="dxa" w:w="1872"/>
          </w:tcPr>
          <w:p>
            <w:r/>
            <w:r>
              <w:rPr>
                <w:b/>
                <w:sz w:val="18"/>
              </w:rPr>
              <w:t>Cannibalization</w:t>
            </w:r>
          </w:p>
        </w:tc>
        <w:tc>
          <w:tcPr>
            <w:tcW w:type="dxa" w:w="3168"/>
          </w:tcPr>
          <w:p>
            <w:r/>
            <w:r>
              <w:rPr>
                <w:sz w:val="18"/>
              </w:rPr>
              <w:t>Was the lift real, or taken from neighbours?</w:t>
            </w:r>
          </w:p>
        </w:tc>
        <w:tc>
          <w:tcPr>
            <w:tcW w:type="dxa" w:w="4176"/>
          </w:tcPr>
          <w:p>
            <w:r/>
            <w:r>
              <w:rPr>
                <w:sz w:val="18"/>
              </w:rPr>
              <w:t>Same-brand-form neighbouring pack sizes: their baseline and promotion-period volume</w:t>
            </w:r>
          </w:p>
        </w:tc>
      </w:tr>
    </w:tbl>
    <w:p>
      <w:pPr>
        <w:spacing w:after="100"/>
      </w:pPr>
    </w:p>
    <w:p>
      <w:pPr>
        <w:pStyle w:val="Heading2"/>
      </w:pPr>
      <w:r>
        <w:t>2.1 Why these four, and why each is named for a question</w:t>
      </w:r>
    </w:p>
    <w:p>
      <w:r>
        <w:rPr>
          <w:b w:val="0"/>
          <w:i w:val="0"/>
        </w:rPr>
        <w:t>There were five. Two were named for something other than what they did -- an "Optimization Agent" that localised by geography, a "Diagnostics Agent" that listed money-losing events -- while the mechanic lens and the event lens read the same offers from two sides. Four agents, each named for the one question it answers, removed the overlap and made the panel legible: a reader can tell from the name what a finding will be about.</w:t>
      </w:r>
    </w:p>
    <w:p>
      <w:r>
        <w:rPr>
          <w:b/>
          <w:i w:val="0"/>
        </w:rPr>
        <w:t xml:space="preserve">The order is a causal chain, not a menu. </w:t>
      </w:r>
      <w:r>
        <w:rPr>
          <w:b w:val="0"/>
          <w:i w:val="0"/>
        </w:rPr>
        <w:t>Performance establishes whether there is a problem at all -- and a confident "nothing unusual here" is a valuable finding, because it stops the other three being over-read. Promotion Design asks whether the offers themselves are at fault. Market asks whether it is concentrated somewhere. Cannibalization asks whether the lift was ever incremental. Each can also EXCLUDE: if performance is even everywhere, that rules out execution and points back at offer design, which is itself a result.</w:t>
      </w:r>
    </w:p>
    <w:p>
      <w:pPr>
        <w:pStyle w:val="Heading1"/>
      </w:pPr>
      <w:r>
        <w:t>3. How an investigation runs</w:t>
      </w:r>
    </w:p>
    <w:p>
      <w:r>
        <w:rPr>
          <w:b w:val="0"/>
          <w:i w:val="0"/>
        </w:rPr>
        <w:t>Four stages. Two of them involve a model; two do not.</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8"/>
              </w:rPr>
              <w:t>Stage</w:t>
            </w:r>
          </w:p>
        </w:tc>
        <w:tc>
          <w:tcPr>
            <w:tcW w:type="dxa" w:w="1440"/>
          </w:tcPr>
          <w:p>
            <w:r/>
            <w:r>
              <w:rPr>
                <w:b/>
                <w:sz w:val="18"/>
              </w:rPr>
              <w:t>Model?</w:t>
            </w:r>
          </w:p>
        </w:tc>
        <w:tc>
          <w:tcPr>
            <w:tcW w:type="dxa" w:w="6192"/>
          </w:tcPr>
          <w:p>
            <w:r/>
            <w:r>
              <w:rPr>
                <w:b/>
                <w:sz w:val="18"/>
              </w:rPr>
              <w:t>What happens</w:t>
            </w:r>
          </w:p>
        </w:tc>
      </w:tr>
      <w:tr>
        <w:tc>
          <w:tcPr>
            <w:tcW w:type="dxa" w:w="1584"/>
          </w:tcPr>
          <w:p>
            <w:r/>
            <w:r>
              <w:rPr>
                <w:b/>
                <w:sz w:val="18"/>
              </w:rPr>
              <w:t>1. Plan</w:t>
            </w:r>
          </w:p>
        </w:tc>
        <w:tc>
          <w:tcPr>
            <w:tcW w:type="dxa" w:w="1440"/>
          </w:tcPr>
          <w:p>
            <w:r/>
            <w:r>
              <w:rPr>
                <w:sz w:val="18"/>
              </w:rPr>
              <w:t>One call</w:t>
            </w:r>
          </w:p>
        </w:tc>
        <w:tc>
          <w:tcPr>
            <w:tcW w:type="dxa" w:w="6192"/>
          </w:tcPr>
          <w:p>
            <w:r/>
            <w:r>
              <w:rPr>
                <w:sz w:val="18"/>
              </w:rPr>
              <w:t>Maps this dataset's real column names onto semantic roles, picks the investigation archetype (diagnostic, optimization, launch, strategic), and chooses which specialists this question and these columns actually need</w:t>
            </w:r>
          </w:p>
        </w:tc>
      </w:tr>
      <w:tr>
        <w:tc>
          <w:tcPr>
            <w:tcW w:type="dxa" w:w="1584"/>
          </w:tcPr>
          <w:p>
            <w:r/>
            <w:r>
              <w:rPr>
                <w:b/>
                <w:sz w:val="18"/>
              </w:rPr>
              <w:t>2. Aggregate</w:t>
            </w:r>
          </w:p>
        </w:tc>
        <w:tc>
          <w:tcPr>
            <w:tcW w:type="dxa" w:w="1440"/>
          </w:tcPr>
          <w:p>
            <w:r/>
            <w:r>
              <w:rPr>
                <w:sz w:val="18"/>
              </w:rPr>
              <w:t>No</w:t>
            </w:r>
          </w:p>
        </w:tc>
        <w:tc>
          <w:tcPr>
            <w:tcW w:type="dxa" w:w="6192"/>
          </w:tcPr>
          <w:p>
            <w:r/>
            <w:r>
              <w:rPr>
                <w:sz w:val="18"/>
              </w:rPr>
              <w:t>Pure pandas. Builds the table each chosen specialist will see. No model touches this</w:t>
            </w:r>
          </w:p>
        </w:tc>
      </w:tr>
      <w:tr>
        <w:tc>
          <w:tcPr>
            <w:tcW w:type="dxa" w:w="1584"/>
          </w:tcPr>
          <w:p>
            <w:r/>
            <w:r>
              <w:rPr>
                <w:b/>
                <w:sz w:val="18"/>
              </w:rPr>
              <w:t>3. Specialists</w:t>
            </w:r>
          </w:p>
        </w:tc>
        <w:tc>
          <w:tcPr>
            <w:tcW w:type="dxa" w:w="1440"/>
          </w:tcPr>
          <w:p>
            <w:r/>
            <w:r>
              <w:rPr>
                <w:sz w:val="18"/>
              </w:rPr>
              <w:t>N calls, in parallel</w:t>
            </w:r>
          </w:p>
        </w:tc>
        <w:tc>
          <w:tcPr>
            <w:tcW w:type="dxa" w:w="6192"/>
          </w:tcPr>
          <w:p>
            <w:r/>
            <w:r>
              <w:rPr>
                <w:sz w:val="18"/>
              </w:rPr>
              <w:t>One call per analysis, each seeing only its own aggregate table. Each returns a structured finding</w:t>
            </w:r>
          </w:p>
        </w:tc>
      </w:tr>
      <w:tr>
        <w:tc>
          <w:tcPr>
            <w:tcW w:type="dxa" w:w="1584"/>
          </w:tcPr>
          <w:p>
            <w:r/>
            <w:r>
              <w:rPr>
                <w:b/>
                <w:sz w:val="18"/>
              </w:rPr>
              <w:t>4. Synthesis</w:t>
            </w:r>
          </w:p>
        </w:tc>
        <w:tc>
          <w:tcPr>
            <w:tcW w:type="dxa" w:w="1440"/>
          </w:tcPr>
          <w:p>
            <w:r/>
            <w:r>
              <w:rPr>
                <w:sz w:val="18"/>
              </w:rPr>
              <w:t>One call</w:t>
            </w:r>
          </w:p>
        </w:tc>
        <w:tc>
          <w:tcPr>
            <w:tcW w:type="dxa" w:w="6192"/>
          </w:tcPr>
          <w:p>
            <w:r/>
            <w:r>
              <w:rPr>
                <w:sz w:val="18"/>
              </w:rPr>
              <w:t>A cross-cutting narrative over all findings</w:t>
            </w:r>
          </w:p>
        </w:tc>
      </w:tr>
    </w:tbl>
    <w:p>
      <w:pPr>
        <w:spacing w:after="220"/>
      </w:pPr>
      <w:r>
        <w:rPr>
          <w:b w:val="0"/>
          <w:i/>
          <w:color w:val="555F6D"/>
          <w:sz w:val="17"/>
        </w:rPr>
        <w:t>Graph structure -- node positions, icon choice, progress arithmetic -- is assembled deterministically in Python afterwards. The model supplies judgement, not layout, which is what keeps the rendered graph stable between runs.</w:t>
      </w:r>
    </w:p>
    <w:p>
      <w:r>
        <w:rPr>
          <w:b w:val="0"/>
          <w:i w:val="0"/>
        </w:rPr>
        <w:t>Two design choices in that flow are worth drawing out. The plan stage exists so the system does not run a discount-depth agent against a file with no discount column -- the roster is fixed, but which members are worth running is decided per question. And the specialists run in PARALLEL and in isolation: none sees another's finding, so they cannot converge on a shared story. The convergence happens once, visibly, at synthesis.</w:t>
      </w:r>
    </w:p>
    <w:p>
      <w:pPr>
        <w:pStyle w:val="Heading1"/>
      </w:pPr>
      <w:r>
        <w:t>4. The confidence figure, and what it is not</w:t>
      </w:r>
    </w:p>
    <w:p>
      <w:r>
        <w:rPr>
          <w:b w:val="0"/>
          <w:i w:val="0"/>
        </w:rPr>
        <w:t xml:space="preserve">This is the part most worth understanding, because it is the part most easily misread. </w:t>
      </w:r>
      <w:r>
        <w:rPr>
          <w:b/>
          <w:i w:val="0"/>
        </w:rPr>
        <w:t>The confidence beside a finding is measured, not written.</w:t>
      </w:r>
    </w:p>
    <w:p>
      <w:r>
        <w:rPr>
          <w:b w:val="0"/>
          <w:i w:val="0"/>
        </w:rPr>
        <w:t>Previously every agent was asked for its own confidence as an integer from 0 to 100, on the strength of a sentence in its prompt telling it what to consider. Four such figures reached the screen -- a specialist's, the synthesis's, the Analyst's and each recommendation's -- and all four rendered as "72% confidence" beside numbers the KPI engine had computed. Nothing distinguished the measured from the asserted.</w:t>
      </w:r>
    </w:p>
    <w:p>
      <w:r>
        <w:rPr>
          <w:b w:val="0"/>
          <w:i w:val="0"/>
        </w:rPr>
        <w:t>It is now a deterministic score over the EVIDENCE BASE an agent worked from: how much data stood behind it, how much of the scope's money its lens could actually resolve, how much of what it was handed was defined rather than missing, and how much of what it wrote traces back to that data. Same inputs, same score, every time, with no model involved.</w:t>
      </w:r>
    </w:p>
    <w:p>
      <w:pPr>
        <w:pStyle w:val="Heading2"/>
      </w:pPr>
      <w:r>
        <w:t>4.1 Why a geometric mean</w:t>
      </w:r>
    </w:p>
    <w:p>
      <w:r>
        <w:rPr>
          <w:b w:val="0"/>
          <w:i w:val="0"/>
        </w:rPr>
        <w:t>The components are conditions that must ALL hold, not a basket where a strong one buys off a weak one. A finding drawn from ample rows whose figures do not trace back to its table is not "mostly fine". A geometric mean collapses when any one component collapses; an arithmetic mean would let three good components hide one fatal one.</w:t>
      </w:r>
    </w:p>
    <w:p>
      <w:pPr>
        <w:pStyle w:val="Heading2"/>
      </w:pPr>
      <w:r>
        <w:t>4.2 What it is emphatically not</w:t>
      </w:r>
    </w:p>
    <w:p>
      <w:pPr>
        <w:pStyle w:val="ListBullet"/>
      </w:pPr>
      <w:r>
        <w:rPr>
          <w:b/>
          <w:i w:val="0"/>
        </w:rPr>
        <w:t xml:space="preserve">Not a probability that the conclusion is correct. </w:t>
      </w:r>
      <w:r>
        <w:rPr>
          <w:b w:val="0"/>
          <w:i w:val="0"/>
        </w:rPr>
        <w:t>Nothing in the score reads the conclusion. Two findings that disagree, drawn from the same table, score identically -- because the evidence under them IS identical.</w:t>
      </w:r>
    </w:p>
    <w:p>
      <w:pPr>
        <w:pStyle w:val="ListBullet"/>
      </w:pPr>
      <w:r>
        <w:rPr>
          <w:b/>
          <w:i w:val="0"/>
        </w:rPr>
        <w:t xml:space="preserve">Not a p-value, a significance test or a confidence interval. </w:t>
      </w:r>
      <w:r>
        <w:rPr>
          <w:b w:val="0"/>
          <w:i w:val="0"/>
        </w:rPr>
        <w:t>The agents are given aggregates, not per-row observations, so no within-group variance is available and no such statistic can be computed. Presenting one would be the same defect this design removed.</w:t>
      </w:r>
    </w:p>
    <w:p>
      <w:pPr>
        <w:pStyle w:val="ListBullet"/>
      </w:pPr>
      <w:r>
        <w:rPr>
          <w:b/>
          <w:i w:val="0"/>
        </w:rPr>
        <w:t xml:space="preserve">Not a forecast quality measure. </w:t>
      </w:r>
      <w:r>
        <w:rPr>
          <w:b w:val="0"/>
          <w:i w:val="0"/>
        </w:rPr>
        <w:t>Investigations makes no forecast.</w:t>
      </w:r>
    </w:p>
    <w:p>
      <w:r>
        <w:rPr>
          <w:b w:val="0"/>
          <w:i/>
          <w:color w:val="555F6D"/>
          <w:sz w:val="19"/>
        </w:rPr>
        <w:t>If someone asks "does 78% mean you are 78% sure?", the answer is no: it means the evidence base behind that finding scored 78 out of 100 on four measurable properties.</w:t>
      </w:r>
    </w:p>
    <w:p>
      <w:pPr>
        <w:pStyle w:val="Heading1"/>
      </w:pPr>
      <w:r>
        <w:t>5. Root causes and their share of the problem</w:t>
      </w:r>
    </w:p>
    <w:p>
      <w:r>
        <w:rPr>
          <w:b w:val="0"/>
          <w:i w:val="0"/>
        </w:rPr>
        <w:t>A finished run reports root causes ranked largest share first. The share is not written by a model either. Every agent brings one unit of evidence, weighted by its own confidence and by an impact weight for its lens; a lens that failed gathered no evidence and contributes zero. Each agent's contribution is written onto its finding as contribution_pct, and the causes it is credited with inherit that share.</w:t>
      </w:r>
    </w:p>
    <w:p>
      <w:pPr>
        <w:spacing w:before="80" w:after="160"/>
        <w:ind w:left="432"/>
      </w:pPr>
      <w:r>
        <w:rPr>
          <w:rFonts w:ascii="Consolas" w:hAnsi="Consolas"/>
          <w:color w:val="143A63"/>
          <w:sz w:val="19"/>
        </w:rPr>
        <w:t>evidence unit  =  confidence / 100  x  impact weight of that lens</w:t>
      </w:r>
    </w:p>
    <w:p>
      <w:r>
        <w:rPr>
          <w:b w:val="0"/>
          <w:i w:val="0"/>
        </w:rPr>
        <w:t>The percentages are rounded by LARGEST REMAINDER so they sum to exactly 100. This matters more than it sounds: naive rounding of four shares routinely produces 99 or 101, and a decomposition that does not add up invites the reader to distrust every number beside it.</w:t>
      </w:r>
    </w:p>
    <w:p>
      <w:pPr>
        <w:pStyle w:val="Heading1"/>
      </w:pPr>
      <w:r>
        <w:t>6. Promotion Intelligence: Analyst, then Advisor</w:t>
      </w:r>
    </w:p>
    <w:p>
      <w:r>
        <w:rPr>
          <w:b w:val="0"/>
          <w:i w:val="0"/>
        </w:rPr>
        <w:t>Two calls, deliberately SEQUENTIAL rather than one combined call. The Advisor sees the Analyst's conclusions and recommends against them, instead of forming opinions and advice simultaneously from raw tables. Diagnosis before prescription -- the same discipline a human analyst would follow, and it stops a recommendation being written to justify an opinion formed at the same moment.</w:t>
      </w:r>
    </w:p>
    <w:tbl>
      <w:tblPr>
        <w:tblStyle w:val="LightGrid-Accent1"/>
        <w:tblW w:type="auto" w:w="0"/>
        <w:jc w:val="center"/>
        <w:tblLook w:firstColumn="1" w:firstRow="1" w:lastColumn="0" w:lastRow="0" w:noHBand="0" w:noVBand="1" w:val="04A0"/>
      </w:tblPr>
      <w:tblGrid>
        <w:gridCol w:w="4320"/>
        <w:gridCol w:w="4320"/>
      </w:tblGrid>
      <w:tr>
        <w:tc>
          <w:tcPr>
            <w:tcW w:type="dxa" w:w="1440"/>
          </w:tcPr>
          <w:p>
            <w:r/>
            <w:r>
              <w:rPr>
                <w:b/>
                <w:sz w:val="18"/>
              </w:rPr>
              <w:t>Step</w:t>
            </w:r>
          </w:p>
        </w:tc>
        <w:tc>
          <w:tcPr>
            <w:tcW w:type="dxa" w:w="7776"/>
          </w:tcPr>
          <w:p>
            <w:r/>
            <w:r>
              <w:rPr>
                <w:b/>
                <w:sz w:val="18"/>
              </w:rPr>
              <w:t>Produces</w:t>
            </w:r>
          </w:p>
        </w:tc>
      </w:tr>
      <w:tr>
        <w:tc>
          <w:tcPr>
            <w:tcW w:type="dxa" w:w="1440"/>
          </w:tcPr>
          <w:p>
            <w:r/>
            <w:r>
              <w:rPr>
                <w:b/>
                <w:sz w:val="18"/>
              </w:rPr>
              <w:t>Analyst</w:t>
            </w:r>
          </w:p>
        </w:tc>
        <w:tc>
          <w:tcPr>
            <w:tcW w:type="dxa" w:w="7776"/>
          </w:tcPr>
          <w:p>
            <w:r/>
            <w:r>
              <w:rPr>
                <w:sz w:val="18"/>
              </w:rPr>
              <w:t>A headline, a narrative, key insights, the drivers of the ROI gap, and the uncertainties it could not resolve</w:t>
            </w:r>
          </w:p>
        </w:tc>
      </w:tr>
      <w:tr>
        <w:tc>
          <w:tcPr>
            <w:tcW w:type="dxa" w:w="1440"/>
          </w:tcPr>
          <w:p>
            <w:r/>
            <w:r>
              <w:rPr>
                <w:b/>
                <w:sz w:val="18"/>
              </w:rPr>
              <w:t>Advisor</w:t>
            </w:r>
          </w:p>
        </w:tc>
        <w:tc>
          <w:tcPr>
            <w:tcW w:type="dxa" w:w="7776"/>
          </w:tcPr>
          <w:p>
            <w:r/>
            <w:r>
              <w:rPr>
                <w:sz w:val="18"/>
              </w:rPr>
              <w:t>Recommendations, each carrying simulation parameters so the Simulation Studio can pick them up directly</w:t>
            </w:r>
          </w:p>
        </w:tc>
      </w:tr>
    </w:tbl>
    <w:p>
      <w:pPr>
        <w:spacing w:after="220"/>
      </w:pPr>
      <w:r>
        <w:rPr>
          <w:b w:val="0"/>
          <w:i/>
          <w:color w:val="555F6D"/>
          <w:sz w:val="17"/>
        </w:rPr>
        <w:t>That hand-off is what closes the loop: investigate, diagnose, then simulate, rather than ending at a paragraph of advice nobody can price.</w:t>
      </w:r>
    </w:p>
    <w:p>
      <w:pPr>
        <w:pStyle w:val="Heading2"/>
      </w:pPr>
      <w:r>
        <w:t>6.1 Two figures that used to be opinions and are not any more</w:t>
      </w:r>
    </w:p>
    <w:p>
      <w:r>
        <w:rPr>
          <w:b w:val="0"/>
          <w:i w:val="0"/>
        </w:rPr>
        <w:t>Both are worth knowing about, because both were the kind of defect that is invisible until someone checks the arithmetic.</w:t>
      </w:r>
    </w:p>
    <w:p>
      <w:pPr>
        <w:pStyle w:val="ListBullet"/>
      </w:pPr>
      <w:r>
        <w:rPr>
          <w:b/>
          <w:i w:val="0"/>
        </w:rPr>
        <w:t xml:space="preserve">Driver weights. </w:t>
      </w:r>
      <w:r>
        <w:rPr>
          <w:b w:val="0"/>
          <w:i w:val="0"/>
        </w:rPr>
        <w:t>The schema used to describe a driver's weight as "your judgement of relative contribution", and the card rendered it as a percentage against a proportional bar. It is now the EXACT contribution each mechanic makes to the ROI gap against target, computed by the engine. The Analyst chooses which drivers to lead with and writes what each one means; it is not asked for the number, and the schema it is given cannot express one.</w:t>
      </w:r>
    </w:p>
    <w:p>
      <w:pPr>
        <w:pStyle w:val="ListBullet"/>
      </w:pPr>
      <w:r>
        <w:rPr>
          <w:b/>
          <w:i w:val="0"/>
        </w:rPr>
        <w:t xml:space="preserve">The starting point of a recommendation. </w:t>
      </w:r>
      <w:r>
        <w:rPr>
          <w:b w:val="0"/>
          <w:i w:val="0"/>
        </w:rPr>
        <w:t>"Current value" in a proposal such as "12% -&gt; 15%" was prose. It is now measured for the same scope. The proposal stays the Advisor's; where you are starting from is not its to state.</w:t>
      </w:r>
    </w:p>
    <w:p>
      <w:pPr>
        <w:pStyle w:val="Heading2"/>
      </w:pPr>
      <w:r>
        <w:t>6.2 Why the ROI gap decomposition is exact, not attributed</w:t>
      </w:r>
    </w:p>
    <w:p>
      <w:r>
        <w:rPr>
          <w:b w:val="0"/>
          <w:i w:val="0"/>
        </w:rPr>
        <w:t>Promotion ROI is a ratio:</w:t>
      </w:r>
    </w:p>
    <w:p>
      <w:pPr>
        <w:spacing w:before="80" w:after="160"/>
        <w:ind w:left="432"/>
      </w:pPr>
      <w:r>
        <w:rPr>
          <w:rFonts w:ascii="Consolas" w:hAnsi="Consolas"/>
          <w:color w:val="143A63"/>
          <w:sz w:val="19"/>
        </w:rPr>
        <w:t>ROI = Incremental Sales / Trade Spend          (a multiple, e.g. 1.73x)</w:t>
      </w:r>
    </w:p>
    <w:p>
      <w:r>
        <w:rPr>
          <w:b w:val="0"/>
          <w:i w:val="0"/>
        </w:rPr>
        <w:t>Ratios do not add up across groups, which is normally where decompositions start estimating. But Trade Spend IS additive across the groups of one dimension, so the spend-weighted ROI is:</w:t>
      </w:r>
    </w:p>
    <w:p>
      <w:pPr>
        <w:spacing w:before="80" w:after="160"/>
        <w:ind w:left="432"/>
      </w:pPr>
      <w:r>
        <w:rPr>
          <w:rFonts w:ascii="Consolas" w:hAnsi="Consolas"/>
          <w:color w:val="143A63"/>
          <w:sz w:val="19"/>
        </w:rPr>
        <w:t>weighted_roi = SUM over groups ( spend_g x roi_g ) / SUM over groups ( spend_g )</w:t>
      </w:r>
    </w:p>
    <w:p>
      <w:r>
        <w:rPr>
          <w:b w:val="0"/>
          <w:i w:val="0"/>
        </w:rPr>
        <w:t>and its distance from the target hurdle decomposes with NO RESIDUAL. Each group's contribution to the gap is exact arithmetic, not an attribution model. If a client asks how the driver percentages were derived, the answer is a line of algebra rather than a method.</w:t>
      </w:r>
    </w:p>
    <w:p>
      <w:pPr>
        <w:pStyle w:val="Heading1"/>
      </w:pPr>
      <w:r>
        <w:t>7. Reading the Investigations page</w:t>
      </w:r>
    </w:p>
    <w:p>
      <w:pPr>
        <w:pStyle w:val="ListBullet"/>
      </w:pPr>
      <w:r>
        <w:rPr>
          <w:b/>
          <w:i w:val="0"/>
        </w:rPr>
        <w:t xml:space="preserve">Before a run. </w:t>
      </w:r>
      <w:r>
        <w:rPr>
          <w:b w:val="0"/>
          <w:i w:val="0"/>
        </w:rPr>
        <w:t>The page shows a static per-archetype sample graph and a set of starter questions. This is illustrative only -- it is not the agent roster, and its node count does not match the four agents.</w:t>
      </w:r>
    </w:p>
    <w:p>
      <w:pPr>
        <w:pStyle w:val="ListBullet"/>
      </w:pPr>
      <w:r>
        <w:rPr>
          <w:b/>
          <w:i w:val="0"/>
        </w:rPr>
        <w:t xml:space="preserve">During a run. </w:t>
      </w:r>
      <w:r>
        <w:rPr>
          <w:b w:val="0"/>
          <w:i w:val="0"/>
        </w:rPr>
        <w:t>Accelerator rows mirror real specialist state rather than a timer-driven animation, so what you see is what is actually running.</w:t>
      </w:r>
    </w:p>
    <w:p>
      <w:pPr>
        <w:pStyle w:val="ListBullet"/>
      </w:pPr>
      <w:r>
        <w:rPr>
          <w:b/>
          <w:i w:val="0"/>
        </w:rPr>
        <w:t xml:space="preserve">After a run. </w:t>
      </w:r>
      <w:r>
        <w:rPr>
          <w:b w:val="0"/>
          <w:i w:val="0"/>
        </w:rPr>
        <w:t>Root causes sorted largest share first, each with the agents that support it, and the synthesis above them. Older stored runs still name the retired five-agent keys; they render from the name, description and icon copied into each run, so history stays readable after a roster change.</w:t>
      </w:r>
    </w:p>
    <w:p>
      <w:pPr>
        <w:pStyle w:val="Heading1"/>
      </w:pPr>
      <w:r>
        <w:t>8. Honest limits</w:t>
      </w:r>
    </w:p>
    <w:p>
      <w:pPr>
        <w:pStyle w:val="ListBullet"/>
      </w:pPr>
      <w:r>
        <w:t>The agents interpret aggregates, not raw rows. They cannot compute a variance, a significance test or an interval, and the design deliberately does not let them pretend to.</w:t>
      </w:r>
    </w:p>
    <w:p>
      <w:pPr>
        <w:pStyle w:val="ListBullet"/>
      </w:pPr>
      <w:r>
        <w:t>The confidence score measures the evidence base, not the truth of the conclusion. A well-evidenced wrong answer scores highly.</w:t>
      </w:r>
    </w:p>
    <w:p>
      <w:pPr>
        <w:pStyle w:val="ListBullet"/>
      </w:pPr>
      <w:r>
        <w:t>Investigations depends on a language model for planning, interpretation and synthesis. The numbers are deterministic; the words are not, and the same question asked twice may be narrated differently even though every figure is identical.</w:t>
      </w:r>
    </w:p>
    <w:p>
      <w:pPr>
        <w:pStyle w:val="ListBullet"/>
      </w:pPr>
      <w:r>
        <w:t>The static pre-run graph still shows the older six-accelerator shape. It is cosmetic, but it is the first thing a reader sees, and it does not match what then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43A6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43A6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2568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