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568B2"/>
          <w:sz w:val="16"/>
        </w:rPr>
        <w:t>TRANSORG ANALYTICS</w:t>
      </w:r>
    </w:p>
    <w:p>
      <w:pPr>
        <w:spacing w:after="0"/>
      </w:pPr>
      <w:r>
        <w:rPr>
          <w:b/>
          <w:color w:val="143A63"/>
          <w:sz w:val="38"/>
        </w:rPr>
        <w:t>TPO Demo Video — Script Changes</w:t>
      </w:r>
    </w:p>
    <w:p>
      <w:pPr>
        <w:spacing w:after="40"/>
      </w:pPr>
      <w:r>
        <w:rPr>
          <w:color w:val="5A6B7B"/>
          <w:sz w:val="20"/>
        </w:rPr>
        <w:t>Words and phrases in the original narration that no longer match the live product</w:t>
      </w:r>
    </w:p>
    <w:p>
      <w:pPr>
        <w:spacing w:before="40" w:after="140"/>
        <w:pBdr>
          <w:bottom w:val="single" w:sz="6" w:color="2568B2"/>
        </w:pBdr>
      </w:pPr>
    </w:p>
    <w:p>
      <w:pPr>
        <w:spacing w:after="20"/>
      </w:pPr>
      <w:r>
        <w:rPr>
          <w:sz w:val="19"/>
        </w:rPr>
        <w:t xml:space="preserve">The opening (0:00 – 0:44) still holds — the problem, the fragmentation and the promise are all unchanged. Everything from the product walkthrough onward needs the edits below. </w:t>
      </w:r>
      <w:r>
        <w:rPr>
          <w:i/>
          <w:color w:val="5A6B7B"/>
          <w:sz w:val="19"/>
        </w:rPr>
        <w:t>Green = something new to mention.  Bold = cut it.</w:t>
      </w:r>
    </w:p>
    <w:p>
      <w:pPr>
        <w:keepNext/>
        <w:spacing w:before="200" w:after="60"/>
      </w:pPr>
      <w:r>
        <w:rPr>
          <w:b/>
          <w:color w:val="143A63"/>
          <w:sz w:val="23"/>
        </w:rPr>
        <w:t>1.  Insights Hub  (0:44 – 1:48)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749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773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 the video</w:t>
            </w:r>
          </w:p>
        </w:tc>
        <w:tc>
          <w:tcPr>
            <w:tcW w:type="dxa" w:w="5702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Change it to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0:48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“The command center centralizes…”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“The Insights Hub…” — the module was renamed. Change every mention.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0:51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“Five live KPIs … margin impact and the promotion efficiency index”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“Three headline KPIs — trade spend, incremental sales and promotion ROI — with six more you can add, including margin impact and the promotion efficiency index.”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1:04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“ROI has dropped almost 19%”, “ROI 1.53”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ROI now reads as a multiple with an x — “1.53x” — against a 1.50x target line.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1:09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“the promotion efficiency index is down 9 points”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Only say this if that card has been added — it is not on screen by default.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1:14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“has already surfaced the root signal overnight”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Drop “overnight”. Alerts are worked out from the data as you filter, not by a nightly batch.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1:14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The alert banner and the Top Risk Alerts panel on this screen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Alerts have moved to Investigations. Describe them there, as a critical-alert count you open from that screen.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—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“This quarter”, “Q2 FY25”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The period comes from a calendar and starts on all data — avoid implying a fixed quarter.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—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(not mentioned)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color w:val="1E7A4C"/>
                <w:sz w:val="17"/>
              </w:rPr>
              <w:t>Add: the same figures in rupees or dollars, switched with one click.</w:t>
            </w:r>
          </w:p>
        </w:tc>
      </w:tr>
    </w:tbl>
    <w:p>
      <w:pPr>
        <w:keepNext/>
        <w:spacing w:before="200" w:after="60"/>
      </w:pPr>
      <w:r>
        <w:rPr>
          <w:b/>
          <w:color w:val="143A63"/>
          <w:sz w:val="23"/>
        </w:rPr>
        <w:t>2.  Investigations  (1:48 – 2:29)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749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773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 the video</w:t>
            </w:r>
          </w:p>
        </w:tc>
        <w:tc>
          <w:tcPr>
            <w:tcW w:type="dxa" w:w="5702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Change it to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2:02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“six specialist accelerators”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“four specialist agents”.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2:06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“Variance analysis, participation mapping, discount saturation, cannibalization detection, inventory stress, and historical similarity”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“Performance, Promotion Design, Market &amp; Portfolio, and Cannibalization.”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—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“accelerators”, anywhere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“agents”.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2:16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“On the investigation canvas, every investigation area is laid out…”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>There is no canvas. Each agent reports on its own card with its finding underneath.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—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(not mentioned)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color w:val="1E7A4C"/>
                <w:sz w:val="17"/>
              </w:rPr>
              <w:t>Add: each root cause shows the share of the problem it explains, and an action is recommended for each.</w:t>
            </w:r>
          </w:p>
        </w:tc>
      </w:tr>
    </w:tbl>
    <w:p>
      <w:pPr>
        <w:keepNext/>
        <w:spacing w:before="200" w:after="60"/>
      </w:pPr>
      <w:r>
        <w:rPr>
          <w:b/>
          <w:color w:val="143A63"/>
          <w:sz w:val="23"/>
        </w:rPr>
        <w:t>3.  Promotion Intelligence  (2:29 – 4:11)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749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773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 the video</w:t>
            </w:r>
          </w:p>
        </w:tc>
        <w:tc>
          <w:tcPr>
            <w:tcW w:type="dxa" w:w="5702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Change it to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2:33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“TIQ presents the investigation synthesis”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“TIQ presents the combined root cause.”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3:07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“One clear answer with 82% confidence”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Keep the idea — confidence is still shown, but it is worked out per investigation, so don't quote a set figure.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3:13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“The promotion contribution analysis decomposes performance…” (the waterfall chart)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b/>
                <w:sz w:val="17"/>
              </w:rPr>
              <w:t>Cut — this chart is no longer in the product.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3:38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“The discount saturation curve makes the threshold visible”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Keep — still there, now headed “Discount Saturation — the mechanism”.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4:02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“segment level, retailer level, region level and SKU level”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The tabs are now Synthesis, Mechanism, Drivers, Channels &amp; Regions, Portfolio, Exposure and Recommendations.</w:t>
            </w:r>
          </w:p>
        </w:tc>
      </w:tr>
    </w:tbl>
    <w:p>
      <w:r>
        <w:br w:type="page"/>
      </w:r>
    </w:p>
    <w:p>
      <w:pPr>
        <w:keepNext/>
        <w:spacing w:before="200" w:after="60"/>
      </w:pPr>
      <w:r>
        <w:rPr>
          <w:b/>
          <w:color w:val="143A63"/>
          <w:sz w:val="23"/>
        </w:rPr>
        <w:t>4.  Simulation Studio  (4:11 – 6:16)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749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773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 the video</w:t>
            </w:r>
          </w:p>
        </w:tc>
        <w:tc>
          <w:tcPr>
            <w:tcW w:type="dxa" w:w="5702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Change it to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4:15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“three scenarios sit side by side — the current plan, the optimized plan, the aggressive growth plan”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There are no preset scenarios. The screen opens on three ways to work: What-if discount, Profit target and Best plan.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4:26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“a compare scenarios toggle controls the view”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>Cut — comparing happens in the Decision Center.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4:35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“discount depth, promotion duration, trade spend and retailer incentive … region, SKU focus and inventory”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One lever now: the average discount. Scope is set with the period, product, store, channel and region filters.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5:37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“with 89% confidence”, “scenario confidence”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>Cut — there is no scenario confidence score.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5:56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“TIQ governs the simulation in real time — margin, cannibalization, inventory, budget compliance, policy compliance and execution complexity”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b/>
                <w:sz w:val="17"/>
              </w:rPr>
              <w:t>Cut — there is no risk and governance panel.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—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(not mentioned)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color w:val="1E7A4C"/>
                <w:sz w:val="17"/>
              </w:rPr>
              <w:t>Add: every scenario is measured against both the current plan and a no-promotion baseline.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—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(not mentioned)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color w:val="1E7A4C"/>
                <w:sz w:val="17"/>
              </w:rPr>
              <w:t>Add: Profit target — name the profit you want and it finds the discount that reaches it.</w:t>
            </w:r>
          </w:p>
        </w:tc>
      </w:tr>
    </w:tbl>
    <w:p>
      <w:pPr>
        <w:keepNext/>
        <w:spacing w:before="200" w:after="60"/>
      </w:pPr>
      <w:r>
        <w:rPr>
          <w:b/>
          <w:color w:val="143A63"/>
          <w:sz w:val="23"/>
        </w:rPr>
        <w:t>5.  Decision Center  (6:16 – 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749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773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 the video</w:t>
            </w:r>
          </w:p>
        </w:tc>
        <w:tc>
          <w:tcPr>
            <w:tcW w:type="dxa" w:w="5702"/>
            <w:shd w:val="clear" w:fill="143A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Change it to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6:20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“summarized in three connected cards — the recommended strategy, the expected business impact, and the governance and policy validation”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The board holds up to three scenarios sent over from Simulation Studio, side by side.</w:t>
            </w:r>
          </w:p>
        </w:tc>
      </w:tr>
      <w:tr>
        <w:trPr>
          <w:cantSplit/>
        </w:trPr>
        <w:tc>
          <w:tcPr>
            <w:tcW w:type="dxa" w:w="749"/>
            <w:shd w:val="clear" w:fill="FFFFFF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6:34</w:t>
            </w:r>
          </w:p>
        </w:tc>
        <w:tc>
          <w:tcPr>
            <w:tcW w:type="dxa" w:w="3773"/>
            <w:shd w:val="clear" w:fill="FFFFFF"/>
          </w:tcPr>
          <w:p>
            <w:pPr>
              <w:spacing w:before="40" w:after="40"/>
            </w:pPr>
            <w:r>
              <w:rPr>
                <w:sz w:val="17"/>
              </w:rPr>
              <w:t>“The user clicks trigger approval workflow. Five steps light up — submit, finance review, commercial review, final approval, execute”</w:t>
            </w:r>
          </w:p>
        </w:tc>
        <w:tc>
          <w:tcPr>
            <w:tcW w:type="dxa" w:w="5702"/>
            <w:shd w:val="clear"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>Cut — there is no approval workflow. You pick a scenario, record why, and export the comparison.</w:t>
            </w:r>
          </w:p>
        </w:tc>
      </w:tr>
      <w:tr>
        <w:trPr>
          <w:cantSplit/>
        </w:trPr>
        <w:tc>
          <w:tcPr>
            <w:tcW w:type="dxa" w:w="749"/>
            <w:shd w:val="clear" w:fill="F2F6FA"/>
          </w:tcPr>
          <w:p>
            <w:pPr>
              <w:spacing w:before="40" w:after="40"/>
            </w:pPr>
            <w:r>
              <w:rPr>
                <w:color w:val="5A6B7B"/>
                <w:sz w:val="17"/>
              </w:rPr>
              <w:t>6:46</w:t>
            </w:r>
          </w:p>
        </w:tc>
        <w:tc>
          <w:tcPr>
            <w:tcW w:type="dxa" w:w="3773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“It unifies them as a trade promotion decision intelligence layer”</w:t>
            </w:r>
          </w:p>
        </w:tc>
        <w:tc>
          <w:tcPr>
            <w:tcW w:type="dxa" w:w="5702"/>
            <w:shd w:val="clear" w:fill="F2F6FA"/>
          </w:tcPr>
          <w:p>
            <w:pPr>
              <w:spacing w:before="40" w:after="40"/>
            </w:pPr>
            <w:r>
              <w:rPr>
                <w:sz w:val="17"/>
              </w:rPr>
              <w:t>Keep — still the right closing line.</w:t>
            </w:r>
          </w:p>
        </w:tc>
      </w:tr>
    </w:tbl>
    <w:p>
      <w:pPr>
        <w:keepNext/>
        <w:spacing w:before="200" w:after="60"/>
      </w:pPr>
      <w:r>
        <w:rPr>
          <w:b/>
          <w:color w:val="143A63"/>
          <w:sz w:val="23"/>
        </w:rPr>
        <w:t>6.  Worth adding anywhere in the walkthrough</w:t>
      </w:r>
    </w:p>
    <w:p>
      <w:pPr>
        <w:pStyle w:val="ListBullet"/>
        <w:spacing w:after="20"/>
      </w:pPr>
      <w:r>
        <w:rPr>
          <w:sz w:val="19"/>
        </w:rPr>
        <w:t>Loading your own data — three files (sales, product and store), with the columns mapped for you.</w:t>
      </w:r>
    </w:p>
    <w:p>
      <w:pPr>
        <w:pStyle w:val="ListBullet"/>
        <w:spacing w:after="20"/>
      </w:pPr>
      <w:r>
        <w:rPr>
          <w:sz w:val="19"/>
        </w:rPr>
        <w:t>Dark mode, and a side menu that collapses to give the charts more room.</w:t>
      </w:r>
    </w:p>
    <w:p>
      <w:pPr>
        <w:pStyle w:val="ListBullet"/>
        <w:spacing w:after="20"/>
      </w:pPr>
      <w:r>
        <w:rPr>
          <w:sz w:val="19"/>
        </w:rPr>
        <w:t>Every figure explains how it is calculated when you hover the mark beside it.</w:t>
      </w:r>
    </w:p>
    <w:p>
      <w:pPr>
        <w:spacing w:before="180" w:after="60"/>
        <w:pBdr>
          <w:bottom w:val="single" w:sz="6" w:color="2568B2"/>
        </w:pBdr>
      </w:pPr>
    </w:p>
    <w:p>
      <w:r>
        <w:rPr>
          <w:color w:val="5A6B7B"/>
          <w:sz w:val="15"/>
        </w:rPr>
        <w:t>TransOrg Analytics  ·  Trade Promotion Optimization  ·  Demo script revision guide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222A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