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38BDF8"/>
                <w:sz w:val="17"/>
              </w:rPr>
              <w:t>ARCHITECTURE EVALUATION &amp; ENGINEERING GUIDE</w:t>
            </w:r>
          </w:p>
          <w:p>
            <w:pPr>
              <w:spacing w:before="40" w:after="80"/>
            </w:pPr>
            <w:r>
              <w:rPr>
                <w:rFonts w:ascii="Arial" w:hAnsi="Arial"/>
                <w:b/>
                <w:color w:val="FFFFFF"/>
                <w:sz w:val="34"/>
              </w:rPr>
              <w:t>Monolithic vs. Microservices Architecture</w:t>
            </w:r>
          </w:p>
          <w:p>
            <w:pPr>
              <w:spacing w:before="40" w:after="0"/>
            </w:pPr>
            <w:r>
              <w:rPr>
                <w:rFonts w:ascii="Arial" w:hAnsi="Arial"/>
                <w:color w:val="CBD5E1"/>
                <w:sz w:val="19"/>
              </w:rPr>
              <w:t>A comprehensive conceptual guide analyzing structural paradigms, architectural trade-offs, operational bottlenecks, and system behaviors under real-world runtime stress.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F172A"/>
          <w:sz w:val="24"/>
        </w:rPr>
        <w:t>Step 2 — Architecture Overview &amp; Flow Diagrams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12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80"/>
            </w:pPr>
            <w:r>
              <w:rPr>
                <w:b/>
                <w:color w:val="1E40AF"/>
                <w:sz w:val="20"/>
              </w:rPr>
              <w:t>ARCHITECTURE A: MONOLITHIC</w:t>
              <w:br/>
            </w:r>
          </w:p>
          <w:p>
            <w:pPr>
              <w:spacing w:after="120" w:line="276" w:lineRule="auto"/>
            </w:pPr>
            <w:r>
              <w:rPr>
                <w:rFonts w:ascii="Consolas" w:hAnsi="Consolas"/>
                <w:color w:val="334155"/>
                <w:sz w:val="16"/>
              </w:rPr>
              <w:t>1. Client (Web / Mobile / REST API)</w:t>
              <w:br/>
              <w:t xml:space="preserve">   │  ▼ HTTP / REST (Single Port 8080)</w:t>
              <w:br/>
              <w:t>2. Single Backend JVM Application</w:t>
              <w:br/>
              <w:t xml:space="preserve">   ├── [User Module]</w:t>
              <w:br/>
              <w:t xml:space="preserve">   ├── [Product Module]</w:t>
              <w:br/>
              <w:t xml:space="preserve">   └── [Order Module]</w:t>
              <w:br/>
              <w:t xml:space="preserve">   (Direct in-memory method calls)</w:t>
              <w:br/>
              <w:t xml:space="preserve">   │  ▼ Shared Connection Pool</w:t>
              <w:br/>
              <w:t>3. Single Shared Database</w:t>
              <w:br/>
              <w:t xml:space="preserve">   └── (User, Product &amp; Order Schemas)</w:t>
            </w:r>
          </w:p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Key Characteristics:</w:t>
              <w:br/>
            </w:r>
            <w:r>
              <w:rPr>
                <w:color w:val="475569"/>
                <w:sz w:val="16"/>
              </w:rPr>
              <w:t>• Single Codebase: Unified build artifact.</w:t>
              <w:br/>
              <w:t>• Unified Deployment: Packaged as one JAR/WAR.</w:t>
              <w:br/>
              <w:t>• Shared State: Unified relational DB scope.</w:t>
            </w:r>
          </w:p>
        </w:tc>
        <w:tc>
          <w:tcPr>
            <w:tcW w:type="dxa" w:w="5112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after="80"/>
            </w:pPr>
            <w:r>
              <w:rPr>
                <w:b/>
                <w:color w:val="166534"/>
                <w:sz w:val="20"/>
              </w:rPr>
              <w:t>ARCHITECTURE B: MICROSERVICES</w:t>
              <w:br/>
            </w:r>
          </w:p>
          <w:p>
            <w:pPr>
              <w:spacing w:after="120" w:line="276" w:lineRule="auto"/>
            </w:pPr>
            <w:r>
              <w:rPr>
                <w:rFonts w:ascii="Consolas" w:hAnsi="Consolas"/>
                <w:color w:val="334155"/>
                <w:sz w:val="16"/>
              </w:rPr>
              <w:t>1. Client (Web / Mobile / Public API)</w:t>
              <w:br/>
              <w:t xml:space="preserve">   │  ▼ HTTPS Gateway Traffic</w:t>
              <w:br/>
              <w:t>2. API Gateway (Reverse Proxy / Routing)</w:t>
              <w:br/>
              <w:t xml:space="preserve">   ├── User Service  ──▶ [User DB]</w:t>
              <w:br/>
              <w:t xml:space="preserve">   ├── Product Service ──▶ [Product DB]</w:t>
              <w:br/>
              <w:t xml:space="preserve">   └── Order Service ──▶ [Order DB]</w:t>
              <w:br/>
              <w:t xml:space="preserve">   (REST APIs / Async Event Brokers)</w:t>
              <w:br/>
              <w:t>3. Dedicated Polyglot Persistence Layer</w:t>
            </w:r>
          </w:p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Key Characteristics:</w:t>
              <w:br/>
            </w:r>
            <w:r>
              <w:rPr>
                <w:color w:val="475569"/>
                <w:sz w:val="16"/>
              </w:rPr>
              <w:t>• Autonomous Services: Independent lifecycles.</w:t>
              <w:br/>
              <w:t>• Database-per-Service: Isolated data stores.</w:t>
              <w:br/>
              <w:t>• Inter-service Flow: Network API contracts.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F172A"/>
          <w:sz w:val="24"/>
        </w:rPr>
        <w:t>Step 3 — System Modularization Structure</w:t>
      </w:r>
    </w:p>
    <w:p>
      <w:pPr>
        <w:spacing w:before="0" w:after="80"/>
      </w:pPr>
      <w:r>
        <w:rPr>
          <w:color w:val="334155"/>
          <w:sz w:val="18"/>
        </w:rPr>
        <w:t>In a standard enterprise application, core business operations are structured around three primary domain modules: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>1. User Module</w:t>
            </w:r>
          </w:p>
          <w:p>
            <w:pPr>
              <w:spacing w:after="0"/>
            </w:pPr>
            <w:r>
              <w:rPr>
                <w:color w:val="475569"/>
                <w:sz w:val="16"/>
              </w:rPr>
              <w:t>Responsible for identity management, user registration, profile governance, authentication credentials, and customer role definitions.</w:t>
            </w:r>
          </w:p>
        </w:tc>
        <w:tc>
          <w:tcPr>
            <w:tcW w:type="dxa" w:w="34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>2. Product Module</w:t>
            </w:r>
          </w:p>
          <w:p>
            <w:pPr>
              <w:spacing w:after="0"/>
            </w:pPr>
            <w:r>
              <w:rPr>
                <w:color w:val="475569"/>
                <w:sz w:val="16"/>
              </w:rPr>
              <w:t>Manages product catalog data, inventory levels, category classifications, dynamic pricing rules, search metadata, and stock tracking.</w:t>
            </w:r>
          </w:p>
        </w:tc>
        <w:tc>
          <w:tcPr>
            <w:tcW w:type="dxa" w:w="34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>3. Order Module</w:t>
            </w:r>
          </w:p>
          <w:p>
            <w:pPr>
              <w:spacing w:after="0"/>
            </w:pPr>
            <w:r>
              <w:rPr>
                <w:color w:val="475569"/>
                <w:sz w:val="16"/>
              </w:rPr>
              <w:t>Processes checkout workflows, orchestrates order creation, validates items against customer accounts, coordinates payment states, and handles order histories.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F172A"/>
          <w:sz w:val="24"/>
        </w:rPr>
        <w:t>Step 4 — Inherent Problems of Monolithic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>
              <w:rPr>
                <w:b/>
                <w:color w:val="B91C1C"/>
                <w:sz w:val="17"/>
              </w:rPr>
              <w:t>Deployment Risk</w:t>
            </w:r>
          </w:p>
          <w:p>
            <w:pPr>
              <w:spacing w:after="0"/>
            </w:pPr>
            <w:r>
              <w:rPr>
                <w:color w:val="475569"/>
                <w:sz w:val="15"/>
              </w:rPr>
              <w:t>All-or-Nothing Deployments: Modifying a single line of code in the User module requires recompiling, testing, and redeploying the entire monolithic artifact.</w:t>
            </w:r>
          </w:p>
        </w:tc>
        <w:tc>
          <w:tcPr>
            <w:tcW w:type="dxa" w:w="34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>
              <w:rPr>
                <w:b/>
                <w:color w:val="B91C1C"/>
                <w:sz w:val="17"/>
              </w:rPr>
              <w:t>Scaling Inefficiencies</w:t>
            </w:r>
          </w:p>
          <w:p>
            <w:pPr>
              <w:spacing w:after="0"/>
            </w:pPr>
            <w:r>
              <w:rPr>
                <w:color w:val="475569"/>
                <w:sz w:val="15"/>
              </w:rPr>
              <w:t>Uniform Scaling Bottlenecks: You cannot selectively scale a high-load feature (e.g., flash sales on Order module); redundant copies of the whole app must scale.</w:t>
            </w:r>
          </w:p>
        </w:tc>
        <w:tc>
          <w:tcPr>
            <w:tcW w:type="dxa" w:w="34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>
              <w:rPr>
                <w:b/>
                <w:color w:val="B91C1C"/>
                <w:sz w:val="17"/>
              </w:rPr>
              <w:t>Database Coupling</w:t>
            </w:r>
          </w:p>
          <w:p>
            <w:pPr>
              <w:spacing w:after="0"/>
            </w:pPr>
            <w:r>
              <w:rPr>
                <w:color w:val="475569"/>
                <w:sz w:val="15"/>
              </w:rPr>
              <w:t>Shared Schema Vulnerability: All modules share one database. Direct joins between tables cause rigid lock-in and high-risk schema migrations.</w:t>
            </w:r>
          </w:p>
        </w:tc>
      </w:tr>
      <w:tr>
        <w:tc>
          <w:tcPr>
            <w:tcW w:type="dxa" w:w="34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>
              <w:rPr>
                <w:b/>
                <w:color w:val="B91C1C"/>
                <w:sz w:val="17"/>
              </w:rPr>
              <w:t>Code Coupling</w:t>
            </w:r>
          </w:p>
          <w:p>
            <w:pPr>
              <w:spacing w:after="0"/>
            </w:pPr>
            <w:r>
              <w:rPr>
                <w:color w:val="475569"/>
                <w:sz w:val="15"/>
              </w:rPr>
              <w:t>Architectural Erosion: Unrestricted in-memory method invocations blur module boundaries, turning codebases into difficult-to-refactor 'Big Balls of Mud.'</w:t>
            </w:r>
          </w:p>
        </w:tc>
        <w:tc>
          <w:tcPr>
            <w:tcW w:type="dxa" w:w="34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>
              <w:rPr>
                <w:b/>
                <w:color w:val="B91C1C"/>
                <w:sz w:val="17"/>
              </w:rPr>
              <w:t>Team Dependency</w:t>
            </w:r>
          </w:p>
          <w:p>
            <w:pPr>
              <w:spacing w:after="0"/>
            </w:pPr>
            <w:r>
              <w:rPr>
                <w:color w:val="475569"/>
                <w:sz w:val="15"/>
              </w:rPr>
              <w:t>Delivery Coordination Delays: Cross-team merge conflicts on shared branches and synchronized release schedules cause organizational bottlenecks.</w:t>
            </w:r>
          </w:p>
        </w:tc>
        <w:tc>
          <w:tcPr>
            <w:tcW w:type="dxa" w:w="340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>
              <w:rPr>
                <w:b/>
                <w:color w:val="B91C1C"/>
                <w:sz w:val="17"/>
              </w:rPr>
              <w:t>Blast Radius (Failure)</w:t>
            </w:r>
          </w:p>
          <w:p>
            <w:pPr>
              <w:spacing w:after="0"/>
            </w:pPr>
            <w:r>
              <w:rPr>
                <w:color w:val="475569"/>
                <w:sz w:val="15"/>
              </w:rPr>
              <w:t>Process-Wide Outages: A memory leak, unhandled error, or CPU freeze in one module crashes the host process, taking down the entire platform.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F172A"/>
          <w:sz w:val="24"/>
        </w:rPr>
        <w:t>Step 6 — Comparative Dimension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104"/>
        <w:gridCol w:w="4104"/>
      </w:tblGrid>
      <w:tr>
        <w:tc>
          <w:tcPr>
            <w:tcW w:type="dxa" w:w="340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40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Monolithic Architecture</w:t>
            </w:r>
          </w:p>
        </w:tc>
        <w:tc>
          <w:tcPr>
            <w:tcW w:type="dxa" w:w="340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Microservices Architecture</w:t>
            </w:r>
          </w:p>
        </w:tc>
      </w:tr>
      <w:tr>
        <w:tc>
          <w:tcPr>
            <w:tcW w:type="dxa" w:w="34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F1F5F9"/>
              <w:bottom w:val="single" w:sz="2" w:space="0" w:color="F1F5F9"/>
              <w:left w:val="single" w:sz="2" w:space="0" w:color="F1F5F9"/>
              <w:right w:val="single" w:sz="2" w:space="0" w:color="F1F5F9"/>
            </w:tcBorders>
          </w:tcPr>
          <w:p>
            <w:r>
              <w:rPr>
                <w:b/>
                <w:color w:val="0F172A"/>
                <w:sz w:val="16"/>
              </w:rPr>
              <w:t>1. Development</w:t>
            </w:r>
          </w:p>
        </w:tc>
        <w:tc>
          <w:tcPr>
            <w:tcW w:type="dxa" w:w="34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F1F5F9"/>
              <w:bottom w:val="single" w:sz="2" w:space="0" w:color="F1F5F9"/>
              <w:left w:val="single" w:sz="2" w:space="0" w:color="F1F5F9"/>
              <w:right w:val="single" w:sz="2" w:space="0" w:color="F1F5F9"/>
            </w:tcBorders>
          </w:tcPr>
          <w:p>
            <w:r>
              <w:rPr>
                <w:color w:val="334155"/>
                <w:sz w:val="16"/>
              </w:rPr>
              <w:t>Single repository and codebase. Fast setup initially, but code coupling increases merge friction as team size grows.</w:t>
            </w:r>
          </w:p>
        </w:tc>
        <w:tc>
          <w:tcPr>
            <w:tcW w:type="dxa" w:w="34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F1F5F9"/>
              <w:bottom w:val="single" w:sz="2" w:space="0" w:color="F1F5F9"/>
              <w:left w:val="single" w:sz="2" w:space="0" w:color="F1F5F9"/>
              <w:right w:val="single" w:sz="2" w:space="0" w:color="F1F5F9"/>
            </w:tcBorders>
          </w:tcPr>
          <w:p>
            <w:r>
              <w:rPr>
                <w:color w:val="334155"/>
                <w:sz w:val="16"/>
              </w:rPr>
              <w:t>Decentralized repositories. Autonomous teams develop and release features independently within bounded contexts.</w:t>
            </w:r>
          </w:p>
        </w:tc>
      </w:tr>
      <w:tr>
        <w:tc>
          <w:tcPr>
            <w:tcW w:type="dxa" w:w="34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F1F5F9"/>
              <w:bottom w:val="single" w:sz="2" w:space="0" w:color="F1F5F9"/>
              <w:left w:val="single" w:sz="2" w:space="0" w:color="F1F5F9"/>
              <w:right w:val="single" w:sz="2" w:space="0" w:color="F1F5F9"/>
            </w:tcBorders>
          </w:tcPr>
          <w:p>
            <w:r>
              <w:rPr>
                <w:b/>
                <w:color w:val="0F172A"/>
                <w:sz w:val="16"/>
              </w:rPr>
              <w:t>2. Deployment</w:t>
            </w:r>
          </w:p>
        </w:tc>
        <w:tc>
          <w:tcPr>
            <w:tcW w:type="dxa" w:w="34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F1F5F9"/>
              <w:bottom w:val="single" w:sz="2" w:space="0" w:color="F1F5F9"/>
              <w:left w:val="single" w:sz="2" w:space="0" w:color="F1F5F9"/>
              <w:right w:val="single" w:sz="2" w:space="0" w:color="F1F5F9"/>
            </w:tcBorders>
          </w:tcPr>
          <w:p>
            <w:r>
              <w:rPr>
                <w:color w:val="334155"/>
                <w:sz w:val="16"/>
              </w:rPr>
              <w:t>Unified deployment artifact. Risky releases where any failure rolls back the entire application.</w:t>
            </w:r>
          </w:p>
        </w:tc>
        <w:tc>
          <w:tcPr>
            <w:tcW w:type="dxa" w:w="34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F1F5F9"/>
              <w:bottom w:val="single" w:sz="2" w:space="0" w:color="F1F5F9"/>
              <w:left w:val="single" w:sz="2" w:space="0" w:color="F1F5F9"/>
              <w:right w:val="single" w:sz="2" w:space="0" w:color="F1F5F9"/>
            </w:tcBorders>
          </w:tcPr>
          <w:p>
            <w:r>
              <w:rPr>
                <w:color w:val="334155"/>
                <w:sz w:val="16"/>
              </w:rPr>
              <w:t>Independent CI/CD pipelines per service. Enables zero-downtime rolling updates and isolated rollbacks.</w:t>
            </w:r>
          </w:p>
        </w:tc>
      </w:tr>
      <w:tr>
        <w:tc>
          <w:tcPr>
            <w:tcW w:type="dxa" w:w="34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F1F5F9"/>
              <w:bottom w:val="single" w:sz="2" w:space="0" w:color="F1F5F9"/>
              <w:left w:val="single" w:sz="2" w:space="0" w:color="F1F5F9"/>
              <w:right w:val="single" w:sz="2" w:space="0" w:color="F1F5F9"/>
            </w:tcBorders>
          </w:tcPr>
          <w:p>
            <w:r>
              <w:rPr>
                <w:b/>
                <w:color w:val="0F172A"/>
                <w:sz w:val="16"/>
              </w:rPr>
              <w:t>3. Scaling</w:t>
            </w:r>
          </w:p>
        </w:tc>
        <w:tc>
          <w:tcPr>
            <w:tcW w:type="dxa" w:w="34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F1F5F9"/>
              <w:bottom w:val="single" w:sz="2" w:space="0" w:color="F1F5F9"/>
              <w:left w:val="single" w:sz="2" w:space="0" w:color="F1F5F9"/>
              <w:right w:val="single" w:sz="2" w:space="0" w:color="F1F5F9"/>
            </w:tcBorders>
          </w:tcPr>
          <w:p>
            <w:r>
              <w:rPr>
                <w:color w:val="334155"/>
                <w:sz w:val="16"/>
              </w:rPr>
              <w:t>Uniform scaling only. High memory/CPU overhead since the entire monolith must be duplicated.</w:t>
            </w:r>
          </w:p>
        </w:tc>
        <w:tc>
          <w:tcPr>
            <w:tcW w:type="dxa" w:w="34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F1F5F9"/>
              <w:bottom w:val="single" w:sz="2" w:space="0" w:color="F1F5F9"/>
              <w:left w:val="single" w:sz="2" w:space="0" w:color="F1F5F9"/>
              <w:right w:val="single" w:sz="2" w:space="0" w:color="F1F5F9"/>
            </w:tcBorders>
          </w:tcPr>
          <w:p>
            <w:r>
              <w:rPr>
                <w:color w:val="334155"/>
                <w:sz w:val="16"/>
              </w:rPr>
              <w:t>Targeted elastic scaling. High-throughput services scale dynamically while lightweight components remain lean.</w:t>
            </w:r>
          </w:p>
        </w:tc>
      </w:tr>
      <w:tr>
        <w:tc>
          <w:tcPr>
            <w:tcW w:type="dxa" w:w="34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F1F5F9"/>
              <w:bottom w:val="single" w:sz="2" w:space="0" w:color="F1F5F9"/>
              <w:left w:val="single" w:sz="2" w:space="0" w:color="F1F5F9"/>
              <w:right w:val="single" w:sz="2" w:space="0" w:color="F1F5F9"/>
            </w:tcBorders>
          </w:tcPr>
          <w:p>
            <w:r>
              <w:rPr>
                <w:b/>
                <w:color w:val="0F172A"/>
                <w:sz w:val="16"/>
              </w:rPr>
              <w:t>4. Maintenance</w:t>
            </w:r>
          </w:p>
        </w:tc>
        <w:tc>
          <w:tcPr>
            <w:tcW w:type="dxa" w:w="34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F1F5F9"/>
              <w:bottom w:val="single" w:sz="2" w:space="0" w:color="F1F5F9"/>
              <w:left w:val="single" w:sz="2" w:space="0" w:color="F1F5F9"/>
              <w:right w:val="single" w:sz="2" w:space="0" w:color="F1F5F9"/>
            </w:tcBorders>
          </w:tcPr>
          <w:p>
            <w:r>
              <w:rPr>
                <w:color w:val="334155"/>
                <w:sz w:val="16"/>
              </w:rPr>
              <w:t>High architectural decay risk. Direct method calls compromise domain separation over time.</w:t>
            </w:r>
          </w:p>
        </w:tc>
        <w:tc>
          <w:tcPr>
            <w:tcW w:type="dxa" w:w="34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F1F5F9"/>
              <w:bottom w:val="single" w:sz="2" w:space="0" w:color="F1F5F9"/>
              <w:left w:val="single" w:sz="2" w:space="0" w:color="F1F5F9"/>
              <w:right w:val="single" w:sz="2" w:space="0" w:color="F1F5F9"/>
            </w:tcBorders>
          </w:tcPr>
          <w:p>
            <w:r>
              <w:rPr>
                <w:color w:val="334155"/>
                <w:sz w:val="16"/>
              </w:rPr>
              <w:t>Strict API boundaries preserve integrity. Allows isolated framework upgrades and polyglot tech stacks.</w:t>
            </w:r>
          </w:p>
        </w:tc>
      </w:tr>
      <w:tr>
        <w:tc>
          <w:tcPr>
            <w:tcW w:type="dxa" w:w="34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F1F5F9"/>
              <w:bottom w:val="single" w:sz="2" w:space="0" w:color="F1F5F9"/>
              <w:left w:val="single" w:sz="2" w:space="0" w:color="F1F5F9"/>
              <w:right w:val="single" w:sz="2" w:space="0" w:color="F1F5F9"/>
            </w:tcBorders>
          </w:tcPr>
          <w:p>
            <w:r>
              <w:rPr>
                <w:b/>
                <w:color w:val="0F172A"/>
                <w:sz w:val="16"/>
              </w:rPr>
              <w:t>5. Testing</w:t>
            </w:r>
          </w:p>
        </w:tc>
        <w:tc>
          <w:tcPr>
            <w:tcW w:type="dxa" w:w="34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F1F5F9"/>
              <w:bottom w:val="single" w:sz="2" w:space="0" w:color="F1F5F9"/>
              <w:left w:val="single" w:sz="2" w:space="0" w:color="F1F5F9"/>
              <w:right w:val="single" w:sz="2" w:space="0" w:color="F1F5F9"/>
            </w:tcBorders>
          </w:tcPr>
          <w:p>
            <w:r>
              <w:rPr>
                <w:color w:val="334155"/>
                <w:sz w:val="16"/>
              </w:rPr>
              <w:t>Simple local testing. Complete end-to-end flows run within a single process and test database.</w:t>
            </w:r>
          </w:p>
        </w:tc>
        <w:tc>
          <w:tcPr>
            <w:tcW w:type="dxa" w:w="34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F1F5F9"/>
              <w:bottom w:val="single" w:sz="2" w:space="0" w:color="F1F5F9"/>
              <w:left w:val="single" w:sz="2" w:space="0" w:color="F1F5F9"/>
              <w:right w:val="single" w:sz="2" w:space="0" w:color="F1F5F9"/>
            </w:tcBorders>
          </w:tcPr>
          <w:p>
            <w:r>
              <w:rPr>
                <w:color w:val="334155"/>
                <w:sz w:val="16"/>
              </w:rPr>
              <w:t>Distributed testing complexity. Requires contract tests, mocks, network stubs, and distributed tracing.</w:t>
            </w:r>
          </w:p>
        </w:tc>
      </w:tr>
      <w:tr>
        <w:tc>
          <w:tcPr>
            <w:tcW w:type="dxa" w:w="34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F1F5F9"/>
              <w:bottom w:val="single" w:sz="2" w:space="0" w:color="F1F5F9"/>
              <w:left w:val="single" w:sz="2" w:space="0" w:color="F1F5F9"/>
              <w:right w:val="single" w:sz="2" w:space="0" w:color="F1F5F9"/>
            </w:tcBorders>
          </w:tcPr>
          <w:p>
            <w:r>
              <w:rPr>
                <w:b/>
                <w:color w:val="0F172A"/>
                <w:sz w:val="16"/>
              </w:rPr>
              <w:t>6. Failure Handling</w:t>
            </w:r>
          </w:p>
        </w:tc>
        <w:tc>
          <w:tcPr>
            <w:tcW w:type="dxa" w:w="34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F1F5F9"/>
              <w:bottom w:val="single" w:sz="2" w:space="0" w:color="F1F5F9"/>
              <w:left w:val="single" w:sz="2" w:space="0" w:color="F1F5F9"/>
              <w:right w:val="single" w:sz="2" w:space="0" w:color="F1F5F9"/>
            </w:tcBorders>
          </w:tcPr>
          <w:p>
            <w:r>
              <w:rPr>
                <w:color w:val="334155"/>
                <w:sz w:val="16"/>
              </w:rPr>
              <w:t>High blast radius. A crash in one feature terminates the application runtime for all users.</w:t>
            </w:r>
          </w:p>
        </w:tc>
        <w:tc>
          <w:tcPr>
            <w:tcW w:type="dxa" w:w="34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2" w:space="0" w:color="F1F5F9"/>
              <w:bottom w:val="single" w:sz="2" w:space="0" w:color="F1F5F9"/>
              <w:left w:val="single" w:sz="2" w:space="0" w:color="F1F5F9"/>
              <w:right w:val="single" w:sz="2" w:space="0" w:color="F1F5F9"/>
            </w:tcBorders>
          </w:tcPr>
          <w:p>
            <w:r>
              <w:rPr>
                <w:color w:val="334155"/>
                <w:sz w:val="16"/>
              </w:rPr>
              <w:t>Fault isolation. Resilient boundaries, circuit breakers, and retries ensure localized failure handling.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F172A"/>
          <w:sz w:val="24"/>
        </w:rPr>
        <w:t>Step 7 — Operational Behavior Under Failure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left w:val="single" w:sz="12" w:space="0" w:color="0284C7"/>
              <w:top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after="60"/>
            </w:pPr>
            <w:r>
              <w:rPr>
                <w:b/>
                <w:color w:val="0369A1"/>
                <w:sz w:val="17"/>
              </w:rPr>
              <w:t>Scenario A: User Service / Module Fails</w:t>
            </w:r>
          </w:p>
          <w:p>
            <w:pPr>
              <w:spacing w:after="0"/>
            </w:pPr>
            <w:r>
              <w:rPr>
                <w:color w:val="475569"/>
                <w:sz w:val="16"/>
              </w:rPr>
              <w:t>• Monolith: Thread pool starvation or crash in the user domain affects the entire process, preventing users from browsing products or placing orders.</w:t>
              <w:br/>
            </w:r>
            <w:r>
              <w:rPr>
                <w:b w:val="0"/>
                <w:color w:val="166534"/>
                <w:sz w:val="16"/>
              </w:rPr>
              <w:t>• Microservices: The API Gateway routes around the failed service or provides fallback responses; product browsing and existing order processing remain active.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left w:val="single" w:sz="12" w:space="0" w:color="0284C7"/>
              <w:top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after="60"/>
            </w:pPr>
            <w:r>
              <w:rPr>
                <w:b/>
                <w:color w:val="0369A1"/>
                <w:sz w:val="17"/>
              </w:rPr>
              <w:t>Scenario B: Database System Fails</w:t>
            </w:r>
          </w:p>
          <w:p>
            <w:pPr>
              <w:spacing w:after="0"/>
            </w:pPr>
            <w:r>
              <w:rPr>
                <w:color w:val="475569"/>
                <w:sz w:val="16"/>
              </w:rPr>
              <w:t>• Monolith: Shared database outage immediately brings down all modules; total system failure occurs across the entire application.</w:t>
              <w:br/>
            </w:r>
            <w:r>
              <w:rPr>
                <w:b w:val="0"/>
                <w:color w:val="166534"/>
                <w:sz w:val="16"/>
              </w:rPr>
              <w:t>• Microservices: Only the service bound to the failing database is disrupted. All other services continue serving traffic with their dedicated databases.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left w:val="single" w:sz="12" w:space="0" w:color="0284C7"/>
              <w:top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after="60"/>
            </w:pPr>
            <w:r>
              <w:rPr>
                <w:b/>
                <w:color w:val="0369A1"/>
                <w:sz w:val="17"/>
              </w:rPr>
              <w:t>Scenario C: Order Service Receives Sudden Heavy Traffic Spike</w:t>
            </w:r>
          </w:p>
          <w:p>
            <w:pPr>
              <w:spacing w:after="0"/>
            </w:pPr>
            <w:r>
              <w:rPr>
                <w:color w:val="475569"/>
                <w:sz w:val="16"/>
              </w:rPr>
              <w:t>• Monolith: Spike consumes shared CPU, memory, and database connections, degrading performance and response times across unrelated areas.</w:t>
              <w:br/>
            </w:r>
            <w:r>
              <w:rPr>
                <w:b w:val="0"/>
                <w:color w:val="166534"/>
                <w:sz w:val="16"/>
              </w:rPr>
              <w:t>• Microservices: Container autoscaling instantly replicates only the Order Service, leaving User and Product services completely isolated and unaffected.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