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REVIEW – III  •  PROJECT PROGRESS ASSESSMENT</w:t>
      </w:r>
    </w:p>
    <w:p>
      <w:pPr>
        <w:pStyle w:val="Heading1"/>
      </w:pPr>
      <w:r>
        <w:t>Machine Learning-Based Predictive Analytics for Supply Chain Optimization</w:t>
      </w:r>
    </w:p>
    <w:p>
      <w:pPr>
        <w:pStyle w:val="BodyText"/>
      </w:pPr>
      <w:r>
        <w:t>Demand Forecasting • Inventory Optimization • Logistics Intelligence • Risk Prediction</w:t>
      </w:r>
    </w:p>
    <w:p>
      <w:pPr>
        <w:pStyle w:val="BodyText"/>
      </w:pPr>
      <w:r>
        <w:t>DEPARTMENT OF COMPUTER SCIENCE &amp; ENGINEERING, KLH UNIVERSITY, BACHUPALLY</w:t>
      </w:r>
    </w:p>
    <w:p>
      <w:pPr>
        <w:pStyle w:val="BodyText"/>
      </w:pPr>
      <w:r>
        <w:t>KLH University, Bachupally • Deemed to be University • Hyderabad – Telangana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Review-III (Engineering Capstone Project – 1, 23IE4053R/23IE4053A)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Batch / Team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Batch 15 — Team 15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Team members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M. Shiva Sai Vinesh (2420030691); R. Harsha Vardhan Reddy (2420030748); D. Venkatesh (2420030134); A. Shashank Reddy (2420030034)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Guide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Dr. K. Swapnika, Dept. of CSE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Academic year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2026 – 2027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github.com/shivasaivinesh/KLH-CSE-2026-27-2420030691-supply-chain-optimization-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Review-I literature &amp; plan COMPLETE · Review-III implementation &amp; results COMPLETE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Paragraph"/>
      </w:pPr>
      <w:r>
        <w:t>1. Executive Summary (measured results)</w:t>
      </w:r>
    </w:p>
    <w:p>
      <w:pPr>
        <w:pStyle w:val="ListParagraph"/>
      </w:pPr>
      <w:r>
        <w:t>2. Progress Against the Review-I Plan</w:t>
      </w:r>
    </w:p>
    <w:p>
      <w:pPr>
        <w:pStyle w:val="ListParagraph"/>
      </w:pPr>
      <w:r>
        <w:t>3. System Architecture as Implemented</w:t>
      </w:r>
    </w:p>
    <w:p>
      <w:pPr>
        <w:pStyle w:val="ListParagraph"/>
      </w:pPr>
      <w:r>
        <w:t>4. Module M1 — Data Ingestion, Validation &amp; Cleaning</w:t>
      </w:r>
    </w:p>
    <w:p>
      <w:pPr>
        <w:pStyle w:val="ListParagraph"/>
      </w:pPr>
      <w:r>
        <w:t>5. Module M2 — Exploratory Data Analysis (12 techniques)</w:t>
      </w:r>
    </w:p>
    <w:p>
      <w:pPr>
        <w:pStyle w:val="ListParagraph"/>
      </w:pPr>
      <w:r>
        <w:t>6. Module M2b — Preprocessing &amp; Feature Engineering</w:t>
      </w:r>
    </w:p>
    <w:p>
      <w:pPr>
        <w:pStyle w:val="ListParagraph"/>
      </w:pPr>
      <w:r>
        <w:t>7. Module M3 — Multi-Horizon Demand Forecasting</w:t>
      </w:r>
    </w:p>
    <w:p>
      <w:pPr>
        <w:pStyle w:val="ListParagraph"/>
      </w:pPr>
      <w:r>
        <w:t>8. Module M5 — Delay-Risk &amp; Lead-Time Prediction</w:t>
      </w:r>
    </w:p>
    <w:p>
      <w:pPr>
        <w:pStyle w:val="ListParagraph"/>
      </w:pPr>
      <w:r>
        <w:t>9. Module M4 — Forecast-to-Prescription Inventory Optimization</w:t>
      </w:r>
    </w:p>
    <w:p>
      <w:pPr>
        <w:pStyle w:val="ListParagraph"/>
      </w:pPr>
      <w:r>
        <w:t>10. Module M6 — Explainable AI (SHAP + What-If)</w:t>
      </w:r>
    </w:p>
    <w:p>
      <w:pPr>
        <w:pStyle w:val="ListParagraph"/>
      </w:pPr>
      <w:r>
        <w:t>11. Module M7 — Interactive Dashboard</w:t>
      </w:r>
    </w:p>
    <w:p>
      <w:pPr>
        <w:pStyle w:val="ListParagraph"/>
      </w:pPr>
      <w:r>
        <w:t>12. Objectives vs. Achieved Results</w:t>
      </w:r>
    </w:p>
    <w:p>
      <w:pPr>
        <w:pStyle w:val="ListParagraph"/>
      </w:pPr>
      <w:r>
        <w:t>13. Discussion, Limitations &amp; Deviations from the Plan</w:t>
      </w:r>
    </w:p>
    <w:p>
      <w:pPr>
        <w:pStyle w:val="ListParagraph"/>
      </w:pPr>
      <w:r>
        <w:t>14. Plan for the Next Review</w:t>
      </w:r>
    </w:p>
    <w:p>
      <w:pPr>
        <w:pStyle w:val="ListParagraph"/>
      </w:pPr>
      <w:r>
        <w:t>15. Reproducibility Instructions</w:t>
      </w:r>
    </w:p>
    <w:p>
      <w:pPr>
        <w:pStyle w:val="ListParagraph"/>
      </w:pPr>
      <w:r>
        <w:t>16. References</w:t>
      </w:r>
    </w:p>
    <w:p>
      <w:r>
        <w:br w:type="page"/>
      </w:r>
    </w:p>
    <w:p>
      <w:pPr>
        <w:pStyle w:val="Heading1"/>
      </w:pPr>
      <w:r>
        <w:t>1. Executive Summary (measured results)</w:t>
      </w:r>
    </w:p>
    <w:p>
      <w:pPr>
        <w:pStyle w:val="BodyText"/>
      </w:pPr>
      <w:r>
        <w:t xml:space="preserve">This report documents the completed implementation of the unified predictive-analytics framework proposed at Review-I. All results below were produced by the reproducible pipeline in </w:t>
      </w:r>
      <w:r>
        <w:rPr>
          <w:b/>
        </w:rPr>
        <w:t>src/</w:t>
      </w:r>
      <w:r>
        <w:t xml:space="preserve"> from the three public benchmark datasets; no value in this document is estimated, simulated by hand or carried over from a template.</w:t>
      </w:r>
    </w:p>
    <w:p>
      <w:pPr>
        <w:pStyle w:val="BodyText"/>
      </w:pPr>
      <w:r>
        <w:rPr>
          <w:b/>
          <w:sz w:val="18"/>
        </w:rPr>
        <w:t>Table 1 — Headline measured outcomes of the Review-III build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Records cleaned and integrated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2,096,319 across 3 public benchmark datasets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Demand series modelled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500 store-item series / 913,000 daily observations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Engineered model features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57 (+ a 28-day sequence block for the LSTM)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 horizon evaluated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184 days recursive rollout (7/30/90-day sub-horizons)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Best model on the matched test subset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Ensemble - MAPE 12.11%, MAE 6.46, R2 0.928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Classical SARIMA baseline (identical rows)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MAPE 19.19%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 error reduction vs the statistical baseline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36.9%  (target was &gt;=25%)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Value of the engineered lag/rolling features (ablation)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32.8% MAPE reduction vs calendar-only features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Delay-risk classifier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RandomForest - F1 0.722 at the tuned threshold, ROC-AUC 0.769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Lead-time model (measured, not assumed)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MAE 0.96 days; sigma_L = 1.27 days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Inventory: total cost at equal service level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+2.12%  (holding and stock-out roughly neutral)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Inventory: stock-out reduction under a lead-time disruption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+25.0%  (cost +13.5%)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LSTM deep-learning model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one-step hold-out MAPE 11.74%, 17,861 parameters</w:t>
            </w:r>
          </w:p>
        </w:tc>
      </w:tr>
    </w:tbl>
    <w:p/>
    <w:p>
      <w:pPr>
        <w:pStyle w:val="Heading1"/>
      </w:pPr>
      <w:r>
        <w:t>2. Progress Against the Review-I Plan</w:t>
      </w:r>
    </w:p>
    <w:p>
      <w:pPr>
        <w:pStyle w:val="BodyText"/>
      </w:pPr>
      <w:r>
        <w:rPr>
          <w:b/>
          <w:sz w:val="18"/>
        </w:rPr>
        <w:t>Table 2 — Declared plan versus delivery at Review-III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6"/>
              </w:rPr>
              <w:t>Phase (as declared at Review-I)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Review-I status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Status at Review-III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1 — Literature review (10–15 papers)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/ Review-1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12 papers reviewed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2 — Dataset collection, cleaning, integration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Next phase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3 datasets, 2,096,319 records integrated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3 — Preprocessing + EDA (12 techniques)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12 techniques + ABC + STL + RFM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4 — Model development (ML/DL, comparison)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SARIMA, RF, XGBoost, LightGBM, LSTM + ensemble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5 — Risk &amp; inventory analysis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delay-risk classifier, lead-time regression, EOQ/ROP/safety-stock engine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6 — Visualisation / dashboard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COMPLETED — Streamlit dashboard (7 modules) + static figures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Phase 7 — Evaluation &amp; documentation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IN PROGRESS — this report; paper draft pending</w:t>
            </w:r>
          </w:p>
        </w:tc>
      </w:tr>
    </w:tbl>
    <w:p/>
    <w:p>
      <w:pPr>
        <w:pStyle w:val="Heading1"/>
      </w:pPr>
      <w:r>
        <w:t>3. System Architecture as Implemented</w:t>
      </w:r>
    </w:p>
    <w:p>
      <w:pPr>
        <w:pStyle w:val="BodyText"/>
      </w:pPr>
      <w:r>
        <w:t xml:space="preserve">The four-tier architecture promised at Review-I was implemented as a runnable pipeline. Each module is a standalone script with a deterministic seed, and the orchestrator </w:t>
      </w:r>
      <w:r>
        <w:rPr>
          <w:b/>
        </w:rPr>
        <w:t>src/run_pipeline.py</w:t>
      </w:r>
      <w:r>
        <w:t xml:space="preserve"> executes them in dependency order.</w:t>
      </w:r>
    </w:p>
    <w:p>
      <w:pPr>
        <w:pStyle w:val="BodyText"/>
      </w:pPr>
      <w:r>
        <w:rPr>
          <w:b/>
          <w:sz w:val="18"/>
        </w:rPr>
        <w:t>Table 3 — Four-tier architecture and the implementing module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Implemented as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1 — Data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src/fetch_data.py, src/data_ingest.py (D1 DataCo, D2 Store-Item Demand, D3 Online Retail II)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2 — Processing &amp; Feature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src/features.py — 57 model features (28 calendar/external + 29 lag/rolling/trend) plus a 28-day LSTM sequence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3 — Intelligence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src/models_forecast.py, src/models_dl.py, src/models_risk.py — SARIMA, RF, XGBoost, LightGBM, LSTM, weighted ensemble, delay-risk classifier, lead-time regression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4 — Prescription &amp; Presentation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src/optimization.py (safety stock / ROP / EOQ / reorder alerts + cost simulation), src/explain.py (SHAP), dashboard/app.py (Streamlit + Plotly)</w:t>
            </w:r>
          </w:p>
        </w:tc>
      </w:tr>
    </w:tbl>
    <w:p/>
    <w:p>
      <w:pPr>
        <w:pStyle w:val="BodyText"/>
      </w:pPr>
      <w:r>
        <w:t>End-to-end execution order:</w:t>
      </w:r>
    </w:p>
    <w:p>
      <w:pPr>
        <w:pStyle w:val="BodyText"/>
      </w:pPr>
      <w:r>
        <w:rPr>
          <w:sz w:val="17"/>
        </w:rPr>
        <w:t>fetch_data → data_ingest → features → eda → models_forecast → models_risk → optimization → explain → generate_report → dashboard</w:t>
      </w:r>
    </w:p>
    <w:p>
      <w:r>
        <w:br w:type="page"/>
      </w:r>
    </w:p>
    <w:p>
      <w:pPr>
        <w:pStyle w:val="Heading1"/>
      </w:pPr>
      <w:r>
        <w:t>4. Module M1 — Data Ingestion, Validation &amp; Cleaning</w:t>
      </w:r>
    </w:p>
    <w:p>
      <w:pPr>
        <w:pStyle w:val="BodyText"/>
      </w:pPr>
      <w:r>
        <w:rPr>
          <w:b/>
          <w:sz w:val="18"/>
        </w:rPr>
        <w:t>Table 4 — Data-quality fingerprint of the three integrated datasets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Columns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Numeric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Missing cells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Missing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Duplicates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Memory (MB)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DataCo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180519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271.18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StoreDemand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913000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116.86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OnlineRetail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1002800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226631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1.738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388.17</w:t>
            </w:r>
          </w:p>
        </w:tc>
      </w:tr>
    </w:tbl>
    <w:p/>
    <w:p>
      <w:pPr>
        <w:pStyle w:val="ListParagraph"/>
      </w:pPr>
      <w:r>
        <w:rPr>
          <w:b/>
        </w:rPr>
        <w:t>D1</w:t>
      </w:r>
      <w:r>
        <w:t>— DataCo Smart Supply Chain: 180,519 orders, 49 retained columns. Personally identifiable fields (customer name, e-mail, password, street, zip) were dropped at ingestion, and the record count is preserved because every business field used by the models is complete.</w:t>
      </w:r>
    </w:p>
    <w:p>
      <w:pPr>
        <w:pStyle w:val="ListParagraph"/>
      </w:pPr>
      <w:r>
        <w:rPr>
          <w:b/>
        </w:rPr>
        <w:t>D2</w:t>
      </w:r>
      <w:r>
        <w:t>— Store Item Demand Forecasting: 913,000 daily observations covering 500 store–item series over five years (2013-01-01 → 2017-12-31), no missing values and no duplicate date–store–item keys. This is the demand-forecasting workhorse of the project.</w:t>
      </w:r>
    </w:p>
    <w:p>
      <w:pPr>
        <w:pStyle w:val="ListParagraph"/>
      </w:pPr>
      <w:r>
        <w:rPr>
          <w:b/>
        </w:rPr>
        <w:t>D3</w:t>
      </w:r>
      <w:r>
        <w:t>— UCI Online Retail II: 1,067,371 raw transactions reduced to 1,002,800 completed sales lines across 4,899 SKUs and 43 countries after removing cancellations, non-positive quantities/prices and non-product stock codes.</w:t>
      </w:r>
    </w:p>
    <w:p>
      <w:pPr>
        <w:pStyle w:val="ListParagraph"/>
      </w:pPr>
      <w:r>
        <w:rPr>
          <w:b/>
        </w:rPr>
        <w:t>Integration</w:t>
      </w:r>
      <w:r>
        <w:t>— the three datasets are joined conceptually through the demand, inventory and logistics views: D2 supplies the demand signal and forecast target, D1 supplies the measured lead-time variability σ_L used by the safety-stock formula, and D3 supplies the high-cardinality SKU mix used for ABC/RFM segmentation. This is the concrete realisation of the 'unified framework' claimed at Review-I.</w:t>
      </w:r>
    </w:p>
    <w:p>
      <w:pPr>
        <w:pStyle w:val="Heading1"/>
      </w:pPr>
      <w:r>
        <w:t>5. Module M2 — Exploratory Data Analysis (12 techniques)</w:t>
      </w:r>
    </w:p>
    <w:p>
      <w:pPr>
        <w:pStyle w:val="BodyText"/>
      </w:pPr>
      <w:r>
        <w:rPr>
          <w:b/>
          <w:sz w:val="18"/>
        </w:rPr>
        <w:t>Table 5 — The 12 promised EDA techniques and the delivered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5"/>
              </w:rPr>
              <w:t>Technique (as promised)</w:t>
            </w:r>
          </w:p>
        </w:tc>
        <w:tc>
          <w:tcPr>
            <w:tcW w:type="dxa" w:w="5400"/>
          </w:tcPr>
          <w:p>
            <w:r>
              <w:rPr>
                <w:b/>
                <w:sz w:val="15"/>
              </w:rPr>
              <w:t>Outcome at Review-III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 Dataset overview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3 datasets profiled (Table 4)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2 Data-quality assessment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duplicates; 1.74 % cells missing (Online Retail only)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3 Descriptive statistics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full describe() table for 40+ numeric columns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4 Missing-value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DataCo post-clean has no nulls; Online Retail nulls are in Customer ID/Description only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5 Duplicate detection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exact duplicates in all three cleaned tables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6 Outlier detection (IQR)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IQR fences computed for 6 business variables (0.0–0.3 % outliers)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7 Distribution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daily-sales histogram + class balance of the delay target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8 Univariate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demand distribution is right-skewed, mean 18.4 units/store-item/day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9 Bivariate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weekend and holiday demand effects quantified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10 Multivariate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late-delivery rate heat-map by shipping mode × market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11 Correlation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correlation matrix of 10 key business variables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12 Feature engineering preview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57 features engineered (Section 6)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ABC / Pareto analysis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A-class = 21.2 % of SKUs → 80.0 % of revenue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STL seasonality decomposition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trend + seasonality strength both &gt; 0.9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+ RFM segmentation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Champions = 2,292 customers → 86.9 % of revenue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1769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univariate_bivariate_dema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 — Univariate/bivariate demand analysis: distribution of daily sales, aggregate demand trend 2013–2017 with a 30-day moving average, and mean demand by weekday.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238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stl_decompo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2 — STL decomposition of monthly aggregate demand: a sustained upward trend, a strong annual seasonal cycle and small residuals.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25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3 — Correlation analysis. Late-delivery risk correlates +0.40 with realised shipping days and −0.37 with scheduled shipping days; price and sales correlate +0.79.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330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abc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4 — ABC/Pareto analysis on Online Retail II: 21.2 % of SKUs generate 80.0 % of revenue.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862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multivariate_delay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5 — Multivariate view: late-delivery rate varies sharply across shipping mode × market.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69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rfm_segm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6 — RFM customer segmentation: Champions are 2,292 customers contributing 86.9 % of revenue.</w:t>
      </w:r>
    </w:p>
    <w:p/>
    <w:p>
      <w:pPr>
        <w:pStyle w:val="Heading1"/>
      </w:pPr>
      <w:r>
        <w:t>6. Module M2b — Preprocessing &amp; Feature Engineering</w:t>
      </w:r>
    </w:p>
    <w:p>
      <w:pPr>
        <w:pStyle w:val="BodyText"/>
      </w:pPr>
      <w:r>
        <w:rPr>
          <w:b/>
          <w:sz w:val="18"/>
        </w:rPr>
        <w:t>Table 6 — Feature groups (57 features for the tree/boosting models, 28 of them history-independent)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 group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day-of-week, month, day, day-of-year, ISO week, quarter, leap-year flag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Fourier seasonality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3 harmonics each for the weekly and yearly cycle (12 columns)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External signals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holiday calendar (New Year, 4 July, Thanksgiving, Christmas), December promotion window, weekend, month-start/end flags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 features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lags 1, 2, 3, 7, 14, 21, 28, 56 and 364 days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Rolling statistics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7/14/28/56-day mean, standard deviation, max and min of the shifted series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Trend / momentum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28-day exponentially weighted mean, 7:28 lag ratio, rolling trend, 28-day coefficient of variation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SKU descriptors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item mean volume, store scaling factor (history independent → cold-start safe)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DL sequence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28 consecutive daily lags as the LSTM input window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7 — Strongest features by absolute correlation with the target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Correlation with daily demand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lag_364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+0.932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ewm_28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+0.921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+0.914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lag_21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+0.913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roll_min_14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roll_max_28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+0.908</w:t>
            </w:r>
          </w:p>
        </w:tc>
      </w:tr>
    </w:tbl>
    <w:p/>
    <w:p>
      <w:pPr>
        <w:pStyle w:val="ListParagraph"/>
      </w:pPr>
      <w:r>
        <w:rPr>
          <w:b/>
        </w:rPr>
        <w:t>Ablation</w:t>
      </w:r>
      <w:r>
        <w:t>— removing the lag/rolling block and keeping only calendar + SKU descriptors raises MAPE from 13.14 % to 19.55 %, i.e. the engineered history features are worth a 32.8 % error reduction. This ablation directly evidences research gap G3.</w:t>
      </w:r>
    </w:p>
    <w:p>
      <w:r>
        <w:br w:type="page"/>
      </w:r>
    </w:p>
    <w:p>
      <w:pPr>
        <w:pStyle w:val="Heading1"/>
      </w:pPr>
      <w:r>
        <w:t>7. Module M3 — Multi-Horizon Demand Forecasting</w:t>
      </w:r>
    </w:p>
    <w:p>
      <w:pPr>
        <w:pStyle w:val="BodyText"/>
      </w:pPr>
      <w:r>
        <w:rPr>
          <w:b/>
        </w:rPr>
        <w:t xml:space="preserve">Evaluation protocol. </w:t>
      </w:r>
      <w:r>
        <w:t>Training window 2013-12-31 -&gt; 2017-06-30; validation window 2017-04-02 -&gt; 2017-06-30; held-out test window 2017-07-01 -&gt; 2017-12-31 (184 days × 500 series). The test window is never shuffled into training. Forecasts are produced by a recursive multi-step rollout in which each model feeds its own previous predictions back as the lag inputs — ground-truth values inside the test window are never used as inputs, so the reported accuracy reflects genuine 184-day-ahead deployment behaviour rather than optimistic one-step-ahead scoring.</w:t>
      </w:r>
    </w:p>
    <w:p>
      <w:pPr>
        <w:pStyle w:val="BodyText"/>
      </w:pPr>
      <w:r>
        <w:rPr>
          <w:b/>
          <w:sz w:val="18"/>
        </w:rPr>
        <w:t>Table 8 — Matched-subset comparison: every model is scored on the identical SKUs and dates (SARIMA is fitted on 12 representative series, the ML models are then restricted to those same rows)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MAE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RMSE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MAPE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sMAPE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WAPE %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R²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Bias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Ensemble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6.4587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8.3896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12.106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11.903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10.56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0.9278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1.593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6.6137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8.5684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12.119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10.813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0.9247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2.2881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7.5338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9.8498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13.193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13.589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12.318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0.9004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4.2322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7.1326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9.1161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14.765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13.345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11.662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0.9147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-3.1592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ColdStart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9.1889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11.8581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14.946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16.247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15.024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0.8557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7.9301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SARIMA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9.5739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13.0977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19.192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16.756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15.653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0.8239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-4.7053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12.7164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16.2558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20.625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23.692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20.791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0.7288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11.6313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SeasonalNaive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13.3003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17.7502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26.42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21.897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21.746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0.6767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-8.7577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9 — MAPE by forecast horizon (full 500-series grid; SARIMA shown on its matched subset)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7-day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30-day</w:t>
            </w:r>
          </w:p>
        </w:tc>
        <w:tc>
          <w:tcPr>
            <w:tcW w:type="dxa" w:w="2700"/>
          </w:tcPr>
          <w:p>
            <w:r>
              <w:rPr>
                <w:b/>
                <w:sz w:val="16"/>
              </w:rPr>
              <w:t>90-day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ColdStart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15.08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14.57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14.71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Ensemble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10.49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11.28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LSTM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11.68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12.84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16.99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LightGBM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10.49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10.6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11.31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10.72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10.73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12.99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SARIMA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10.55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12.01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12.66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SeasonalNaive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14.89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14.73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17.93</w:t>
            </w:r>
          </w:p>
        </w:tc>
      </w:tr>
      <w:tr>
        <w:tc>
          <w:tcPr>
            <w:tcW w:type="dxa" w:w="270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10.54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10.74</w:t>
            </w:r>
          </w:p>
        </w:tc>
        <w:tc>
          <w:tcPr>
            <w:tcW w:type="dxa" w:w="2700"/>
          </w:tcPr>
          <w:p>
            <w:r>
              <w:rPr>
                <w:sz w:val="16"/>
              </w:rPr>
              <w:t>11.87</w:t>
            </w:r>
          </w:p>
        </w:tc>
      </w:tr>
    </w:tbl>
    <w:p/>
    <w:p>
      <w:pPr>
        <w:pStyle w:val="ListParagraph"/>
      </w:pPr>
      <w:r>
        <w:rPr>
          <w:b/>
        </w:rPr>
        <w:t>Finding 1</w:t>
      </w:r>
      <w:r>
        <w:t>— the boosting models (LightGBM, XGBoost) and the LSTM cluster within a few tenths of a percentage point of each other, and the weighted ensemble tracks the best member: validation-MAPE-optimised weights {'RandomForest': 0.24, 'XGBoost': 0.31, 'LightGBM': 0.45, 'LSTM': 0.0}.</w:t>
      </w:r>
    </w:p>
    <w:p>
      <w:pPr>
        <w:pStyle w:val="ListParagraph"/>
      </w:pPr>
      <w:r>
        <w:rPr>
          <w:b/>
        </w:rPr>
        <w:t>Finding 2</w:t>
      </w:r>
      <w:r>
        <w:t>— the ML family reduces MAPE by 36.9 % versus SARIMA and by 54.2 % versus the seasonal-naive benchmark. The Review-I objective asked for ≥25 % improvement over the statistical baseline; the measured value clears it.</w:t>
      </w:r>
    </w:p>
    <w:p>
      <w:pPr>
        <w:pStyle w:val="ListParagraph"/>
      </w:pPr>
      <w:r>
        <w:rPr>
          <w:b/>
        </w:rPr>
        <w:t>Finding 3</w:t>
      </w:r>
      <w:r>
        <w:t>— the global LSTM (17,861 parameters, 38.9 s to train on CPU) reaches one-step hold-out MAPE 11.74 % with MAE 6.88 units — competitive with the gradient-boosting models at a fraction of the tuning effort, which validates the deep-learning branch of the proposed architecture.</w:t>
      </w:r>
    </w:p>
    <w:p>
      <w:pPr>
        <w:pStyle w:val="ListParagraph"/>
      </w:pPr>
      <w:r>
        <w:rPr>
          <w:b/>
        </w:rPr>
        <w:t>Finding 4</w:t>
      </w:r>
      <w:r>
        <w:t>— accuracy degrades gracefully with horizon: the error growth from 7-day to 184-day horizons is modest because the weekly/annual seasonal structure is captured by the Fourier terms and the long lag-364 feature.</w:t>
      </w:r>
    </w:p>
    <w:p>
      <w:r>
        <w:drawing>
          <wp:inline xmlns:a="http://schemas.openxmlformats.org/drawingml/2006/main" xmlns:pic="http://schemas.openxmlformats.org/drawingml/2006/picture">
            <wp:extent cx="5669280" cy="1893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model_comparison_ma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7 — MAPE by model and horizon. Boosting models and the LSTM lead; the statistical and naive baselines trail by a wide margin.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1074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forecast_vs_actu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8 — Recursive 184-day forecast versus actual demand for a representative store–item series.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183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_residual_diagnost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9 — Residual diagnostics of the ensemble: near-zero mean bias, homoscedastic scatter and no systematic drift across the test window.</w:t>
      </w:r>
    </w:p>
    <w:p/>
    <w:p>
      <w:pPr>
        <w:pStyle w:val="Heading1"/>
      </w:pPr>
      <w:r>
        <w:t>8. Module M5 — Delay-Risk &amp; Lead-Time Prediction</w:t>
      </w:r>
    </w:p>
    <w:p>
      <w:pPr>
        <w:pStyle w:val="BodyText"/>
      </w:pPr>
      <w:r>
        <w:rPr>
          <w:b/>
          <w:sz w:val="18"/>
        </w:rPr>
        <w:t>Table 10 — Delay-risk classifiers on a temporal hold-out (36,104 unseen orders)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ROC-AUC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PR-AUC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TN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FN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TP</w:t>
            </w:r>
          </w:p>
        </w:tc>
        <w:tc>
          <w:tcPr>
            <w:tcW w:type="dxa" w:w="900"/>
          </w:tcPr>
          <w:p>
            <w:r>
              <w:rPr>
                <w:b/>
                <w:sz w:val="16"/>
              </w:rPr>
              <w:t>fit_sec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0.7168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0.8478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0.5874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0.694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0.7692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0.8332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14290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2081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8142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11591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100.1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0.7018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0.8618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0.5411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0.6648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0.7641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0.8295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14659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1712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9055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10678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12.8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0.6927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0.8419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0.539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0.6572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0.7433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0.8131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14373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1998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9097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10636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2.2</w:t>
            </w:r>
          </w:p>
        </w:tc>
      </w:tr>
    </w:tbl>
    <w:p/>
    <w:p>
      <w:pPr>
        <w:pStyle w:val="ListParagraph"/>
      </w:pPr>
      <w:r>
        <w:rPr>
          <w:b/>
        </w:rPr>
        <w:t>Finding 5</w:t>
      </w:r>
      <w:r>
        <w:t>— the best model is RandomForest with F1 0.722 at the F1-optimal decision threshold 0.30. Because the cost of a missed late delivery is asymmetric, the tuned threshold is reported instead of a naive 0.50 cut-off.</w:t>
      </w:r>
    </w:p>
    <w:p>
      <w:pPr>
        <w:pStyle w:val="ListParagraph"/>
      </w:pPr>
      <w:r>
        <w:rPr>
          <w:b/>
        </w:rPr>
        <w:t>Finding 6</w:t>
      </w:r>
      <w:r>
        <w:t>— realised shipping days are predicted with MAE 0.96 days (R² 0.390). The residual standard deviation σ_L = 1.27 days is not a textbook constant — it is measured on this company's own logistics history and is consumed directly by the safety-stock formula in Section 9.</w:t>
      </w:r>
    </w:p>
    <w:p>
      <w:pPr>
        <w:pStyle w:val="ListParagraph"/>
      </w:pPr>
      <w:r>
        <w:rPr>
          <w:b/>
        </w:rPr>
        <w:t>Method note</w:t>
      </w:r>
      <w:r>
        <w:t>— leakage control: 'Delivery Status', 'Days for shipping (real)', 'shipping_delay', 'Order Status' are excluded from the feature set because they are only known after delivery. Only information available at order-entry time is used.</w:t>
      </w:r>
    </w:p>
    <w:p>
      <w:r>
        <w:drawing>
          <wp:inline xmlns:a="http://schemas.openxmlformats.org/drawingml/2006/main" xmlns:pic="http://schemas.openxmlformats.org/drawingml/2006/picture">
            <wp:extent cx="5669280" cy="21218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_delay_risk_mode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10 — Delay-risk classifier comparison, confusion matrix at the tuned threshold, and threshold tuning curves.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079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_delay_risk_feature_impor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11 — What drives late deliveries: scheduled shipment duration dominates, followed by shipping mode and geography.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916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_risk_roc_pr_curv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12 — ROC and precision–recall curves for the three classifiers.</w:t>
      </w:r>
    </w:p>
    <w:p/>
    <w:p>
      <w:r>
        <w:br w:type="page"/>
      </w:r>
    </w:p>
    <w:p>
      <w:pPr>
        <w:pStyle w:val="Heading1"/>
      </w:pPr>
      <w:r>
        <w:t>9. Module M4 - Forecast-to-Prescription Inventory Optimization</w:t>
      </w:r>
    </w:p>
    <w:p>
      <w:pPr>
        <w:pStyle w:val="BodyText"/>
      </w:pPr>
      <w:r>
        <w:rPr>
          <w:b/>
        </w:rPr>
        <w:t xml:space="preserve">Why this module needed a controlled experiment. </w:t>
      </w:r>
      <w:r>
        <w:t>A first implementation compared an ML policy that included a lead-time risk term against a traditional policy that did not, and appeared to cut holding cost. That comparison was measuring the formula, not the forecast. The module was therefore rebuilt as a three-question experiment in which every comparison is made at an equal service level and both policies face identical demand and identical lead-time draws (common random numbers).</w:t>
      </w:r>
    </w:p>
    <w:p>
      <w:pPr>
        <w:pStyle w:val="BodyText"/>
      </w:pPr>
      <w:r>
        <w:rPr>
          <w:b/>
          <w:sz w:val="18"/>
        </w:rPr>
        <w:t>Table 11 — The three policies simulated over the 184-day test window (500 SKUs, identical demand and lead-time draws)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r>
              <w:rPr>
                <w:b/>
                <w:sz w:val="15"/>
              </w:rPr>
              <w:t>Policy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holding_cost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ordering_cost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stockout_cost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total_cost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orders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stockout_units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fill_rate_pct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avg_inventory_units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inventory_turns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demand_units</w:t>
            </w:r>
          </w:p>
        </w:tc>
        <w:tc>
          <w:tcPr>
            <w:tcW w:type="dxa" w:w="900"/>
          </w:tcPr>
          <w:p>
            <w:r>
              <w:rPr>
                <w:b/>
                <w:sz w:val="15"/>
              </w:rPr>
              <w:t>z_used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Traditional static policy (mu_hist, demand variability only)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374565.31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324650.0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615936.7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1315152.01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6493.0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146651.6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97.404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619.19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18095.3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Static control (same risk-aware formula, historical averages)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399697.19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326600.0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579196.83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1305494.02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6532.0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137904.0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97.558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660.73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16957.52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  <w:tr>
        <w:tc>
          <w:tcPr>
            <w:tcW w:type="dxa" w:w="900"/>
          </w:tcPr>
          <w:p>
            <w:r>
              <w:rPr>
                <w:sz w:val="15"/>
              </w:rPr>
              <w:t>Proposed ML-driven policy (forecast + measured sigma_L, as designed)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462258.27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303000.0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531156.97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1296415.24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6060.0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764.15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14662.52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5648226.0</w:t>
            </w:r>
          </w:p>
        </w:tc>
        <w:tc>
          <w:tcPr>
            <w:tcW w:type="dxa" w:w="900"/>
          </w:tcPr>
          <w:p>
            <w:r>
              <w:rPr>
                <w:sz w:val="15"/>
              </w:rPr>
              <w:t>1.645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12 — Controlled experiments on the value of the forecast and of lead-time risk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Experiment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Setup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E1 - isolates the forecast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Both policies use the identical demand-variability formula; only the input differs (ML forecast vs historical average)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holding -1.95%, stock-outs +3.50%, total cost +3.07% (service-matched)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E2 - the as-designed policy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Forecast + measured lead-time variability vs traditional practice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holding -0.59%, stock-outs +0.64%, total cost +2.12% (service-matched)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E3 - lead-time disruption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Lead times drawn at 3x the measured variability (sigma_L = 3.80 days); design z = 1.645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fill rate 95.14% -&gt; 96.36%, stock-outs down 25.0%, total cost down 13.5%</w:t>
            </w:r>
          </w:p>
        </w:tc>
      </w:tr>
    </w:tbl>
    <w:p/>
    <w:p>
      <w:pPr>
        <w:pStyle w:val="ListParagraph"/>
      </w:pPr>
      <w:r>
        <w:rPr>
          <w:b/>
        </w:rPr>
        <w:t>Finding 7</w:t>
      </w:r>
      <w:r>
        <w:t>- at an equal service level the forecast alone cuts total cost by 3.07% and stock-outs by 3.50%. This is the honest, isolated value of better demand prediction: real, but modest.</w:t>
      </w:r>
    </w:p>
    <w:p>
      <w:pPr>
        <w:pStyle w:val="ListParagraph"/>
      </w:pPr>
      <w:r>
        <w:rPr>
          <w:b/>
        </w:rPr>
        <w:t>Finding 8 - an honest negative result</w:t>
      </w:r>
      <w:r>
        <w:t>- holding cost does not fall. It rises by 0.59% at the matched operating point, because a sharper demand signal raises peak-period reorder points; the saving appears in the stock-out and ordering-cost columns instead. The Review-I target of a 15-20% holding-cost reduction is therefore NOT met, and the simulation shows why: in this demand regime the cycle-stock component of EOQ dominates the safety-stock component, so a better forecast cannot move holding cost by that margin.</w:t>
      </w:r>
    </w:p>
    <w:p>
      <w:pPr>
        <w:pStyle w:val="ListParagraph"/>
      </w:pPr>
      <w:r>
        <w:rPr>
          <w:b/>
        </w:rPr>
        <w:t>Finding 9 - the real value proposition</w:t>
      </w:r>
      <w:r>
        <w:t>- the strongest and most defensible benefit comes from the lead-time risk term. When lead times are disrupted (3.8 days of variability), the traditional policy's fill rate collapses to 95.14% while the proposed policy holds 96.36%, reducing stock-outs by 25.0% and total cost by 13.5%. This is where the cross-dataset coupling pays off: sigma_L is measured on DataCo's own logistics history, not assumed.</w:t>
      </w:r>
    </w:p>
    <w:p>
      <w:pPr>
        <w:pStyle w:val="BodyText"/>
      </w:pPr>
      <w:r>
        <w:rPr>
          <w:b/>
          <w:sz w:val="18"/>
        </w:rPr>
        <w:t>Table 13 — Where the effect lands, by ABC class (service-matched comparison)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6"/>
              </w:rPr>
              <w:t>ABC class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SKUs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Traditional holding cost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Proposed holding cost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Traditional stock-outs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Proposed stock-outs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Demand (units)</w:t>
            </w:r>
          </w:p>
        </w:tc>
        <w:tc>
          <w:tcPr>
            <w:tcW w:type="dxa" w:w="1350"/>
          </w:tcPr>
          <w:p>
            <w:r>
              <w:rPr>
                <w:b/>
                <w:sz w:val="16"/>
              </w:rPr>
              <w:t>Holding change %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311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277729.87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277682.55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117546.5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116969.0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4511257.0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69190.6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70630.76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21913.3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21618.7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852796.0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-2.08</w:t>
            </w:r>
          </w:p>
        </w:tc>
      </w:tr>
      <w:tr>
        <w:tc>
          <w:tcPr>
            <w:tcW w:type="dxa" w:w="135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27644.84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28448.98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7191.8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7130.2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284173.0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  <w:t>-2.91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14 — Service-level sweep of the proposed policy: fill rate and cost as the safety factor z varies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b/>
                <w:sz w:val="16"/>
              </w:rPr>
              <w:t>z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holding_cost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stockout_units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fill_rate_pct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total_cost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avg_inventory_units</w:t>
            </w:r>
          </w:p>
        </w:tc>
        <w:tc>
          <w:tcPr>
            <w:tcW w:type="dxa" w:w="1543"/>
          </w:tcPr>
          <w:p>
            <w:r>
              <w:rPr>
                <w:b/>
                <w:sz w:val="16"/>
              </w:rPr>
              <w:t>orders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-0.5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378454.95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145149.0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97.43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1286680.67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625.62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5972.0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394299.91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137082.1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97.573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1269544.61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651.81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5990.0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403514.74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133058.2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97.644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1262459.33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667.04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6002.0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413342.35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130788.7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97.684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1263204.95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683.29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6011.0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427857.25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129021.4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97.716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1271047.09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707.28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6026.0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434504.95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128452.7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97.726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1275556.49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718.27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6031.0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1.28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446266.73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127046.0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97.751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1282009.76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737.71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6043.0</w:t>
            </w:r>
          </w:p>
        </w:tc>
      </w:tr>
      <w:tr>
        <w:tc>
          <w:tcPr>
            <w:tcW w:type="dxa" w:w="1543"/>
          </w:tcPr>
          <w:p>
            <w:r>
              <w:rPr>
                <w:sz w:val="16"/>
              </w:rPr>
              <w:t>1.645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462258.27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126465.9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97.761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1296415.24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764.15</w:t>
            </w:r>
          </w:p>
        </w:tc>
        <w:tc>
          <w:tcPr>
            <w:tcW w:type="dxa" w:w="1543"/>
          </w:tcPr>
          <w:p>
            <w:r>
              <w:rPr>
                <w:sz w:val="16"/>
              </w:rPr>
              <w:t>6060.0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15 — Sensitivity of the design operating point to forecast accuracy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sigma scale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Holding cost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Stock-outs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Fill rate %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Total cost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Holding vs traditional %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Cost vs traditional %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current model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462258.27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1296415.24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-23.41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1.42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15%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461655.07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1295712.05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-23.25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1.48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30%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460930.35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126465.9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1294937.32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-23.06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1.54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45% lower forecast error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0.55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460503.51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126463.6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97.761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1294450.58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-22.94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1.57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16 — Decision-support output: per-SKU replenishment parameters and reorder alerts (first 10 of 500 SKUs)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  <w:sz w:val="15"/>
              </w:rPr>
              <w:t>SKU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mean/day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Safety stock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ROP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EOQ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Cover (d)</w:t>
            </w:r>
          </w:p>
        </w:tc>
        <w:tc>
          <w:tcPr>
            <w:tcW w:type="dxa" w:w="1350"/>
          </w:tcPr>
          <w:p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122.5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259.4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1116.9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1364.9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122.97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260.2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1121.0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1367.6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119.67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254.7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1092.4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1349.1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119.31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254.1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1089.2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1347.0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118.38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251.8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1080.4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1341.8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S08-I15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120.7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255.6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1100.5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1354.9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S02-I38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114.28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1043.6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1318.3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S02-I45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114.81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244.7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1048.3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1321.4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S08-I13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115.81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246.4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1057.1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1327.1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9.13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HOLD</w:t>
            </w:r>
          </w:p>
        </w:tc>
      </w:tr>
      <w:tr>
        <w:tc>
          <w:tcPr>
            <w:tcW w:type="dxa" w:w="1350"/>
          </w:tcPr>
          <w:p>
            <w:r>
              <w:rPr>
                <w:sz w:val="15"/>
              </w:rPr>
              <w:t>S02-I22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113.27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240.7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1033.6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1312.5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9.12</w:t>
            </w:r>
          </w:p>
        </w:tc>
        <w:tc>
          <w:tcPr>
            <w:tcW w:type="dxa" w:w="1350"/>
          </w:tcPr>
          <w:p>
            <w:r>
              <w:rPr>
                <w:sz w:val="15"/>
              </w:rPr>
              <w:t>REORDER SOON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32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inventory_polici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13 - Aggregate inventory position under the traditional, as-designed and service-matched policies.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989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policy_cost_impa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14 - Cost and service impact across the three operating points.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8997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abc_benef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15 - Holding-cost effect by ABC class (service-matched comparison).</w:t>
      </w:r>
    </w:p>
    <w:p/>
    <w:p>
      <w:pPr>
        <w:pStyle w:val="Heading1"/>
      </w:pPr>
      <w:r>
        <w:t>10. Module M6 — Explainable AI (SHAP + What-If)</w:t>
      </w:r>
    </w:p>
    <w:p>
      <w:pPr>
        <w:pStyle w:val="BodyText"/>
      </w:pPr>
      <w:r>
        <w:rPr>
          <w:b/>
          <w:sz w:val="18"/>
        </w:rPr>
        <w:t>Table 17 — Global attribution of the demand-forecasting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Mean |SHAP| (units/day)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lag_364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6.465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5.666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roll_mean_14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4.192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dow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2.773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lag_7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2.284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roll_mean_56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1.443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roll_mean_28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1.297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item_mean_all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1.279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year_sin_1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0.811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year_cos_1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0.788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store_factor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0.717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week_sin_1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0.678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18 — Global attribution of the delay-risk classifier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Mean |SHAP| (log-odds)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Days for shipment (scheduled)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0.7459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Mode_First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0.5358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Type_TRANSFER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0.3609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order_hour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0.2009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Mode_Standard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0.1589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0.1007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Shipping Mode_Second Class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0.0889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0.0805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Type_DEBIT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0.0532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Type_PAYMENT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0.0463</w:t>
            </w:r>
          </w:p>
        </w:tc>
      </w:tr>
    </w:tbl>
    <w:p/>
    <w:p>
      <w:pPr>
        <w:pStyle w:val="BodyText"/>
      </w:pPr>
      <w:r>
        <w:rPr>
          <w:b/>
          <w:sz w:val="18"/>
        </w:rPr>
        <w:t>Table 19 — What-if simulator: how the demand forecast reacts to planner levers (300 sampled SKU-days)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What-if scenario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Mean forecast (units)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Δ units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Δ %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% SKUs revised up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promotion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holiday 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53.86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0.053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47.3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demand shock +25%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60.106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6.275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11.656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demand drop -20%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47.809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-6.022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-11.186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pStyle w:val="ListParagraph"/>
      </w:pPr>
      <w:r>
        <w:rPr>
          <w:b/>
        </w:rPr>
        <w:t>Finding 9</w:t>
      </w:r>
      <w:r>
        <w:t>— attributions are consistent with supply-chain first principles rather than artefacts of the model: recent and same-weekday history dominate the demand forecast, while scheduled shipment duration and shipping mode dominate delivery risk. This is what makes the output defensible in front of a planner (research gap G4).</w:t>
      </w:r>
    </w:p>
    <w:p>
      <w:r>
        <w:drawing>
          <wp:inline xmlns:a="http://schemas.openxmlformats.org/drawingml/2006/main" xmlns:pic="http://schemas.openxmlformats.org/drawingml/2006/picture">
            <wp:extent cx="5669280" cy="46835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shap_forecast_beeswa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16 — SHAP beeswarm for the demand-forecasting model (top features).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4528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_whatif_simul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17 — What-if simulator: forecast sensitivity to promotion, holiday and demand-shock scenarios.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3334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_shap_risk_loc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sz w:val="16"/>
        </w:rPr>
        <w:t>Figure 18 — Local explanations: the exact features that pushed two individual orders to opposite ends of the risk scale.</w:t>
      </w:r>
    </w:p>
    <w:p/>
    <w:p>
      <w:pPr>
        <w:pStyle w:val="Heading1"/>
      </w:pPr>
      <w:r>
        <w:t>11. Module M7 — Interactive Dashboard</w:t>
      </w:r>
    </w:p>
    <w:p>
      <w:pPr>
        <w:pStyle w:val="BodyText"/>
      </w:pPr>
      <w:r>
        <w:rPr>
          <w:b/>
          <w:sz w:val="18"/>
        </w:rPr>
        <w:t>Table 20 — Dashboard modules delivered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Tab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What it shows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Executive overview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integrated dataset KPIs, pipeline diagram, cross-dataset evidence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Demand forecast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SKU and horizon selector, forecast-vs-actual chart, per-SKU scoreboard, model comparison tables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 optimization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policy comparison, holding-cost/stock-out impact, filterable reorder recommendations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Supply-chain risk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classifier scoreboard, lead-time model, and a live order risk calculator driven by the trained model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SHAP global and local attributions, what-if simulator</w:t>
            </w:r>
          </w:p>
        </w:tc>
      </w:tr>
    </w:tbl>
    <w:p/>
    <w:p>
      <w:pPr>
        <w:pStyle w:val="BodyText"/>
      </w:pPr>
      <w:r>
        <w:rPr>
          <w:sz w:val="18"/>
        </w:rPr>
        <w:t>The dashboard reads only the artefacts produced by the pipeline, so it can be launched in one command (</w:t>
      </w:r>
      <w:r>
        <w:rPr>
          <w:b/>
          <w:sz w:val="18"/>
        </w:rPr>
        <w:t>streamlit run dashboard/app.py</w:t>
      </w:r>
      <w:r>
        <w:rPr>
          <w:sz w:val="18"/>
        </w:rPr>
        <w:t>) and always reflects the current, regenerated results.</w:t>
      </w:r>
    </w:p>
    <w:p>
      <w:r>
        <w:br w:type="page"/>
      </w:r>
    </w:p>
    <w:p>
      <w:pPr>
        <w:pStyle w:val="Heading1"/>
      </w:pPr>
      <w:r>
        <w:t>12. Objectives vs. Achieved Results</w:t>
      </w:r>
    </w:p>
    <w:p>
      <w:pPr>
        <w:pStyle w:val="BodyText"/>
      </w:pPr>
      <w:r>
        <w:rPr>
          <w:b/>
          <w:sz w:val="18"/>
        </w:rPr>
        <w:t>Table 21 — Objective-by-objective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Objective (declared at Review-I)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Measured at Review-III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Verdict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O1 Demand forecasting - MAPE &lt; 12%, at least 25% better than ARIMA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MAPE 12.11% (best model, matched subset), 36.9% better than SARIMA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O2 Inventory optimization - holding cost down 15-20%, stock-outs down 25%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At equal service level: total cost +2.12%, holding -0.59%, stock-outs +0.64%. Under a lead-time disruption: stock-outs +25.0%, cost +13.5%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PARTIALLY ACHIEVED - forecast and risk-value claims hold, absolute holding-cost reduction does not (Section 9 and 13)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O3 Lead-time &amp; delay prediction - F1 at least 0.85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F1 0.722 at the tuned threshold 0.30, ROC-AUC 0.769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PARTIALLY ACHIEVED - 0.722 vs the 0.85 target; cause diagnosed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O4 Explainable interactive dashboard - under 2 s latency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5-tab dashboard delivered; all static figures and tables render instantly, live inference runs on CPU within the interactive budget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O5 Evaluation &amp; benchmarking - at least 2 datasets, cross-validation, ablation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3 datasets integrated; temporal hold-out; 90-day validation window; lag-feature ablation; matched-subset model comparison; service-matched policy comparison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O6 Scalability &amp; deployment - reproducible, documented pipeline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One-command pipeline (src/run_pipeline.py), fixed seeds, auto-generated report, figures, tables and dashboard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ACHIEVED</w:t>
            </w:r>
          </w:p>
        </w:tc>
      </w:tr>
    </w:tbl>
    <w:p/>
    <w:p>
      <w:pPr>
        <w:pStyle w:val="Heading1"/>
      </w:pPr>
      <w:r>
        <w:t>13. Discussion, Limitations &amp; Deviations from the Plan</w:t>
      </w:r>
    </w:p>
    <w:p>
      <w:pPr>
        <w:pStyle w:val="ListParagraph"/>
      </w:pPr>
      <w:r>
        <w:rPr>
          <w:b/>
        </w:rPr>
        <w:t>Deviation 1 - TFT</w:t>
      </w:r>
      <w:r>
        <w:t>- the Temporal Fusion Transformer is not yet trained. The Review-I plan placed TFT in the advanced-model phase; at Review-III a global LSTM is implemented, benchmarked and explained, and TFT is the single outstanding model. It is scheduled for the next review rather than claimed here.</w:t>
      </w:r>
    </w:p>
    <w:p>
      <w:pPr>
        <w:pStyle w:val="ListParagraph"/>
      </w:pPr>
      <w:r>
        <w:rPr>
          <w:b/>
        </w:rPr>
        <w:t>Deviation 2 - risk F1</w:t>
      </w:r>
      <w:r>
        <w:t>- the delay-risk F1 target of 0.85 is not met: the temporal hold-out yields 0.722. The diagnosis is concrete. The review-I target implicitly assumed a random split; a temporal split places the most recent and most disrupted quarter in the test set, and the strongest predictor (scheduled shipment duration) is itself noisy. Remedies are planned: richer supplier-level history, cost-sensitive learning, and calibration.</w:t>
      </w:r>
    </w:p>
    <w:p>
      <w:pPr>
        <w:pStyle w:val="ListParagraph"/>
      </w:pPr>
      <w:r>
        <w:rPr>
          <w:b/>
        </w:rPr>
        <w:t>Deviation 3 - holding-cost target (honest negative result)</w:t>
      </w:r>
      <w:r>
        <w:t>- the 15-20% holding-cost reduction promised at Review-I is NOT achieved. At an equal service level the service-matched comparison shows holding cost changing by -0.59% and total cost by +2.12%. This is reported as measured. The simulation indicates the promise was arithmetically optimistic for this demand regime: safety stock is a small fraction of cycle stock, so forecast quality has limited leverage on holding cost, while it has strong leverage on stock-outs and on resilience under disruption.</w:t>
      </w:r>
    </w:p>
    <w:p>
      <w:pPr>
        <w:pStyle w:val="ListParagraph"/>
      </w:pPr>
      <w:r>
        <w:rPr>
          <w:b/>
        </w:rPr>
        <w:t>Limitation 1 - synthetic external signal</w:t>
      </w:r>
      <w:r>
        <w:t>- the Store Item Demand dataset carries no price, promotion or weather columns. The promotion flag is therefore a documented synthetic proxy (December festive window), and the what-if study confirms it: forcing the promotion flag on changes the forecast by 0.0%, i.e. the model correctly ignores a signal that is not present in the data. D1 supplies genuine operational signals and D3 supplies genuine price behaviour, which is why all three datasets are used together.</w:t>
      </w:r>
    </w:p>
    <w:p>
      <w:pPr>
        <w:pStyle w:val="ListParagraph"/>
      </w:pPr>
      <w:r>
        <w:rPr>
          <w:b/>
        </w:rPr>
        <w:t>Limitation 2</w:t>
      </w:r>
      <w:r>
        <w:t>- the inventory simulation uses one set of cost parameters across all SKUs (order cost 50, 20% annual holding rate, unit cost 12, 35% lost margin per unmet unit) and approximates lead time as normal. Real deployments would calibrate per SKU family and use empirical or stochastic lead-time distributions.</w:t>
      </w:r>
    </w:p>
    <w:p>
      <w:pPr>
        <w:pStyle w:val="ListParagraph"/>
      </w:pPr>
      <w:r>
        <w:rPr>
          <w:b/>
        </w:rPr>
        <w:t>Limitation 3</w:t>
      </w:r>
      <w:r>
        <w:t>- SARIMA is fitted on 12 representative series rather than all 500 for tractability. Every model is therefore re-scored on that identical matched subset before any comparison is drawn.</w:t>
      </w:r>
    </w:p>
    <w:p>
      <w:pPr>
        <w:pStyle w:val="ListParagraph"/>
      </w:pPr>
      <w:r>
        <w:rPr>
          <w:b/>
        </w:rPr>
        <w:t>Limitation 4</w:t>
      </w:r>
      <w:r>
        <w:t>- the demand forecast is evaluated on a 2013-2017 US retail panel; the delay-risk model on 2015-2018 order data. Both are historical; neither is evidence of live production performance.</w:t>
      </w:r>
    </w:p>
    <w:p>
      <w:pPr>
        <w:pStyle w:val="ListParagraph"/>
      </w:pPr>
      <w:r>
        <w:rPr>
          <w:b/>
        </w:rPr>
        <w:t>Limitation 5</w:t>
      </w:r>
      <w:r>
        <w:t>- model retraining cadence, drift monitoring, alerting and human-in-the-loop override workflows are designed but not implemented. They belong to the deployment phase.</w:t>
      </w:r>
    </w:p>
    <w:p>
      <w:pPr>
        <w:pStyle w:val="ListParagraph"/>
      </w:pPr>
      <w:r>
        <w:rPr>
          <w:b/>
        </w:rPr>
        <w:t>Limitation 6 - ensemble value</w:t>
      </w:r>
      <w:r>
        <w:t>- the ensemble does not beat its best member (LightGBM) on the matched subset: 0.03% difference. Weight optimisation on the validation window gives LightGBM 45% of the weight but the members are highly correlated, so diversification adds nothing. The ensemble is retained for robustness under regime change rather than for accuracy on this panel.</w:t>
      </w:r>
    </w:p>
    <w:p>
      <w:pPr>
        <w:pStyle w:val="Heading1"/>
      </w:pPr>
      <w:r>
        <w:t>14. Plan for the Next Review</w:t>
      </w:r>
    </w:p>
    <w:p>
      <w:pPr>
        <w:pStyle w:val="BodyText"/>
      </w:pPr>
      <w:r>
        <w:rPr>
          <w:b/>
          <w:sz w:val="18"/>
        </w:rPr>
        <w:t>Table 22 — Next-phase work packages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Deliverable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TFT implementation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Train the Temporal Fusion Transformer (pytorch-forecasting) and add it to the ensemble with attention-based interpretability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Risk model strengthening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Add supplier-level history and cost-sensitive learning; target F1 ≥ 0.85 on the temporal hold-out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Cost calibration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Per-SKU-family cost parameters; stochastic lead-time distributions instead of a normal approximation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Dockerfile, FastAPI /forecast + /recommend + /explain endpoints, role-based dashboard views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Diebold–Mariano significance tests across models; rolling-origin evaluation; drift study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Dissemination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Conference paper draft and a recorded end-to-end demonstration</w:t>
            </w:r>
          </w:p>
        </w:tc>
      </w:tr>
    </w:tbl>
    <w:p/>
    <w:p>
      <w:pPr>
        <w:pStyle w:val="Heading1"/>
      </w:pPr>
      <w:r>
        <w:t>15. Reproducibility Instructions</w:t>
      </w:r>
    </w:p>
    <w:p>
      <w:pPr>
        <w:pStyle w:val="BodyText"/>
      </w:pPr>
      <w:r>
        <w:rPr>
          <w:b/>
          <w:sz w:val="18"/>
        </w:rPr>
        <w:t>Table 23 — Reproduction commands (every step is deterministic; seeds are fixed in src/config.py)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5400"/>
          </w:tcPr>
          <w:p>
            <w:r>
              <w:rPr>
                <w:b/>
                <w:sz w:val="16"/>
              </w:rPr>
              <w:t>Command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-m venv venv &amp;&amp; pip install -r requirements.txt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src/fetch_data.py    # downloads all three public datasets (~210 MB)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Clean + integrate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src/data_ingest.py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Feature engineering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src/features.py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EDA (12 techniques)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src/eda.py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Forecasting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src/models_forecast.py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Risk models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src/models_risk.py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Inventory optimization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src/optimization.py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src/explain.py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streamlit run dashboard/app.py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Everything, in order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src/run_pipeline.py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This report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python src/generate_report.py</w:t>
            </w:r>
          </w:p>
        </w:tc>
      </w:tr>
    </w:tbl>
    <w:p/>
    <w:p>
      <w:pPr>
        <w:pStyle w:val="Heading1"/>
      </w:pPr>
      <w:r>
        <w:t>16. References</w:t>
      </w:r>
    </w:p>
    <w:p>
      <w:pPr>
        <w:pStyle w:val="BodyText"/>
      </w:pPr>
      <w:r>
        <w:t xml:space="preserve">The 12-paper literature survey, the research-gap register (G1–G7) and the full IEEE-format reference list established at Review-I remain unchanged and are incorporated here by reference; the authoritative copy is </w:t>
      </w:r>
      <w:r>
        <w:rPr>
          <w:b/>
        </w:rPr>
        <w:t>docs/team 15 review.docx</w:t>
      </w:r>
      <w:r>
        <w:t xml:space="preserve"> (Review-I submission). The datasets used in this review are cited below.</w:t>
      </w:r>
    </w:p>
    <w:p>
      <w:pPr>
        <w:pStyle w:val="BodyText"/>
      </w:pPr>
      <w:r>
        <w:rPr>
          <w:b/>
          <w:sz w:val="18"/>
        </w:rPr>
        <w:t>Table 24 — Benchmark datasets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6"/>
              </w:rPr>
              <w:t>Ref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DataCo Smart Supply Chain for Big Data Analysis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Kaggle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Store Item Demand Forecasting (demand-forecasting-kernels-only)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Kaggle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D3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UCI Online Retail II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UCI Machine Learning Repository, ID 502</w:t>
            </w:r>
          </w:p>
        </w:tc>
      </w:tr>
    </w:tbl>
    <w:p/>
    <w:p>
      <w:pPr>
        <w:pStyle w:val="BodyText"/>
      </w:pPr>
      <w:r>
        <w:t>— End of Review-III Document —</w:t>
      </w:r>
    </w:p>
    <w:p>
      <w:pPr>
        <w:pStyle w:val="BodyText"/>
      </w:pPr>
      <w:r>
        <w:t>Prepared for Project Review-III Assessment | KLH University, Bachupally | Department of CSE | Academic year 2026–2027</w:t>
      </w:r>
    </w:p>
    <w:sectPr w:rsidR="003D723B">
      <w:pgSz w:w="12240" w:h="15840"/>
      <w:pgMar w:top="780" w:right="720" w:bottom="620" w:left="720" w:header="455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67E3" w14:textId="77777777" w:rsidR="00BB54DC" w:rsidRDefault="00BB54DC">
      <w:r>
        <w:separator/>
      </w:r>
    </w:p>
  </w:endnote>
  <w:endnote w:type="continuationSeparator" w:id="0">
    <w:p w14:paraId="752C6121" w14:textId="77777777" w:rsidR="00BB54DC" w:rsidRDefault="00BB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3535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1344" behindDoc="1" locked="0" layoutInCell="1" allowOverlap="1" wp14:anchorId="56165133" wp14:editId="3135EAF5">
              <wp:simplePos x="0" y="0"/>
              <wp:positionH relativeFrom="page">
                <wp:posOffset>1969770</wp:posOffset>
              </wp:positionH>
              <wp:positionV relativeFrom="page">
                <wp:posOffset>9649129</wp:posOffset>
              </wp:positionV>
              <wp:extent cx="3832225" cy="1352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222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B70DA" w14:textId="77777777" w:rsidR="003D723B" w:rsidRDefault="00AD55AF">
                          <w:pPr>
                            <w:spacing w:before="15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Department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of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Science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Engineering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•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Review-I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Assessment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55.1pt;margin-top:759.75pt;width:301.75pt;height:10.6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5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Department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of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Computer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Science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Engineering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•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Review-I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Assessment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spacing w:val="-2"/>
                        <w:w w:val="115"/>
                        <w:sz w:val="15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65FD" w14:textId="77777777" w:rsidR="00BB54DC" w:rsidRDefault="00BB54DC">
      <w:r>
        <w:separator/>
      </w:r>
    </w:p>
  </w:footnote>
  <w:footnote w:type="continuationSeparator" w:id="0">
    <w:p w14:paraId="5A0A4FB5" w14:textId="77777777" w:rsidR="00BB54DC" w:rsidRDefault="00BB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4A4A" w14:textId="77777777"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0832" behindDoc="1" locked="0" layoutInCell="1" allowOverlap="1" wp14:anchorId="1DFD747D" wp14:editId="1F6A8FAB">
              <wp:simplePos x="0" y="0"/>
              <wp:positionH relativeFrom="page">
                <wp:posOffset>674369</wp:posOffset>
              </wp:positionH>
              <wp:positionV relativeFrom="page">
                <wp:posOffset>275936</wp:posOffset>
              </wp:positionV>
              <wp:extent cx="5419090" cy="234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90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AB2E8" w14:textId="77777777" w:rsidR="003D723B" w:rsidRDefault="00AD55AF">
                          <w:pPr>
                            <w:spacing w:before="18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MACHINE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LEARNING-BASED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PREDICTIVE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ANALYTICS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FOR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SUPPLY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CHAIN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OPTIMIZATION</w:t>
                          </w:r>
                          <w:r>
                            <w:rPr>
                              <w:b/>
                              <w:color w:val="666666"/>
                              <w:spacing w:val="74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•</w:t>
                          </w:r>
                          <w:r>
                            <w:rPr>
                              <w:b/>
                              <w:color w:val="666666"/>
                              <w:spacing w:val="73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REVIEW</w:t>
                          </w:r>
                          <w:r>
                            <w:rPr>
                              <w:b/>
                              <w:color w:val="666666"/>
                              <w:spacing w:val="1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-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10"/>
                              <w:w w:val="125"/>
                              <w:sz w:val="14"/>
                            </w:rPr>
                            <w:t>III</w:t>
                          </w:r>
                        </w:p>
                        <w:p w14:paraId="2CCE389D" w14:textId="77777777" w:rsidR="003D723B" w:rsidRDefault="00AD55AF">
                          <w:pPr>
                            <w:spacing w:before="1"/>
                            <w:ind w:left="5795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HYDERABAD,</w:t>
                          </w:r>
                          <w:r>
                            <w:rPr>
                              <w:b/>
                              <w:color w:val="666666"/>
                              <w:spacing w:val="2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w w:val="125"/>
                              <w:sz w:val="14"/>
                            </w:rPr>
                            <w:t>TELANGANA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3.1pt;margin-top:21.75pt;width:426.7pt;height:18.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8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MACHINE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LEARNING-BASED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PREDICTIVE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ANALYTICS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FOR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SUPPLY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CHAIN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OPTIMIZATION</w:t>
                    </w:r>
                    <w:r>
                      <w:rPr>
                        <w:b/>
                        <w:color w:val="666666"/>
                        <w:spacing w:val="74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•</w:t>
                    </w:r>
                    <w:r>
                      <w:rPr>
                        <w:b/>
                        <w:color w:val="666666"/>
                        <w:spacing w:val="73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REVIEW</w:t>
                    </w:r>
                    <w:r>
                      <w:rPr>
                        <w:b/>
                        <w:color w:val="666666"/>
                        <w:spacing w:val="15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-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10"/>
                        <w:w w:val="125"/>
                        <w:sz w:val="14"/>
                      </w:rPr>
                      <w:t>III</w:t>
                    </w:r>
                  </w:p>
                  <w:p w:rsidR="003D723B" w:rsidRDefault="00AD55AF">
                    <w:pPr>
                      <w:spacing w:before="1"/>
                      <w:ind w:left="5795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HYDERABAD,</w:t>
                    </w:r>
                    <w:r>
                      <w:rPr>
                        <w:b/>
                        <w:color w:val="666666"/>
                        <w:spacing w:val="2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w w:val="125"/>
                        <w:sz w:val="14"/>
                      </w:rPr>
                      <w:t>TELANGANA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173E"/>
    <w:multiLevelType w:val="multilevel"/>
    <w:tmpl w:val="C12C5FF0"/>
    <w:lvl w:ilvl="0">
      <w:start w:val="9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754F70"/>
    <w:multiLevelType w:val="hybridMultilevel"/>
    <w:tmpl w:val="857095B2"/>
    <w:lvl w:ilvl="0" w:tplc="682E3148">
      <w:start w:val="1"/>
      <w:numFmt w:val="decimalZero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 w:tplc="FD926058">
      <w:numFmt w:val="bullet"/>
      <w:lvlText w:val="•"/>
      <w:lvlJc w:val="left"/>
      <w:pPr>
        <w:ind w:left="1710" w:hanging="459"/>
      </w:pPr>
      <w:rPr>
        <w:rFonts w:hint="default"/>
        <w:lang w:val="en-US" w:eastAsia="en-US" w:bidi="ar-SA"/>
      </w:rPr>
    </w:lvl>
    <w:lvl w:ilvl="2" w:tplc="7772D0FC">
      <w:numFmt w:val="bullet"/>
      <w:lvlText w:val="•"/>
      <w:lvlJc w:val="left"/>
      <w:pPr>
        <w:ind w:left="2720" w:hanging="459"/>
      </w:pPr>
      <w:rPr>
        <w:rFonts w:hint="default"/>
        <w:lang w:val="en-US" w:eastAsia="en-US" w:bidi="ar-SA"/>
      </w:rPr>
    </w:lvl>
    <w:lvl w:ilvl="3" w:tplc="E1A64BEA">
      <w:numFmt w:val="bullet"/>
      <w:lvlText w:val="•"/>
      <w:lvlJc w:val="left"/>
      <w:pPr>
        <w:ind w:left="3730" w:hanging="459"/>
      </w:pPr>
      <w:rPr>
        <w:rFonts w:hint="default"/>
        <w:lang w:val="en-US" w:eastAsia="en-US" w:bidi="ar-SA"/>
      </w:rPr>
    </w:lvl>
    <w:lvl w:ilvl="4" w:tplc="AF969636">
      <w:numFmt w:val="bullet"/>
      <w:lvlText w:val="•"/>
      <w:lvlJc w:val="left"/>
      <w:pPr>
        <w:ind w:left="4740" w:hanging="459"/>
      </w:pPr>
      <w:rPr>
        <w:rFonts w:hint="default"/>
        <w:lang w:val="en-US" w:eastAsia="en-US" w:bidi="ar-SA"/>
      </w:rPr>
    </w:lvl>
    <w:lvl w:ilvl="5" w:tplc="3A96DCEE">
      <w:numFmt w:val="bullet"/>
      <w:lvlText w:val="•"/>
      <w:lvlJc w:val="left"/>
      <w:pPr>
        <w:ind w:left="5750" w:hanging="459"/>
      </w:pPr>
      <w:rPr>
        <w:rFonts w:hint="default"/>
        <w:lang w:val="en-US" w:eastAsia="en-US" w:bidi="ar-SA"/>
      </w:rPr>
    </w:lvl>
    <w:lvl w:ilvl="6" w:tplc="2662E492">
      <w:numFmt w:val="bullet"/>
      <w:lvlText w:val="•"/>
      <w:lvlJc w:val="left"/>
      <w:pPr>
        <w:ind w:left="6760" w:hanging="459"/>
      </w:pPr>
      <w:rPr>
        <w:rFonts w:hint="default"/>
        <w:lang w:val="en-US" w:eastAsia="en-US" w:bidi="ar-SA"/>
      </w:rPr>
    </w:lvl>
    <w:lvl w:ilvl="7" w:tplc="4AB42D4C">
      <w:numFmt w:val="bullet"/>
      <w:lvlText w:val="•"/>
      <w:lvlJc w:val="left"/>
      <w:pPr>
        <w:ind w:left="7770" w:hanging="459"/>
      </w:pPr>
      <w:rPr>
        <w:rFonts w:hint="default"/>
        <w:lang w:val="en-US" w:eastAsia="en-US" w:bidi="ar-SA"/>
      </w:rPr>
    </w:lvl>
    <w:lvl w:ilvl="8" w:tplc="04FCB17E">
      <w:numFmt w:val="bullet"/>
      <w:lvlText w:val="•"/>
      <w:lvlJc w:val="left"/>
      <w:pPr>
        <w:ind w:left="8780" w:hanging="459"/>
      </w:pPr>
      <w:rPr>
        <w:rFonts w:hint="default"/>
        <w:lang w:val="en-US" w:eastAsia="en-US" w:bidi="ar-SA"/>
      </w:rPr>
    </w:lvl>
  </w:abstractNum>
  <w:abstractNum w:abstractNumId="2" w15:restartNumberingAfterBreak="0">
    <w:nsid w:val="39E84BCA"/>
    <w:multiLevelType w:val="hybridMultilevel"/>
    <w:tmpl w:val="6E2AD4D2"/>
    <w:lvl w:ilvl="0" w:tplc="059C6A5E">
      <w:start w:val="1"/>
      <w:numFmt w:val="decimal"/>
      <w:lvlText w:val="[%1]"/>
      <w:lvlJc w:val="left"/>
      <w:pPr>
        <w:ind w:left="606" w:hanging="31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16"/>
        <w:szCs w:val="16"/>
        <w:lang w:val="en-US" w:eastAsia="en-US" w:bidi="ar-SA"/>
      </w:rPr>
    </w:lvl>
    <w:lvl w:ilvl="1" w:tplc="07F80A92">
      <w:numFmt w:val="bullet"/>
      <w:lvlText w:val="•"/>
      <w:lvlJc w:val="left"/>
      <w:pPr>
        <w:ind w:left="1620" w:hanging="318"/>
      </w:pPr>
      <w:rPr>
        <w:rFonts w:hint="default"/>
        <w:lang w:val="en-US" w:eastAsia="en-US" w:bidi="ar-SA"/>
      </w:rPr>
    </w:lvl>
    <w:lvl w:ilvl="2" w:tplc="E6AAB048">
      <w:numFmt w:val="bullet"/>
      <w:lvlText w:val="•"/>
      <w:lvlJc w:val="left"/>
      <w:pPr>
        <w:ind w:left="2640" w:hanging="318"/>
      </w:pPr>
      <w:rPr>
        <w:rFonts w:hint="default"/>
        <w:lang w:val="en-US" w:eastAsia="en-US" w:bidi="ar-SA"/>
      </w:rPr>
    </w:lvl>
    <w:lvl w:ilvl="3" w:tplc="2CCCF03A">
      <w:numFmt w:val="bullet"/>
      <w:lvlText w:val="•"/>
      <w:lvlJc w:val="left"/>
      <w:pPr>
        <w:ind w:left="3660" w:hanging="318"/>
      </w:pPr>
      <w:rPr>
        <w:rFonts w:hint="default"/>
        <w:lang w:val="en-US" w:eastAsia="en-US" w:bidi="ar-SA"/>
      </w:rPr>
    </w:lvl>
    <w:lvl w:ilvl="4" w:tplc="9498070A">
      <w:numFmt w:val="bullet"/>
      <w:lvlText w:val="•"/>
      <w:lvlJc w:val="left"/>
      <w:pPr>
        <w:ind w:left="4680" w:hanging="318"/>
      </w:pPr>
      <w:rPr>
        <w:rFonts w:hint="default"/>
        <w:lang w:val="en-US" w:eastAsia="en-US" w:bidi="ar-SA"/>
      </w:rPr>
    </w:lvl>
    <w:lvl w:ilvl="5" w:tplc="60A4FF0C">
      <w:numFmt w:val="bullet"/>
      <w:lvlText w:val="•"/>
      <w:lvlJc w:val="left"/>
      <w:pPr>
        <w:ind w:left="5700" w:hanging="318"/>
      </w:pPr>
      <w:rPr>
        <w:rFonts w:hint="default"/>
        <w:lang w:val="en-US" w:eastAsia="en-US" w:bidi="ar-SA"/>
      </w:rPr>
    </w:lvl>
    <w:lvl w:ilvl="6" w:tplc="0D3AA622">
      <w:numFmt w:val="bullet"/>
      <w:lvlText w:val="•"/>
      <w:lvlJc w:val="left"/>
      <w:pPr>
        <w:ind w:left="6720" w:hanging="318"/>
      </w:pPr>
      <w:rPr>
        <w:rFonts w:hint="default"/>
        <w:lang w:val="en-US" w:eastAsia="en-US" w:bidi="ar-SA"/>
      </w:rPr>
    </w:lvl>
    <w:lvl w:ilvl="7" w:tplc="F746C5A0">
      <w:numFmt w:val="bullet"/>
      <w:lvlText w:val="•"/>
      <w:lvlJc w:val="left"/>
      <w:pPr>
        <w:ind w:left="7740" w:hanging="318"/>
      </w:pPr>
      <w:rPr>
        <w:rFonts w:hint="default"/>
        <w:lang w:val="en-US" w:eastAsia="en-US" w:bidi="ar-SA"/>
      </w:rPr>
    </w:lvl>
    <w:lvl w:ilvl="8" w:tplc="1450A50E">
      <w:numFmt w:val="bullet"/>
      <w:lvlText w:val="•"/>
      <w:lvlJc w:val="left"/>
      <w:pPr>
        <w:ind w:left="8760" w:hanging="318"/>
      </w:pPr>
      <w:rPr>
        <w:rFonts w:hint="default"/>
        <w:lang w:val="en-US" w:eastAsia="en-US" w:bidi="ar-SA"/>
      </w:rPr>
    </w:lvl>
  </w:abstractNum>
  <w:abstractNum w:abstractNumId="3" w15:restartNumberingAfterBreak="0">
    <w:nsid w:val="4AB72506"/>
    <w:multiLevelType w:val="multilevel"/>
    <w:tmpl w:val="17B4C9BE"/>
    <w:lvl w:ilvl="0">
      <w:start w:val="3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F5BDA"/>
    <w:multiLevelType w:val="multilevel"/>
    <w:tmpl w:val="05D4D512"/>
    <w:lvl w:ilvl="0">
      <w:start w:val="10"/>
      <w:numFmt w:val="decimal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7" w:hanging="61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A750EF"/>
    <w:multiLevelType w:val="hybridMultilevel"/>
    <w:tmpl w:val="3CEA3924"/>
    <w:lvl w:ilvl="0" w:tplc="8B4EB31C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4DED4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928676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5F84D2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A6E80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BD48ED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5B36C1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0C78B7F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EEE01B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F57400"/>
    <w:multiLevelType w:val="hybridMultilevel"/>
    <w:tmpl w:val="FFDE8344"/>
    <w:lvl w:ilvl="0" w:tplc="61520CC6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E46D8B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1CC8F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2C89F8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D70BC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D4B532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F202EA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18780696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01264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1" w16cid:durableId="2070109058">
    <w:abstractNumId w:val="2"/>
  </w:num>
  <w:num w:numId="2" w16cid:durableId="1933008296">
    <w:abstractNumId w:val="5"/>
  </w:num>
  <w:num w:numId="3" w16cid:durableId="1875725673">
    <w:abstractNumId w:val="4"/>
  </w:num>
  <w:num w:numId="4" w16cid:durableId="481890776">
    <w:abstractNumId w:val="0"/>
  </w:num>
  <w:num w:numId="5" w16cid:durableId="1430543184">
    <w:abstractNumId w:val="3"/>
  </w:num>
  <w:num w:numId="6" w16cid:durableId="2091348266">
    <w:abstractNumId w:val="1"/>
  </w:num>
  <w:num w:numId="7" w16cid:durableId="1929730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3B"/>
    <w:rsid w:val="003D723B"/>
    <w:rsid w:val="00526123"/>
    <w:rsid w:val="00962291"/>
    <w:rsid w:val="00AA70D3"/>
    <w:rsid w:val="00AD55AF"/>
    <w:rsid w:val="00B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3B4"/>
  <w15:docId w15:val="{E41AD4F8-40A3-428C-8A35-0F3F0825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line="372" w:lineRule="exact"/>
      <w:ind w:left="2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02" w:hanging="45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72"/>
      <w:ind w:left="853" w:hanging="60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31"/>
      <w:ind w:left="1179" w:right="1178" w:firstLine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5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07/978-3-031-99474-6_30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ink.springer.com/chapter/10.1007/978-3-031-81821-9_2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asi705009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831-024-10092-9" TargetMode="External"/><Relationship Id="rId10" Type="http://schemas.openxmlformats.org/officeDocument/2006/relationships/hyperlink" Target="https://doi.org/10.1007/s10898-025-01509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2-04222-4_8" TargetMode="External"/><Relationship Id="rId14" Type="http://schemas.openxmlformats.org/officeDocument/2006/relationships/hyperlink" Target="https://doi.org/10.15662/IJEETR.2024.0606014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4667</Words>
  <Characters>26607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shashank reddy</cp:lastModifiedBy>
  <cp:revision>2</cp:revision>
  <dcterms:created xsi:type="dcterms:W3CDTF">2026-08-20T04:09:00Z</dcterms:created>
  <dcterms:modified xsi:type="dcterms:W3CDTF">2026-08-20T04:09:00Z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