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activeX/activeX3.xml" ContentType="application/vnd.ms-office.activeX+xml"/>
  <Override PartName="/word/activeX/activeX2.xml" ContentType="application/vnd.ms-office.activeX+xml"/>
  <Override PartName="/word/activeX/activeX1.xml" ContentType="application/vnd.ms-office.activeX+xml"/>
  <Override PartName="/word/webSettings.xml" ContentType="application/vnd.openxmlformats-officedocument.wordprocessingml.webSettings+xml"/>
  <Override PartName="/word/activeX/activeX4.xml" ContentType="application/vnd.ms-office.activeX+xml"/>
  <Override PartName="/word/activeX/activeX7.xml" ContentType="application/vnd.ms-office.activeX+xml"/>
  <Override PartName="/word/numbering.xml" ContentType="application/vnd.openxmlformats-officedocument.wordprocessingml.numbering+xml"/>
  <Override PartName="/word/activeX/activeX6.xml" ContentType="application/vnd.ms-office.activeX+xml"/>
  <Override PartName="/word/activeX/activeX5.xml" ContentType="application/vnd.ms-office.activeX+xml"/>
  <Override PartName="/word/activeX/activeX8.xml" ContentType="application/vnd.ms-office.activeX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EC" w:rsidRPr="00A903D7" w:rsidRDefault="00A6274E" w:rsidP="00A903D7">
      <w:pPr>
        <w:jc w:val="center"/>
        <w:rPr>
          <w:b/>
        </w:rPr>
      </w:pPr>
      <w:r w:rsidRPr="00A903D7">
        <w:rPr>
          <w:b/>
        </w:rPr>
        <w:t>NHS Digital – EPS data packs generator</w:t>
      </w:r>
      <w:r w:rsidR="00A903D7">
        <w:rPr>
          <w:b/>
        </w:rPr>
        <w:t xml:space="preserve"> site</w:t>
      </w:r>
    </w:p>
    <w:p w:rsidR="009E66CA" w:rsidRPr="009E66CA" w:rsidRDefault="009E66CA" w:rsidP="000710A6">
      <w:pPr>
        <w:tabs>
          <w:tab w:val="left" w:pos="1701"/>
        </w:tabs>
        <w:rPr>
          <w:szCs w:val="20"/>
        </w:rPr>
      </w:pPr>
      <w:r w:rsidRPr="009E66CA">
        <w:rPr>
          <w:rFonts w:eastAsia="Times New Roman" w:cs="Arial"/>
          <w:szCs w:val="20"/>
          <w:lang w:eastAsia="en-GB"/>
        </w:rPr>
        <w:t xml:space="preserve">This application allows the authorised user the ability to generate and load demographic data into the various Path </w:t>
      </w:r>
      <w:proofErr w:type="gramStart"/>
      <w:r w:rsidRPr="009E66CA">
        <w:rPr>
          <w:rFonts w:eastAsia="Times New Roman" w:cs="Arial"/>
          <w:szCs w:val="20"/>
          <w:lang w:eastAsia="en-GB"/>
        </w:rPr>
        <w:t>To</w:t>
      </w:r>
      <w:proofErr w:type="gramEnd"/>
      <w:r w:rsidRPr="009E66CA">
        <w:rPr>
          <w:rFonts w:eastAsia="Times New Roman" w:cs="Arial"/>
          <w:szCs w:val="20"/>
          <w:lang w:eastAsia="en-GB"/>
        </w:rPr>
        <w:t xml:space="preserve"> Live (PTL) environments in a quick and efficient manner.</w:t>
      </w:r>
    </w:p>
    <w:p w:rsidR="00A6274E" w:rsidRDefault="00A903D7" w:rsidP="000710A6">
      <w:pPr>
        <w:tabs>
          <w:tab w:val="left" w:pos="1701"/>
        </w:tabs>
      </w:pPr>
      <w:r>
        <w:t xml:space="preserve">Link: </w:t>
      </w:r>
      <w:hyperlink r:id="rId6" w:history="1">
        <w:r w:rsidR="000710A6" w:rsidRPr="007961B1">
          <w:rPr>
            <w:rStyle w:val="Hyperlink"/>
          </w:rPr>
          <w:t>http://tdp2ld</w:t>
        </w:r>
        <w:r w:rsidR="000710A6" w:rsidRPr="007961B1">
          <w:rPr>
            <w:rStyle w:val="Hyperlink"/>
          </w:rPr>
          <w:t>s</w:t>
        </w:r>
        <w:r w:rsidR="000710A6" w:rsidRPr="007961B1">
          <w:rPr>
            <w:rStyle w:val="Hyperlink"/>
          </w:rPr>
          <w:t>.hscic.nhs.uk/pls/apex-prod/f?p=159:101:2219329220769606</w:t>
        </w:r>
      </w:hyperlink>
      <w:proofErr w:type="gramStart"/>
      <w:r w:rsidR="00A6274E" w:rsidRPr="00A6274E">
        <w:t>:::::</w:t>
      </w:r>
      <w:proofErr w:type="gramEnd"/>
    </w:p>
    <w:p w:rsidR="00A6274E" w:rsidRPr="00A903D7" w:rsidRDefault="00A903D7">
      <w:pPr>
        <w:rPr>
          <w:b/>
        </w:rPr>
      </w:pPr>
      <w:r w:rsidRPr="00A903D7">
        <w:rPr>
          <w:b/>
        </w:rPr>
        <w:t>Login Details</w:t>
      </w:r>
    </w:p>
    <w:p w:rsidR="00A6274E" w:rsidRDefault="00A6274E">
      <w:r>
        <w:t>Username-</w:t>
      </w:r>
      <w:proofErr w:type="spellStart"/>
      <w:r>
        <w:t>ext_rama</w:t>
      </w:r>
      <w:proofErr w:type="spellEnd"/>
    </w:p>
    <w:p w:rsidR="00A6274E" w:rsidRDefault="00A6274E">
      <w:r>
        <w:t>Password-password</w:t>
      </w:r>
    </w:p>
    <w:p w:rsidR="00E94E14" w:rsidRPr="00E94E14" w:rsidRDefault="00E94E14">
      <w:pPr>
        <w:rPr>
          <w:b/>
        </w:rPr>
      </w:pPr>
      <w:r w:rsidRPr="00E94E14">
        <w:rPr>
          <w:b/>
        </w:rPr>
        <w:t>Instructions for use</w:t>
      </w:r>
    </w:p>
    <w:p w:rsidR="007334F5" w:rsidRDefault="00A903D7">
      <w:r>
        <w:t>Once logged in; user will see</w:t>
      </w:r>
      <w:r w:rsidR="000710A6">
        <w:t xml:space="preserve"> the dashboard with Demographics and Prescriptions menu options.  </w:t>
      </w:r>
      <w:r>
        <w:t xml:space="preserve"> </w:t>
      </w:r>
      <w:r w:rsidR="000710A6">
        <w:t>These options can also be navigated to from the top right hand of the screen.</w:t>
      </w:r>
      <w:r w:rsidR="0046000F">
        <w:t xml:space="preserve">  The demographics and prescriptions menu options will allow you to generate the</w:t>
      </w:r>
      <w:r w:rsidR="006D1839">
        <w:t xml:space="preserve"> required number of patients with EPS</w:t>
      </w:r>
      <w:r w:rsidR="0046000F">
        <w:t xml:space="preserve"> data packs.</w:t>
      </w:r>
    </w:p>
    <w:p w:rsidR="00E94E14" w:rsidRDefault="00E94E14">
      <w:r>
        <w:rPr>
          <w:noProof/>
          <w:lang w:eastAsia="en-GB"/>
        </w:rPr>
        <w:drawing>
          <wp:inline distT="0" distB="0" distL="0" distR="0" wp14:anchorId="6EDDAE94" wp14:editId="497F4E17">
            <wp:extent cx="5724525" cy="453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E14" w:rsidRDefault="00E94E14"/>
    <w:p w:rsidR="006D1839" w:rsidRDefault="006D1839"/>
    <w:p w:rsidR="006D1839" w:rsidRDefault="006D1839"/>
    <w:p w:rsidR="006D1839" w:rsidRDefault="006D1839"/>
    <w:p w:rsidR="00A6274E" w:rsidRPr="00381A00" w:rsidRDefault="006D1839">
      <w:pPr>
        <w:rPr>
          <w:szCs w:val="20"/>
        </w:rPr>
      </w:pPr>
      <w:r w:rsidRPr="00381A00">
        <w:rPr>
          <w:szCs w:val="20"/>
        </w:rPr>
        <w:lastRenderedPageBreak/>
        <w:t>To g</w:t>
      </w:r>
      <w:r w:rsidR="00A6274E" w:rsidRPr="00381A00">
        <w:rPr>
          <w:szCs w:val="20"/>
        </w:rPr>
        <w:t xml:space="preserve">enerate </w:t>
      </w:r>
      <w:r w:rsidRPr="00381A00">
        <w:rPr>
          <w:szCs w:val="20"/>
        </w:rPr>
        <w:t xml:space="preserve">the </w:t>
      </w:r>
      <w:r w:rsidR="00A6274E" w:rsidRPr="00381A00">
        <w:rPr>
          <w:szCs w:val="20"/>
        </w:rPr>
        <w:t>patients</w:t>
      </w:r>
      <w:r w:rsidRPr="00381A00">
        <w:rPr>
          <w:szCs w:val="20"/>
        </w:rPr>
        <w:t>; follow these steps: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903"/>
        <w:gridCol w:w="66"/>
        <w:gridCol w:w="66"/>
        <w:gridCol w:w="81"/>
      </w:tblGrid>
      <w:tr w:rsidR="00A6274E" w:rsidRPr="00381A00" w:rsidTr="009E66CA">
        <w:trPr>
          <w:gridAfter w:val="1"/>
          <w:tblCellSpacing w:w="15" w:type="dxa"/>
        </w:trPr>
        <w:tc>
          <w:tcPr>
            <w:tcW w:w="8858" w:type="dxa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rPr>
                <w:rFonts w:eastAsia="Times New Roman" w:cs="Arial"/>
                <w:szCs w:val="20"/>
                <w:lang w:eastAsia="en-GB"/>
              </w:rPr>
            </w:pPr>
            <w:r w:rsidRPr="00381A00">
              <w:rPr>
                <w:rFonts w:eastAsia="Times New Roman" w:cs="Arial"/>
                <w:szCs w:val="20"/>
                <w:lang w:eastAsia="en-GB"/>
              </w:rPr>
              <w:t>1. Select a GP Practice from the drop-down list or leave it blank to use the default.</w:t>
            </w:r>
            <w:r w:rsidRPr="00381A00">
              <w:rPr>
                <w:rFonts w:eastAsia="Times New Roman" w:cs="Arial"/>
                <w:szCs w:val="20"/>
                <w:lang w:eastAsia="en-GB"/>
              </w:rPr>
              <w:br/>
              <w:t>2. Select whether you want to generate a 'Predefined Template' or 'Define your own patients'.</w:t>
            </w:r>
            <w:r w:rsidRPr="00381A00">
              <w:rPr>
                <w:rFonts w:eastAsia="Times New Roman" w:cs="Arial"/>
                <w:szCs w:val="20"/>
                <w:lang w:eastAsia="en-GB"/>
              </w:rPr>
              <w:br/>
              <w:t>3. If you have selected to generate a 'Predefined Template' then choose one of the available templates (a description of each pack can be viewed by selecting each one in turn).</w:t>
            </w:r>
            <w:r w:rsidRPr="00381A00">
              <w:rPr>
                <w:rFonts w:eastAsia="Times New Roman" w:cs="Arial"/>
                <w:szCs w:val="20"/>
                <w:lang w:eastAsia="en-GB"/>
              </w:rPr>
              <w:br/>
              <w:t>4. If you selected to 'Define your own patients' then populate the volume, gender, DOB, DOD and sensitivity fields with your requirements.</w:t>
            </w:r>
            <w:r w:rsidRPr="00381A00">
              <w:rPr>
                <w:rFonts w:eastAsia="Times New Roman" w:cs="Arial"/>
                <w:szCs w:val="20"/>
                <w:lang w:eastAsia="en-GB"/>
              </w:rPr>
              <w:br/>
              <w:t>5. Select one or more environments in to which you would like the patients loaded.</w:t>
            </w:r>
            <w:r w:rsidR="00B03659" w:rsidRPr="00381A00">
              <w:rPr>
                <w:rFonts w:eastAsia="Times New Roman" w:cs="Arial"/>
                <w:szCs w:val="20"/>
                <w:lang w:eastAsia="en-GB"/>
              </w:rPr>
              <w:t xml:space="preserve">  Usually for testing; the packs are generated for the integration environment.</w:t>
            </w:r>
            <w:r w:rsidRPr="00381A00">
              <w:rPr>
                <w:rFonts w:eastAsia="Times New Roman" w:cs="Arial"/>
                <w:szCs w:val="20"/>
                <w:lang w:eastAsia="en-GB"/>
              </w:rPr>
              <w:br/>
              <w:t>6. Click on the 'Generate &amp; Load Patients' button to confirm your requirements and load the patient in to the selected environment(s). You will know that it is completed when the Completion Status area has a Status of 'COMPLETE'.</w:t>
            </w:r>
            <w:r w:rsidRPr="00381A00">
              <w:rPr>
                <w:rFonts w:eastAsia="Times New Roman" w:cs="Arial"/>
                <w:szCs w:val="20"/>
                <w:lang w:eastAsia="en-GB"/>
              </w:rPr>
              <w:br/>
              <w:t>7. Once completed click on the 'My Demographic Packs' tab to view and download this and previous packs that you may have generated. The output is available in MS Excel format</w:t>
            </w:r>
          </w:p>
        </w:tc>
        <w:tc>
          <w:tcPr>
            <w:tcW w:w="0" w:type="auto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rPr>
                <w:rFonts w:eastAsia="Times New Roman" w:cs="Arial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rPr>
                <w:rFonts w:eastAsia="Times New Roman" w:cs="Arial"/>
                <w:szCs w:val="20"/>
                <w:lang w:eastAsia="en-GB"/>
              </w:rPr>
            </w:pPr>
            <w:r w:rsidRPr="00381A00">
              <w:rPr>
                <w:rFonts w:eastAsia="Times New Roman" w:cs="Arial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in;height:18pt" o:ole="">
                  <v:imagedata r:id="rId8" o:title=""/>
                </v:shape>
                <w:control r:id="rId9" w:name="DefaultOcxName" w:shapeid="_x0000_i1042"/>
              </w:object>
            </w:r>
            <w:r w:rsidRPr="00381A00">
              <w:rPr>
                <w:rFonts w:eastAsia="Times New Roman" w:cs="Arial"/>
                <w:szCs w:val="20"/>
              </w:rPr>
              <w:object w:dxaOrig="225" w:dyaOrig="225">
                <v:shape id="_x0000_i1045" type="#_x0000_t75" style="width:1in;height:18pt" o:ole="">
                  <v:imagedata r:id="rId10" o:title=""/>
                </v:shape>
                <w:control r:id="rId11" w:name="DefaultOcxName1" w:shapeid="_x0000_i1045"/>
              </w:object>
            </w:r>
          </w:p>
        </w:tc>
      </w:tr>
      <w:tr w:rsidR="00A6274E" w:rsidRPr="00381A00" w:rsidTr="009E66CA">
        <w:trPr>
          <w:tblCellSpacing w:w="15" w:type="dxa"/>
        </w:trPr>
        <w:tc>
          <w:tcPr>
            <w:tcW w:w="8858" w:type="dxa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rPr>
                <w:rFonts w:eastAsia="Times New Roman" w:cs="Arial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rPr>
                <w:rFonts w:eastAsia="Times New Roman" w:cs="Arial"/>
                <w:szCs w:val="20"/>
                <w:lang w:eastAsia="en-GB"/>
              </w:rPr>
            </w:pPr>
            <w:r w:rsidRPr="00381A00">
              <w:rPr>
                <w:rFonts w:eastAsia="Times New Roman" w:cs="Arial"/>
                <w:szCs w:val="20"/>
              </w:rPr>
              <w:object w:dxaOrig="225" w:dyaOrig="225">
                <v:shape id="_x0000_i1048" type="#_x0000_t75" style="width:1in;height:18pt" o:ole="">
                  <v:imagedata r:id="rId12" o:title=""/>
                </v:shape>
                <w:control r:id="rId13" w:name="DefaultOcxName2" w:shapeid="_x0000_i1048"/>
              </w:object>
            </w:r>
            <w:r w:rsidRPr="00381A00">
              <w:rPr>
                <w:rFonts w:eastAsia="Times New Roman" w:cs="Arial"/>
                <w:szCs w:val="20"/>
              </w:rPr>
              <w:object w:dxaOrig="225" w:dyaOrig="225">
                <v:shape id="_x0000_i1051" type="#_x0000_t75" style="width:1in;height:18pt" o:ole="">
                  <v:imagedata r:id="rId14" o:title=""/>
                </v:shape>
                <w:control r:id="rId15" w:name="DefaultOcxName3" w:shapeid="_x0000_i1051"/>
              </w:object>
            </w:r>
            <w:r w:rsidRPr="00381A00">
              <w:rPr>
                <w:rFonts w:eastAsia="Times New Roman" w:cs="Arial"/>
                <w:szCs w:val="20"/>
              </w:rPr>
              <w:object w:dxaOrig="225" w:dyaOrig="225">
                <v:shape id="_x0000_i1054" type="#_x0000_t75" style="width:1in;height:18pt" o:ole="">
                  <v:imagedata r:id="rId16" o:title=""/>
                </v:shape>
                <w:control r:id="rId17" w:name="DefaultOcxName4" w:shapeid="_x0000_i1054"/>
              </w:object>
            </w:r>
          </w:p>
        </w:tc>
        <w:tc>
          <w:tcPr>
            <w:tcW w:w="0" w:type="auto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rPr>
                <w:rFonts w:eastAsia="Times New Roman" w:cs="Arial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rPr>
                <w:rFonts w:eastAsia="Times New Roman" w:cs="Arial"/>
                <w:szCs w:val="20"/>
                <w:lang w:eastAsia="en-GB"/>
              </w:rPr>
            </w:pPr>
            <w:r w:rsidRPr="00381A00">
              <w:rPr>
                <w:rFonts w:eastAsia="Times New Roman" w:cs="Arial"/>
                <w:szCs w:val="20"/>
              </w:rPr>
              <w:object w:dxaOrig="225" w:dyaOrig="225">
                <v:shape id="_x0000_i1057" type="#_x0000_t75" style="width:1in;height:18pt" o:ole="">
                  <v:imagedata r:id="rId18" o:title=""/>
                </v:shape>
                <w:control r:id="rId19" w:name="DefaultOcxName5" w:shapeid="_x0000_i1057"/>
              </w:object>
            </w:r>
            <w:r w:rsidRPr="00381A00">
              <w:rPr>
                <w:rFonts w:eastAsia="Times New Roman" w:cs="Arial"/>
                <w:szCs w:val="20"/>
              </w:rPr>
              <w:object w:dxaOrig="225" w:dyaOrig="225">
                <v:shape id="_x0000_i1060" type="#_x0000_t75" style="width:1in;height:18pt" o:ole="">
                  <v:imagedata r:id="rId20" o:title=""/>
                </v:shape>
                <w:control r:id="rId21" w:name="DefaultOcxName6" w:shapeid="_x0000_i1060"/>
              </w:object>
            </w:r>
            <w:r w:rsidRPr="00381A00">
              <w:rPr>
                <w:rFonts w:eastAsia="Times New Roman" w:cs="Arial"/>
                <w:szCs w:val="20"/>
              </w:rPr>
              <w:object w:dxaOrig="225" w:dyaOrig="225">
                <v:shape id="_x0000_i1063" type="#_x0000_t75" style="width:1in;height:18pt" o:ole="">
                  <v:imagedata r:id="rId22" o:title=""/>
                </v:shape>
                <w:control r:id="rId23" w:name="DefaultOcxName7" w:shapeid="_x0000_i1063"/>
              </w:object>
            </w:r>
          </w:p>
        </w:tc>
      </w:tr>
    </w:tbl>
    <w:p w:rsidR="00A6274E" w:rsidRPr="00381A00" w:rsidRDefault="00A6274E" w:rsidP="00A6274E">
      <w:pPr>
        <w:spacing w:after="0" w:line="240" w:lineRule="auto"/>
        <w:rPr>
          <w:rFonts w:eastAsia="Times New Roman" w:cs="Arial"/>
          <w:vanish/>
          <w:szCs w:val="20"/>
          <w:lang w:eastAsia="en-GB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513"/>
        <w:gridCol w:w="4513"/>
      </w:tblGrid>
      <w:tr w:rsidR="00A6274E" w:rsidRPr="00381A00" w:rsidTr="00A6274E">
        <w:trPr>
          <w:tblCellSpacing w:w="0" w:type="dxa"/>
        </w:trPr>
        <w:tc>
          <w:tcPr>
            <w:tcW w:w="0" w:type="auto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rPr>
                <w:rFonts w:eastAsia="Times New Roman" w:cs="Arial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A6274E" w:rsidRPr="00381A00" w:rsidRDefault="00A6274E" w:rsidP="00A6274E">
            <w:pPr>
              <w:spacing w:after="0" w:line="240" w:lineRule="auto"/>
              <w:jc w:val="right"/>
              <w:rPr>
                <w:rFonts w:eastAsia="Times New Roman" w:cs="Arial"/>
                <w:szCs w:val="20"/>
                <w:lang w:eastAsia="en-GB"/>
              </w:rPr>
            </w:pPr>
          </w:p>
        </w:tc>
      </w:tr>
    </w:tbl>
    <w:p w:rsidR="00A6274E" w:rsidRPr="00381A00" w:rsidRDefault="006D1839">
      <w:pPr>
        <w:rPr>
          <w:szCs w:val="20"/>
        </w:rPr>
      </w:pPr>
      <w:r w:rsidRPr="00381A00">
        <w:rPr>
          <w:szCs w:val="20"/>
        </w:rPr>
        <w:t>To generate the p</w:t>
      </w:r>
      <w:r w:rsidR="00A6274E" w:rsidRPr="00381A00">
        <w:rPr>
          <w:szCs w:val="20"/>
        </w:rPr>
        <w:t>rescriptions</w:t>
      </w:r>
      <w:r w:rsidRPr="00381A00">
        <w:rPr>
          <w:szCs w:val="20"/>
        </w:rPr>
        <w:t>; follow these steps:</w:t>
      </w:r>
    </w:p>
    <w:p w:rsidR="00A6274E" w:rsidRDefault="00A6274E" w:rsidP="00A6274E">
      <w:r w:rsidRPr="00381A00">
        <w:rPr>
          <w:rFonts w:cs="Arial"/>
          <w:szCs w:val="20"/>
        </w:rPr>
        <w:t>1. Choose the Pack, Environment and Nominated Pharmacy from the lists available. The Test Date will default to 'today' and can be left unchanged un</w:t>
      </w:r>
      <w:r w:rsidR="00381A00">
        <w:rPr>
          <w:rFonts w:cs="Arial"/>
          <w:szCs w:val="20"/>
        </w:rPr>
        <w:t xml:space="preserve">less you wish to age the data. </w:t>
      </w:r>
      <w:r w:rsidRPr="00381A00">
        <w:rPr>
          <w:rFonts w:cs="Arial"/>
          <w:szCs w:val="20"/>
        </w:rPr>
        <w:br/>
        <w:t>2. C</w:t>
      </w:r>
      <w:r w:rsidR="00381A00">
        <w:rPr>
          <w:rFonts w:cs="Arial"/>
          <w:szCs w:val="20"/>
        </w:rPr>
        <w:t xml:space="preserve">lick the Generate Pack button. </w:t>
      </w:r>
      <w:r w:rsidRPr="00381A00">
        <w:rPr>
          <w:rFonts w:cs="Arial"/>
          <w:szCs w:val="20"/>
        </w:rPr>
        <w:br/>
        <w:t>3. You will be taken to a Progress Report page which will keep you up to date on the progress. On completion your data has been generated and loaded</w:t>
      </w:r>
      <w:r w:rsidR="00381A00">
        <w:rPr>
          <w:rFonts w:cs="Arial"/>
          <w:szCs w:val="20"/>
        </w:rPr>
        <w:t xml:space="preserve"> in the selected environments. </w:t>
      </w:r>
      <w:bookmarkStart w:id="0" w:name="_GoBack"/>
      <w:bookmarkEnd w:id="0"/>
      <w:r w:rsidRPr="00381A00">
        <w:rPr>
          <w:rFonts w:cs="Arial"/>
          <w:szCs w:val="20"/>
        </w:rPr>
        <w:br/>
        <w:t xml:space="preserve">4. </w:t>
      </w:r>
      <w:proofErr w:type="gramStart"/>
      <w:r w:rsidRPr="00381A00">
        <w:rPr>
          <w:rFonts w:cs="Arial"/>
          <w:szCs w:val="20"/>
        </w:rPr>
        <w:t>On</w:t>
      </w:r>
      <w:proofErr w:type="gramEnd"/>
      <w:r w:rsidRPr="00381A00">
        <w:rPr>
          <w:rFonts w:cs="Arial"/>
          <w:szCs w:val="20"/>
        </w:rPr>
        <w:t xml:space="preserve"> completion click on Download Reference Pack and save this locally for your use. </w:t>
      </w:r>
      <w:r w:rsidRPr="00381A00">
        <w:rPr>
          <w:rFonts w:cs="Arial"/>
          <w:szCs w:val="20"/>
        </w:rPr>
        <w:br/>
      </w:r>
      <w:r w:rsidRPr="00A6274E">
        <w:rPr>
          <w:rFonts w:cs="Arial"/>
          <w:sz w:val="18"/>
          <w:szCs w:val="18"/>
        </w:rPr>
        <w:br/>
      </w:r>
    </w:p>
    <w:sectPr w:rsidR="00A6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50AC"/>
    <w:multiLevelType w:val="hybridMultilevel"/>
    <w:tmpl w:val="26CE1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4E"/>
    <w:rsid w:val="000710A6"/>
    <w:rsid w:val="00381A00"/>
    <w:rsid w:val="0046000F"/>
    <w:rsid w:val="006676EC"/>
    <w:rsid w:val="006D1839"/>
    <w:rsid w:val="007334F5"/>
    <w:rsid w:val="009E66CA"/>
    <w:rsid w:val="00A6274E"/>
    <w:rsid w:val="00A903D7"/>
    <w:rsid w:val="00B03659"/>
    <w:rsid w:val="00E94E14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7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7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10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14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7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7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10A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1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26" Type="http://schemas.openxmlformats.org/officeDocument/2006/relationships/customXml" Target="../customXml/item1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hyperlink" Target="http://tdp2lds.hscic.nhs.uk/pls/apex-prod/f?p=159:101:2219329220769606" TargetMode="External"/><Relationship Id="rId11" Type="http://schemas.openxmlformats.org/officeDocument/2006/relationships/control" Target="activeX/activeX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customXml" Target="../customXml/item3.xml"/><Relationship Id="rId10" Type="http://schemas.openxmlformats.org/officeDocument/2006/relationships/image" Target="media/image3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ustomXml" Target="../customXml/item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227229C4981D439971330DFA65EC58" ma:contentTypeVersion="4" ma:contentTypeDescription="Create a new document." ma:contentTypeScope="" ma:versionID="065085de0e4269bc283c5f53bce5b834">
  <xsd:schema xmlns:xsd="http://www.w3.org/2001/XMLSchema" xmlns:xs="http://www.w3.org/2001/XMLSchema" xmlns:p="http://schemas.microsoft.com/office/2006/metadata/properties" xmlns:ns2="e8a6bd65-c1be-4974-a9de-39f079872987" targetNamespace="http://schemas.microsoft.com/office/2006/metadata/properties" ma:root="true" ma:fieldsID="f56a55bb2a31a3e236d933fc46073ac9" ns2:_="">
    <xsd:import namespace="e8a6bd65-c1be-4974-a9de-39f07987298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6bd65-c1be-4974-a9de-39f07987298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e8a6bd65-c1be-4974-a9de-39f079872987" xsi:nil="true"/>
    <_dlc_DocId xmlns="e8a6bd65-c1be-4974-a9de-39f079872987">HSDF5NKUAQUP-1313450482-5169</_dlc_DocId>
    <_dlc_DocIdUrl xmlns="e8a6bd65-c1be-4974-a9de-39f079872987">
      <Url>https://share.celesiogroup.com/sites/itltm-uk/projects/_layouts/15/DocIdRedir.aspx?ID=HSDF5NKUAQUP-1313450482-5169</Url>
      <Description>HSDF5NKUAQUP-1313450482-5169</Description>
    </_dlc_DocIdUrl>
  </documentManagement>
</p:properties>
</file>

<file path=customXml/itemProps1.xml><?xml version="1.0" encoding="utf-8"?>
<ds:datastoreItem xmlns:ds="http://schemas.openxmlformats.org/officeDocument/2006/customXml" ds:itemID="{98DE6A3A-07BA-41F3-ACEB-601BA4536B92}"/>
</file>

<file path=customXml/itemProps2.xml><?xml version="1.0" encoding="utf-8"?>
<ds:datastoreItem xmlns:ds="http://schemas.openxmlformats.org/officeDocument/2006/customXml" ds:itemID="{12D06B08-36A2-4201-8158-285E65F91E23}"/>
</file>

<file path=customXml/itemProps3.xml><?xml version="1.0" encoding="utf-8"?>
<ds:datastoreItem xmlns:ds="http://schemas.openxmlformats.org/officeDocument/2006/customXml" ds:itemID="{25713335-32BE-44DE-A98B-2964A19EC536}"/>
</file>

<file path=customXml/itemProps4.xml><?xml version="1.0" encoding="utf-8"?>
<ds:datastoreItem xmlns:ds="http://schemas.openxmlformats.org/officeDocument/2006/customXml" ds:itemID="{DCBA36F9-496D-4E42-B5E2-5233B358C8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Celesio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Uppal</dc:creator>
  <cp:lastModifiedBy>Uppal</cp:lastModifiedBy>
  <cp:revision>6</cp:revision>
  <dcterms:created xsi:type="dcterms:W3CDTF">2017-04-06T13:37:00Z</dcterms:created>
  <dcterms:modified xsi:type="dcterms:W3CDTF">2017-04-10T09:35:00Z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0x0101005A227229C4981D439971330DFA65EC58</vt:lpwstr>
  </property>
  <property fmtid="{D5CDD505-2E9C-101B-9397-08002B2CF9AE}" pid="3" name="_dlc_DocIdItemGuid">
    <vt:lpwstr>651cbf35-1f1f-4a3f-8047-5887a8154bb8</vt:lpwstr>
  </property>
</Properties>
</file>