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9"/>
          <w:sz w:val="28"/>
          <w:szCs w:val="28"/>
        </w:rPr>
        <w:t xml:space="preserve">STAR HEALTH AND ALLIED INSURANCE CO. LTD.</w:t>
      </w:r>
    </w:p>
    <w:p>
      <w:pPr>
        <w:jc w:val="center"/>
      </w:pPr>
      <w:r>
        <w:rPr>
          <w:b/>
          <w:bCs/>
          <w:sz w:val="24"/>
          <w:szCs w:val="24"/>
        </w:rPr>
        <w:t xml:space="preserve">Star Comprehensive Individual Health Insurance Policy</w:t>
      </w:r>
    </w:p>
    <w:p>
      <w:pPr>
        <w:jc w:val="center"/>
      </w:pPr>
      <w:r>
        <w:rPr>
          <w:color w:val="666666"/>
          <w:sz w:val="18"/>
          <w:szCs w:val="18"/>
        </w:rPr>
        <w:t xml:space="preserve">UIN: SHAHLIP22072V032122  |  Policy Version: 2024-v1</w:t>
      </w:r>
    </w:p>
    <w:p>
      <w:r>
        <w:t xml:space="preserve"/>
      </w:r>
    </w:p>
    <w:p>
      <w:pPr>
        <w:pStyle w:val="Heading1"/>
      </w:pPr>
      <w:r>
        <w:rPr>
          <w:b/>
          <w:bCs/>
          <w:color w:val="1F4E79"/>
          <w:sz w:val="28"/>
          <w:szCs w:val="28"/>
        </w:rPr>
        <w:t xml:space="preserve">SECTION 1 — POLICY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Field</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Insurer</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Star Health and Allied Insurance Co. Ltd.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Product Name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Star Comprehensive Individual Health Insurance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Policy Number</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P/211220/01/2024/007834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Policyholder Name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[Policyholder Name]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Date of Birth</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[DOB]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Sum Insured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5,00,000 (Rupees Five Lakhs)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Policy Period</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01 April 2024 to 31 March 2025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Premium (incl. 18% GST)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12,500 per annum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Zone</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Zone A (Metro Cities)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Policy Type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Individual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Network Hospitals</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14,000+ hospitals across India</w:t>
            </w:r>
          </w:p>
        </w:tc>
      </w:tr>
    </w:tbl>
    <w:p>
      <w:r>
        <w:t xml:space="preserve"/>
      </w:r>
    </w:p>
    <w:p>
      <w:pPr>
        <w:pStyle w:val="Heading1"/>
      </w:pPr>
      <w:r>
        <w:rPr>
          <w:b/>
          <w:bCs/>
          <w:color w:val="1F4E79"/>
          <w:sz w:val="28"/>
          <w:szCs w:val="28"/>
        </w:rPr>
        <w:t xml:space="preserve">SECTION 2 — DEFINITIONS</w:t>
      </w:r>
    </w:p>
    <w:p>
      <w:pPr>
        <w:pStyle w:val="Heading2"/>
      </w:pPr>
      <w:r>
        <w:rPr>
          <w:b/>
          <w:bCs/>
          <w:color w:val="2E75B6"/>
          <w:sz w:val="24"/>
          <w:szCs w:val="24"/>
        </w:rPr>
        <w:t xml:space="preserve">2.1 Hospitalisation</w:t>
      </w:r>
    </w:p>
    <w:p>
      <w:r>
        <w:rPr>
          <w:sz w:val="20"/>
          <w:szCs w:val="20"/>
        </w:rPr>
        <w:t xml:space="preserve">Hospitalisation means admission to a Hospital for a minimum period of 24 consecutive hours for the purpose of receiving Inpatient Care. Day Care Procedures listed in Annexure III are exempt from the 24-hour requirement.</w:t>
      </w:r>
    </w:p>
    <w:p>
      <w:r>
        <w:t xml:space="preserve"/>
      </w:r>
    </w:p>
    <w:p>
      <w:pPr>
        <w:pStyle w:val="Heading2"/>
      </w:pPr>
      <w:r>
        <w:rPr>
          <w:b/>
          <w:bCs/>
          <w:color w:val="2E75B6"/>
          <w:sz w:val="24"/>
          <w:szCs w:val="24"/>
        </w:rPr>
        <w:t xml:space="preserve">2.2 Pre-Existing Disease (PED)</w:t>
      </w:r>
    </w:p>
    <w:p>
      <w:r>
        <w:rPr>
          <w:sz w:val="20"/>
          <w:szCs w:val="20"/>
        </w:rPr>
        <w:t xml:space="preserve">Any condition, ailment, injury, or disease that the Insured Person was diagnosed with or received medical advice, diagnosis, or treatment for within 48 months prior to the first policy commencement date. This includes conditions for which symptoms were present even if not formally diagnosed.</w:t>
      </w:r>
    </w:p>
    <w:p>
      <w:r>
        <w:t xml:space="preserve"/>
      </w:r>
    </w:p>
    <w:p>
      <w:pPr>
        <w:pStyle w:val="Heading2"/>
      </w:pPr>
      <w:r>
        <w:rPr>
          <w:b/>
          <w:bCs/>
          <w:color w:val="2E75B6"/>
          <w:sz w:val="24"/>
          <w:szCs w:val="24"/>
        </w:rPr>
        <w:t xml:space="preserve">2.3 Day Care Procedure</w:t>
      </w:r>
    </w:p>
    <w:p>
      <w:r>
        <w:rPr>
          <w:sz w:val="20"/>
          <w:szCs w:val="20"/>
        </w:rPr>
        <w:t xml:space="preserve">A medical treatment or surgical procedure that requires less than 24 hours of hospitalisation due to advancement in medical technology. Only procedures listed in Annexure III qualify. Treatment must be performed in a Hospital or Day Care Centre with specialized infrastructure.</w:t>
      </w:r>
    </w:p>
    <w:p>
      <w:r>
        <w:t xml:space="preserve"/>
      </w:r>
    </w:p>
    <w:p>
      <w:pPr>
        <w:pStyle w:val="Heading2"/>
      </w:pPr>
      <w:r>
        <w:rPr>
          <w:b/>
          <w:bCs/>
          <w:color w:val="2E75B6"/>
          <w:sz w:val="24"/>
          <w:szCs w:val="24"/>
        </w:rPr>
        <w:t xml:space="preserve">2.4 Cashless Facility</w:t>
      </w:r>
    </w:p>
    <w:p>
      <w:r>
        <w:rPr>
          <w:sz w:val="20"/>
          <w:szCs w:val="20"/>
        </w:rPr>
        <w:t xml:space="preserve">A facility where the Insured Person can receive treatment at a Network Hospital without paying the hospitalisation charges upfront. The Insurer directly settles the bill with the hospital, subject to policy terms and conditions and the pre-authorisation approval.</w:t>
      </w:r>
    </w:p>
    <w:p>
      <w:r>
        <w:t xml:space="preserve"/>
      </w:r>
    </w:p>
    <w:p>
      <w:pPr>
        <w:pStyle w:val="Heading2"/>
      </w:pPr>
      <w:r>
        <w:rPr>
          <w:b/>
          <w:bCs/>
          <w:color w:val="2E75B6"/>
          <w:sz w:val="24"/>
          <w:szCs w:val="24"/>
        </w:rPr>
        <w:t xml:space="preserve">2.5 Co-Payment</w:t>
      </w:r>
    </w:p>
    <w:p>
      <w:r>
        <w:rPr>
          <w:sz w:val="20"/>
          <w:szCs w:val="20"/>
        </w:rPr>
        <w:t xml:space="preserve">The fixed percentage of the admissible claim amount that the Insured Person is required to bear before the Insurer pays the remaining amount. Co-payment applies to all claims made by Insured Persons above 60 years of age.</w:t>
      </w:r>
    </w:p>
    <w:p>
      <w:r>
        <w:t xml:space="preserve"/>
      </w:r>
    </w:p>
    <w:p>
      <w:pPr>
        <w:pStyle w:val="Heading1"/>
      </w:pPr>
      <w:r>
        <w:rPr>
          <w:b/>
          <w:bCs/>
          <w:color w:val="1F4E79"/>
          <w:sz w:val="28"/>
          <w:szCs w:val="28"/>
        </w:rPr>
        <w:t xml:space="preserve">SECTION 3 — COVERAGE / WHAT IS COVERED</w:t>
      </w:r>
    </w:p>
    <w:p>
      <w:pPr>
        <w:pStyle w:val="Heading2"/>
      </w:pPr>
      <w:r>
        <w:rPr>
          <w:b/>
          <w:bCs/>
          <w:color w:val="2E75B6"/>
          <w:sz w:val="24"/>
          <w:szCs w:val="24"/>
        </w:rPr>
        <w:t xml:space="preserve">3.1 Inpatient Hospitalisation</w:t>
      </w:r>
    </w:p>
    <w:p>
      <w:r>
        <w:rPr>
          <w:sz w:val="20"/>
          <w:szCs w:val="20"/>
        </w:rPr>
        <w:t xml:space="preserve">Medical expenses incurred for Hospitalisation for illness or injury are covered up to the Sum Insured. Coverage includes:</w:t>
      </w:r>
    </w:p>
    <w:p>
      <w:pPr>
        <w:pStyle w:val="ListParagraph"/>
        <w:numPr>
          <w:ilvl w:val="0"/>
          <w:numId w:val="2"/>
        </w:numPr>
      </w:pPr>
      <w:r>
        <w:rPr>
          <w:sz w:val="20"/>
          <w:szCs w:val="20"/>
        </w:rPr>
        <w:t xml:space="preserve">Room, boarding, and nursing expenses as per sub-limits in Section 3.4</w:t>
      </w:r>
    </w:p>
    <w:p>
      <w:pPr>
        <w:pStyle w:val="ListParagraph"/>
        <w:numPr>
          <w:ilvl w:val="0"/>
          <w:numId w:val="2"/>
        </w:numPr>
      </w:pPr>
      <w:r>
        <w:rPr>
          <w:sz w:val="20"/>
          <w:szCs w:val="20"/>
        </w:rPr>
        <w:t xml:space="preserve">Fees of surgeon, anaesthetist, medical practitioner, consultants, and specialists</w:t>
      </w:r>
    </w:p>
    <w:p>
      <w:pPr>
        <w:pStyle w:val="ListParagraph"/>
        <w:numPr>
          <w:ilvl w:val="0"/>
          <w:numId w:val="2"/>
        </w:numPr>
      </w:pPr>
      <w:r>
        <w:rPr>
          <w:sz w:val="20"/>
          <w:szCs w:val="20"/>
        </w:rPr>
        <w:t xml:space="preserve">Anaesthesia, blood, oxygen, operation theatre charges</w:t>
      </w:r>
    </w:p>
    <w:p>
      <w:pPr>
        <w:pStyle w:val="ListParagraph"/>
        <w:numPr>
          <w:ilvl w:val="0"/>
          <w:numId w:val="2"/>
        </w:numPr>
      </w:pPr>
      <w:r>
        <w:rPr>
          <w:sz w:val="20"/>
          <w:szCs w:val="20"/>
        </w:rPr>
        <w:t xml:space="preserve">Surgical appliances and medicines consumed during hospitalisation</w:t>
      </w:r>
    </w:p>
    <w:p>
      <w:pPr>
        <w:pStyle w:val="ListParagraph"/>
        <w:numPr>
          <w:ilvl w:val="0"/>
          <w:numId w:val="2"/>
        </w:numPr>
      </w:pPr>
      <w:r>
        <w:rPr>
          <w:sz w:val="20"/>
          <w:szCs w:val="20"/>
        </w:rPr>
        <w:t xml:space="preserve">Diagnostic tests, X-rays, dialysis, chemotherapy, and radiotherapy</w:t>
      </w:r>
    </w:p>
    <w:p>
      <w:r>
        <w:t xml:space="preserve"/>
      </w:r>
    </w:p>
    <w:p>
      <w:pPr>
        <w:pStyle w:val="Heading2"/>
      </w:pPr>
      <w:r>
        <w:rPr>
          <w:b/>
          <w:bCs/>
          <w:color w:val="2E75B6"/>
          <w:sz w:val="24"/>
          <w:szCs w:val="24"/>
        </w:rPr>
        <w:t xml:space="preserve">3.2 Pre and Post Hospitalisation</w:t>
      </w:r>
    </w:p>
    <w:p>
      <w:r>
        <w:rPr>
          <w:sz w:val="20"/>
          <w:szCs w:val="20"/>
        </w:rPr>
        <w:t xml:space="preserve">Medical expenses incurred 30 days before hospitalisation and 60 days after discharge are covered, provided the expenses are directly related to the illness/injury for which hospitalisation occurred.</w:t>
      </w:r>
    </w:p>
    <w:p>
      <w:r>
        <w:t xml:space="preserve"/>
      </w:r>
    </w:p>
    <w:p>
      <w:pPr>
        <w:pStyle w:val="Heading2"/>
      </w:pPr>
      <w:r>
        <w:rPr>
          <w:b/>
          <w:bCs/>
          <w:color w:val="2E75B6"/>
          <w:sz w:val="24"/>
          <w:szCs w:val="24"/>
        </w:rPr>
        <w:t xml:space="preserve">3.3 Day Care Procedures</w:t>
      </w:r>
    </w:p>
    <w:p>
      <w:r>
        <w:rPr>
          <w:sz w:val="20"/>
          <w:szCs w:val="20"/>
        </w:rPr>
        <w:t xml:space="preserve">All procedures listed in Annexure III are covered regardless of duration of hospitalisation, provided they are performed at a Network Hospital or Day Care Centre. Key procedures include: Cataract surgery, Chemotherapy, Dialysis, Lithotripsy, Tonsillectomy, and 400+ others.</w:t>
      </w:r>
    </w:p>
    <w:p>
      <w:r>
        <w:t xml:space="preserve"/>
      </w:r>
    </w:p>
    <w:p>
      <w:pPr>
        <w:pStyle w:val="Heading2"/>
      </w:pPr>
      <w:r>
        <w:rPr>
          <w:b/>
          <w:bCs/>
          <w:color w:val="2E75B6"/>
          <w:sz w:val="24"/>
          <w:szCs w:val="24"/>
        </w:rPr>
        <w:t xml:space="preserve">3.4 Sub-Limits Table — Room Rent and Other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Benefit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Sum Insured Rs.5L</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Sum Insured Rs.10L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Room Rent (General Ward)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3,000 per day</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5,000 per day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ICU / ICCU Charges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5,000 per day</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10,000 per day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Cataract Surgery (per eye)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40,000</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60,000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Knee Replacement Surgery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1,50,000 per knee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2,50,000 per knee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Hip Replacement Surgery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1,50,000</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2,50,000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Cardiac Surgery (CABG)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2,50,000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4,00,000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Dialysis (per sitting)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2,500</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3,500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Chemotherapy (per cycle)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50,000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80,000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OPD Benefit (annual)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5,000</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10,000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Annual Health Check-Up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Once per year (free)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Once per year (free)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Ambulance Charges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2,000 per hospitalisation</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3,000 per hospitalisation</w:t>
            </w:r>
          </w:p>
        </w:tc>
      </w:tr>
    </w:tbl>
    <w:p>
      <w:r>
        <w:t xml:space="preserve"/>
      </w:r>
    </w:p>
    <w:p>
      <w:pPr>
        <w:pStyle w:val="Heading2"/>
      </w:pPr>
      <w:r>
        <w:rPr>
          <w:b/>
          <w:bCs/>
          <w:color w:val="2E75B6"/>
          <w:sz w:val="24"/>
          <w:szCs w:val="24"/>
        </w:rPr>
        <w:t xml:space="preserve">3.5 AYUSH Treatment</w:t>
      </w:r>
    </w:p>
    <w:p>
      <w:r>
        <w:rPr>
          <w:sz w:val="20"/>
          <w:szCs w:val="20"/>
        </w:rPr>
        <w:t xml:space="preserve">Treatment under Ayurveda, Yoga, Naturopathy, Unani, Siddha, and Homeopathy (AYUSH) is covered when taken at a Government or NABH-accredited AYUSH Hospital for a minimum 24-hour admission. Coverage is within the overall Sum Insured.</w:t>
      </w:r>
    </w:p>
    <w:p>
      <w:r>
        <w:t xml:space="preserve"/>
      </w:r>
    </w:p>
    <w:p>
      <w:pPr>
        <w:pStyle w:val="Heading2"/>
      </w:pPr>
      <w:r>
        <w:rPr>
          <w:b/>
          <w:bCs/>
          <w:color w:val="2E75B6"/>
          <w:sz w:val="24"/>
          <w:szCs w:val="24"/>
        </w:rPr>
        <w:t xml:space="preserve">3.6 Mental Health Coverage</w:t>
      </w:r>
    </w:p>
    <w:p>
      <w:r>
        <w:rPr>
          <w:sz w:val="20"/>
          <w:szCs w:val="20"/>
        </w:rPr>
        <w:t xml:space="preserve">In compliance with IRDAI Circular IRDAI/HLT/REG/CIR/166/09/2022, mental health conditions are covered on par with physical health conditions. Psychiatric hospitalisation, outpatient psychiatric consultations (within OPD limit), and prescribed mental health medications are covered. Sub-limits specific to mental health treatment are not applicable.</w:t>
      </w:r>
    </w:p>
    <w:p>
      <w:r>
        <w:t xml:space="preserve"/>
      </w:r>
    </w:p>
    <w:p>
      <w:pPr>
        <w:pStyle w:val="Heading2"/>
      </w:pPr>
      <w:r>
        <w:rPr>
          <w:b/>
          <w:bCs/>
          <w:color w:val="2E75B6"/>
          <w:sz w:val="24"/>
          <w:szCs w:val="24"/>
        </w:rPr>
        <w:t xml:space="preserve">3.7 No Claim Bonus (NCB)</w:t>
      </w:r>
    </w:p>
    <w:p>
      <w:r>
        <w:rPr>
          <w:sz w:val="20"/>
          <w:szCs w:val="20"/>
        </w:rPr>
        <w:t xml:space="preserve">For every claim-free policy year, the Sum Insured increases by 10% at renewal at no additional premium. Maximum accumulated NCB is 50% of the original Sum Insured. If a claim is made in any year, the NCB reverts to 0%.</w:t>
      </w:r>
    </w:p>
    <w:p>
      <w:r>
        <w:t xml:space="preserve"/>
      </w:r>
    </w:p>
    <w:p>
      <w:pPr>
        <w:pStyle w:val="Heading1"/>
      </w:pPr>
      <w:r>
        <w:rPr>
          <w:b/>
          <w:bCs/>
          <w:color w:val="1F4E79"/>
          <w:sz w:val="28"/>
          <w:szCs w:val="28"/>
        </w:rPr>
        <w:t xml:space="preserve">SECTION 4 — WAITING PERIODS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Condition / Benefit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Waiting Period</w:t>
            </w:r>
          </w:p>
        </w:tc>
        <w:tc>
          <w:tcPr>
            <w:tcW w:type="dxa" w:w="2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Applicable From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Initial waiting period (all illnesses except accidents)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30 days</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Policy start date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Pre-Existing Diseases (PED)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36 months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Policy start date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Specific Diseases (list below)</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24 months</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Policy start date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Joint Replacement Surgeries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24 months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Policy start date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Cataract Surgery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24 months</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Policy start date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Maternity Benefits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36 months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Policy start date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Accidents and Injuries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No waiting period</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From day 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Mental Health (post Sep 2022 policies)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 waiting period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From day 1</w:t>
            </w:r>
          </w:p>
        </w:tc>
      </w:tr>
    </w:tbl>
    <w:p>
      <w:r>
        <w:t xml:space="preserve"/>
      </w:r>
    </w:p>
    <w:p>
      <w:r>
        <w:rPr>
          <w:sz w:val="20"/>
          <w:szCs w:val="20"/>
        </w:rPr>
        <w:t xml:space="preserve">Specific Diseases with 24-Month Waiting Period include: Hernia, Hydrocele, Fistula, Piles, Sinusitis, Varicose veins, Tonsilitis, Hypertension, Diabetes Mellitus, Tumours (benign), Osteoporosis, and Gall bladder stones.</w:t>
      </w:r>
    </w:p>
    <w:p>
      <w:r>
        <w:t xml:space="preserve"/>
      </w:r>
    </w:p>
    <w:p>
      <w:pPr>
        <w:pStyle w:val="Heading1"/>
      </w:pPr>
      <w:r>
        <w:rPr>
          <w:b/>
          <w:bCs/>
          <w:color w:val="1F4E79"/>
          <w:sz w:val="28"/>
          <w:szCs w:val="28"/>
        </w:rPr>
        <w:t xml:space="preserve">SECTION 5 — EXCLUSIONS / WHAT IS NOT COVERED</w:t>
      </w:r>
    </w:p>
    <w:p>
      <w:pPr>
        <w:pStyle w:val="Heading2"/>
      </w:pPr>
      <w:r>
        <w:rPr>
          <w:b/>
          <w:bCs/>
          <w:color w:val="2E75B6"/>
          <w:sz w:val="24"/>
          <w:szCs w:val="24"/>
        </w:rPr>
        <w:t xml:space="preserve">5.1 Permanent Exclusions</w:t>
      </w:r>
    </w:p>
    <w:p>
      <w:pPr>
        <w:pStyle w:val="ListParagraph"/>
        <w:numPr>
          <w:ilvl w:val="0"/>
          <w:numId w:val="2"/>
        </w:numPr>
      </w:pPr>
      <w:r>
        <w:rPr>
          <w:sz w:val="20"/>
          <w:szCs w:val="20"/>
        </w:rPr>
        <w:t xml:space="preserve">Cosmetic or aesthetic surgery including rhinoplasty, breast augmentation, liposuction, and hair transplant, unless necessitated by a covered accident</w:t>
      </w:r>
    </w:p>
    <w:p>
      <w:pPr>
        <w:pStyle w:val="ListParagraph"/>
        <w:numPr>
          <w:ilvl w:val="0"/>
          <w:numId w:val="2"/>
        </w:numPr>
      </w:pPr>
      <w:r>
        <w:rPr>
          <w:sz w:val="20"/>
          <w:szCs w:val="20"/>
        </w:rPr>
        <w:t xml:space="preserve">Self-inflicted injuries, attempted suicide, or substance abuse</w:t>
      </w:r>
    </w:p>
    <w:p>
      <w:pPr>
        <w:pStyle w:val="ListParagraph"/>
        <w:numPr>
          <w:ilvl w:val="0"/>
          <w:numId w:val="2"/>
        </w:numPr>
      </w:pPr>
      <w:r>
        <w:rPr>
          <w:sz w:val="20"/>
          <w:szCs w:val="20"/>
        </w:rPr>
        <w:t xml:space="preserve">War, invasion, hostilities, or nuclear contamination</w:t>
      </w:r>
    </w:p>
    <w:p>
      <w:pPr>
        <w:pStyle w:val="ListParagraph"/>
        <w:numPr>
          <w:ilvl w:val="0"/>
          <w:numId w:val="2"/>
        </w:numPr>
      </w:pPr>
      <w:r>
        <w:rPr>
          <w:sz w:val="20"/>
          <w:szCs w:val="20"/>
        </w:rPr>
        <w:t xml:space="preserve">Experimental treatments not approved by the Indian Medical Council</w:t>
      </w:r>
    </w:p>
    <w:p>
      <w:pPr>
        <w:pStyle w:val="ListParagraph"/>
        <w:numPr>
          <w:ilvl w:val="0"/>
          <w:numId w:val="2"/>
        </w:numPr>
      </w:pPr>
      <w:r>
        <w:rPr>
          <w:sz w:val="20"/>
          <w:szCs w:val="20"/>
        </w:rPr>
        <w:t xml:space="preserve">Dental treatment and surgery unless required due to accidental injury</w:t>
      </w:r>
    </w:p>
    <w:p>
      <w:pPr>
        <w:pStyle w:val="ListParagraph"/>
        <w:numPr>
          <w:ilvl w:val="0"/>
          <w:numId w:val="2"/>
        </w:numPr>
      </w:pPr>
      <w:r>
        <w:rPr>
          <w:sz w:val="20"/>
          <w:szCs w:val="20"/>
        </w:rPr>
        <w:t xml:space="preserve">Spectacles, contact lenses, hearing aids, and external prosthetics (unless post-surgery)</w:t>
      </w:r>
    </w:p>
    <w:p>
      <w:pPr>
        <w:pStyle w:val="ListParagraph"/>
        <w:numPr>
          <w:ilvl w:val="0"/>
          <w:numId w:val="2"/>
        </w:numPr>
      </w:pPr>
      <w:r>
        <w:rPr>
          <w:sz w:val="20"/>
          <w:szCs w:val="20"/>
        </w:rPr>
        <w:t xml:space="preserve">Treatment for obesity or weight reduction</w:t>
      </w:r>
    </w:p>
    <w:p>
      <w:pPr>
        <w:pStyle w:val="ListParagraph"/>
        <w:numPr>
          <w:ilvl w:val="0"/>
          <w:numId w:val="2"/>
        </w:numPr>
      </w:pPr>
      <w:r>
        <w:rPr>
          <w:sz w:val="20"/>
          <w:szCs w:val="20"/>
        </w:rPr>
        <w:t xml:space="preserve">Treatment outside India</w:t>
      </w:r>
    </w:p>
    <w:p>
      <w:pPr>
        <w:pStyle w:val="ListParagraph"/>
        <w:numPr>
          <w:ilvl w:val="0"/>
          <w:numId w:val="2"/>
        </w:numPr>
      </w:pPr>
      <w:r>
        <w:rPr>
          <w:sz w:val="20"/>
          <w:szCs w:val="20"/>
        </w:rPr>
        <w:t xml:space="preserve">Non-allopathic treatments (except covered AYUSH as per Section 3.5)</w:t>
      </w:r>
    </w:p>
    <w:p>
      <w:r>
        <w:t xml:space="preserve"/>
      </w:r>
    </w:p>
    <w:p>
      <w:pPr>
        <w:pStyle w:val="Heading1"/>
      </w:pPr>
      <w:r>
        <w:rPr>
          <w:b/>
          <w:bCs/>
          <w:color w:val="1F4E79"/>
          <w:sz w:val="28"/>
          <w:szCs w:val="28"/>
        </w:rPr>
        <w:t xml:space="preserve">SECTION 6 — CLAIMS PROCEDURE</w:t>
      </w:r>
    </w:p>
    <w:p>
      <w:pPr>
        <w:pStyle w:val="Heading2"/>
      </w:pPr>
      <w:r>
        <w:rPr>
          <w:b/>
          <w:bCs/>
          <w:color w:val="2E75B6"/>
          <w:sz w:val="24"/>
          <w:szCs w:val="24"/>
        </w:rPr>
        <w:t xml:space="preserve">6.1 Cashless Claims</w:t>
      </w:r>
    </w:p>
    <w:p>
      <w:r>
        <w:rPr>
          <w:sz w:val="20"/>
          <w:szCs w:val="20"/>
        </w:rPr>
        <w:t xml:space="preserve">Step 1: Inform the TPA / Insurance company at least 48 hours before planned hospitalisation, or within 24 hours of emergency admission.</w:t>
      </w:r>
    </w:p>
    <w:p>
      <w:r>
        <w:rPr>
          <w:sz w:val="20"/>
          <w:szCs w:val="20"/>
        </w:rPr>
        <w:t xml:space="preserve">Step 2: Show your Star Health e-card or policy card at the hospital insurance desk.</w:t>
      </w:r>
    </w:p>
    <w:p>
      <w:r>
        <w:rPr>
          <w:sz w:val="20"/>
          <w:szCs w:val="20"/>
        </w:rPr>
        <w:t xml:space="preserve">Step 3: Hospital sends pre-authorisation request to TPA. Approval is given within 2 hours for planned and immediately for emergency.</w:t>
      </w:r>
    </w:p>
    <w:p>
      <w:r>
        <w:rPr>
          <w:sz w:val="20"/>
          <w:szCs w:val="20"/>
        </w:rPr>
        <w:t xml:space="preserve">Step 4: Receive treatment. Sign the final settlement form at discharge. Hospital settles directly with insurer.</w:t>
      </w:r>
    </w:p>
    <w:p>
      <w:r>
        <w:t xml:space="preserve"/>
      </w:r>
    </w:p>
    <w:p>
      <w:pPr>
        <w:pStyle w:val="Heading2"/>
      </w:pPr>
      <w:r>
        <w:rPr>
          <w:b/>
          <w:bCs/>
          <w:color w:val="2E75B6"/>
          <w:sz w:val="24"/>
          <w:szCs w:val="24"/>
        </w:rPr>
        <w:t xml:space="preserve">6.2 Reimbursement Claims</w:t>
      </w:r>
    </w:p>
    <w:p>
      <w:r>
        <w:rPr>
          <w:sz w:val="20"/>
          <w:szCs w:val="20"/>
        </w:rPr>
        <w:t xml:space="preserve">Step 1: Pay hospital bills and collect all original documents.</w:t>
      </w:r>
    </w:p>
    <w:p>
      <w:r>
        <w:rPr>
          <w:sz w:val="20"/>
          <w:szCs w:val="20"/>
        </w:rPr>
        <w:t xml:space="preserve">Step 2: Submit claim within 30 days of discharge.</w:t>
      </w:r>
    </w:p>
    <w:p>
      <w:r>
        <w:rPr>
          <w:sz w:val="20"/>
          <w:szCs w:val="20"/>
        </w:rPr>
        <w:t xml:space="preserve">Step 3: Required documents: Original discharge summary, all original bills and receipts, diagnostic test reports with prescription, and completed claim form signed by treating doctor.</w:t>
      </w:r>
    </w:p>
    <w:p>
      <w:r>
        <w:rPr>
          <w:sz w:val="20"/>
          <w:szCs w:val="20"/>
        </w:rPr>
        <w:t xml:space="preserve">Step 4: Reimbursement processed within 15 working days of receiving complete documents.</w:t>
      </w:r>
    </w:p>
    <w:p>
      <w:r>
        <w:t xml:space="preserve"/>
      </w:r>
    </w:p>
    <w:p>
      <w:pPr>
        <w:pStyle w:val="Heading1"/>
      </w:pPr>
      <w:r>
        <w:rPr>
          <w:b/>
          <w:bCs/>
          <w:color w:val="1F4E79"/>
          <w:sz w:val="28"/>
          <w:szCs w:val="28"/>
        </w:rPr>
        <w:t xml:space="preserve">SECTION 7 — CO-PAYMENT AND DEDUCTIBLES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Insured Person Age</w:t>
            </w:r>
          </w:p>
        </w:tc>
        <w:tc>
          <w:tcPr>
            <w:tcW w:type="dxa" w:w="2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Co-Payment</w:t>
            </w:r>
          </w:p>
        </w:tc>
        <w:tc>
          <w:tcPr>
            <w:tcW w:type="dxa" w:w="2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Who Pays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Below 60 years</w:t>
            </w:r>
          </w:p>
        </w:tc>
        <w:tc>
          <w:tcPr>
            <w:tcW w:type="dxa" w:w="2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0% (NIL)</w:t>
            </w:r>
          </w:p>
        </w:tc>
        <w:tc>
          <w:tcPr>
            <w:tcW w:type="dxa" w:w="2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Insurer pays 100%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60 years and above</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Insured pays 20%, Insurer pays 80%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Non-Network Hospital</w:t>
            </w:r>
          </w:p>
        </w:tc>
        <w:tc>
          <w:tcPr>
            <w:tcW w:type="dxa" w:w="2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20% additional</w:t>
            </w:r>
          </w:p>
        </w:tc>
        <w:tc>
          <w:tcPr>
            <w:tcW w:type="dxa" w:w="2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Always try to use network hospitals</w:t>
            </w:r>
          </w:p>
        </w:tc>
      </w:tr>
    </w:tbl>
    <w:p>
      <w:r>
        <w:t xml:space="preserve"/>
      </w:r>
    </w:p>
    <w:p>
      <w:pPr>
        <w:pStyle w:val="Heading1"/>
      </w:pPr>
      <w:r>
        <w:rPr>
          <w:b/>
          <w:bCs/>
          <w:color w:val="1F4E79"/>
          <w:sz w:val="28"/>
          <w:szCs w:val="28"/>
        </w:rPr>
        <w:t xml:space="preserve">SECTION 8 — GRIEVANCE REDRESSAL</w:t>
      </w:r>
    </w:p>
    <w:p>
      <w:r>
        <w:rPr>
          <w:sz w:val="20"/>
          <w:szCs w:val="20"/>
        </w:rPr>
        <w:t xml:space="preserve">In the event of any grievance regarding claim settlement or policy terms, the following escalation matrix applies:</w:t>
      </w:r>
    </w:p>
    <w:p>
      <w:r>
        <w:rPr>
          <w:sz w:val="20"/>
          <w:szCs w:val="20"/>
        </w:rPr>
        <w:t xml:space="preserve">Level 1: Contact customer care at 1800-425-2255 (toll-free) or email customercare@starhealth.in. Response within 7 working days.</w:t>
      </w:r>
    </w:p>
    <w:p>
      <w:r>
        <w:rPr>
          <w:sz w:val="20"/>
          <w:szCs w:val="20"/>
        </w:rPr>
        <w:t xml:space="preserve">Level 2: Write to the Grievance Officer at grievance@starhealth.in. Resolution within 14 days as per IRDAI mandate.</w:t>
      </w:r>
    </w:p>
    <w:p>
      <w:r>
        <w:rPr>
          <w:sz w:val="20"/>
          <w:szCs w:val="20"/>
        </w:rPr>
        <w:t xml:space="preserve">Level 3: Escalate to IRDAI Integrated Grievance Management System (IGMS) at igms.irda.gov.in if unsatisfied with insurer's resolution.</w:t>
      </w:r>
    </w:p>
    <w:p>
      <w:r>
        <w:rPr>
          <w:sz w:val="20"/>
          <w:szCs w:val="20"/>
        </w:rPr>
        <w:t xml:space="preserve">Level 4: Insurance Ombudsman — a free, independent authority that can overturn insurer decisions. Approach ombudsman in your region within 1 year of the insurer's final reply.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2026-06-16T13:48:49.343Z</dcterms:created>
  <dcterms:modified xsi:type="dcterms:W3CDTF">2026-06-16T13:48:49.355Z</dcterms:modified>
</cp:coreProperties>
</file>

<file path=docProps/custom.xml><?xml version="1.0" encoding="utf-8"?>
<Properties xmlns="http://schemas.openxmlformats.org/officeDocument/2006/custom-properties" xmlns:vt="http://schemas.openxmlformats.org/officeDocument/2006/docPropsVTypes"/>
</file>