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0E7A5F"/>
          <w:sz w:val="50"/>
        </w:rPr>
        <w:t>AEGIS</w:t>
      </w:r>
    </w:p>
    <w:p>
      <w:pPr>
        <w:pStyle w:val="Subtitle"/>
      </w:pPr>
      <w:r>
        <w:t>Context-Aware AI Wash Trading Detection &amp; Investigation Copilot</w:t>
      </w:r>
    </w:p>
    <w:p>
      <w:pPr>
        <w:pStyle w:val="Subtitle"/>
      </w:pPr>
      <w:r>
        <w:t>Product requirements • Technical architecture • ML design • Data model • API contract • Delivery plan • Governance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792"/>
            <w:shd w:fill="E8F5F1"/>
          </w:tcPr>
          <w:p>
            <w:r>
              <w:rPr>
                <w:b/>
                <w:color w:val="0E7A5F"/>
              </w:rPr>
              <w:t xml:space="preserve">CORE PRINCIPLE  </w:t>
            </w:r>
            <w:r>
              <w:t>AI prioritises. Evidence explains. Human decides.</w:t>
            </w:r>
          </w:p>
        </w:tc>
      </w:tr>
    </w:tbl>
    <w:p>
      <w:pPr>
        <w:spacing w:after="20"/>
      </w:pPr>
    </w:p>
    <w:p>
      <w:pPr>
        <w:pStyle w:val="Heading1"/>
      </w:pPr>
      <w:r>
        <w:t>Executive recommendation</w:t>
      </w:r>
    </w:p>
    <w:p>
      <w:r>
        <w:t>Build a hybrid surveillance-intelligence layer that enriches—not replaces—existing rules. Deterministic services calculate trade, position and market metrics; interpretable ML ranks and clusters; graph analytics resolves relationships; a retrieval-constrained LLM organises verified evidence into an investigator-readable pack. The production boundary is explicit: the system prioritises potential concern and never determines that abuse occurred.</w:t>
      </w:r>
    </w:p>
    <w:p>
      <w:pPr>
        <w:pStyle w:val="Heading2"/>
      </w:pPr>
      <w:r>
        <w:t>One-month MVP decision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168"/>
            <w:shd w:fill="DDEFE9"/>
            <w:vAlign w:val="center"/>
          </w:tcPr>
          <w:p>
            <w:r>
              <w:rPr>
                <w:b/>
                <w:sz w:val="17"/>
              </w:rPr>
              <w:t>Build now</w:t>
            </w:r>
          </w:p>
        </w:tc>
        <w:tc>
          <w:tcPr>
            <w:tcW w:type="dxa" w:w="3168"/>
            <w:shd w:fill="DDEFE9"/>
            <w:vAlign w:val="center"/>
          </w:tcPr>
          <w:p>
            <w:r>
              <w:rPr>
                <w:b/>
                <w:sz w:val="17"/>
              </w:rPr>
              <w:t>Build next</w:t>
            </w:r>
          </w:p>
        </w:tc>
        <w:tc>
          <w:tcPr>
            <w:tcW w:type="dxa" w:w="3168"/>
            <w:shd w:fill="DDEFE9"/>
            <w:vAlign w:val="center"/>
          </w:tcPr>
          <w:p>
            <w:r>
              <w:rPr>
                <w:b/>
                <w:sz w:val="17"/>
              </w:rPr>
              <w:t>Defer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Pair/fragment matching; recurrence; position exposure; market context; entity resolution; explainable score; clustering; evidence citations; human review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Peer cohorts; graph visualisation; confidence/data quality; score journey; cross-account coordination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Graph ML; cross-venue expansion; instrument equivalence; order lifecycle; sequence models; automated feedback learning</w:t>
            </w:r>
          </w:p>
        </w:tc>
      </w:tr>
    </w:tbl>
    <w:p>
      <w:pPr>
        <w:spacing w:after="20"/>
      </w:pPr>
    </w:p>
    <w:p>
      <w:pPr>
        <w:pStyle w:val="Heading1"/>
      </w:pPr>
      <w:r>
        <w:t>1. Product requirements</w:t>
      </w:r>
    </w:p>
    <w:p>
      <w:pPr>
        <w:pStyle w:val="Heading2"/>
      </w:pPr>
      <w:r>
        <w:t>Problem and outcome</w:t>
      </w:r>
    </w:p>
    <w:p>
      <w:r>
        <w:t>Rule queues expose atomic conditions but often conceal linked behaviour, economic exposure and legitimate market context. AEGIS compresses related alerts into reproducible cases, makes risk-increasing and risk-reducing evidence visible, and shortens evidence preparation without removing investigator control.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160"/>
            <w:shd w:fill="DDEFE9"/>
            <w:vAlign w:val="center"/>
          </w:tcPr>
          <w:p>
            <w:r>
              <w:rPr>
                <w:b/>
                <w:sz w:val="17"/>
              </w:rPr>
              <w:t>Outcome</w:t>
            </w:r>
          </w:p>
        </w:tc>
        <w:tc>
          <w:tcPr>
            <w:tcW w:type="dxa" w:w="3744"/>
            <w:shd w:fill="DDEFE9"/>
            <w:vAlign w:val="center"/>
          </w:tcPr>
          <w:p>
            <w:r>
              <w:rPr>
                <w:b/>
                <w:sz w:val="17"/>
              </w:rPr>
              <w:t>MVP measure</w:t>
            </w:r>
          </w:p>
        </w:tc>
        <w:tc>
          <w:tcPr>
            <w:tcW w:type="dxa" w:w="3600"/>
            <w:shd w:fill="DDEFE9"/>
            <w:vAlign w:val="center"/>
          </w:tcPr>
          <w:p>
            <w:r>
              <w:rPr>
                <w:b/>
                <w:sz w:val="17"/>
              </w:rPr>
              <w:t>Acceptance target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Effectiveness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Seeded suspicious scenarios ranked near top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100% of four golden scenarios behave as designed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Noise reduction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Raw alerts ÷ clustered cases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Demonstrate case compression; label synthetic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Investigation speed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Manual vs assisted evidence-pack preparation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Measured timed exercise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Auditability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Material claims with valid evidence references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100% citation coverage; 0 unsupported claims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Human control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Disposition workflow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No autonomous close/escalation</w:t>
            </w:r>
          </w:p>
        </w:tc>
      </w:tr>
    </w:tbl>
    <w:p>
      <w:pPr>
        <w:spacing w:after="20"/>
      </w:pPr>
    </w:p>
    <w:p>
      <w:pPr>
        <w:pStyle w:val="Heading2"/>
      </w:pPr>
      <w:r>
        <w:t>Users and jobs</w:t>
      </w:r>
    </w:p>
    <w:p>
      <w:pPr>
        <w:pStyle w:val="ListBullet"/>
      </w:pPr>
      <w:r>
        <w:t>Investigator: understand what happened, why priority changed, what evidence supports each claim and what to review next.</w:t>
      </w:r>
    </w:p>
    <w:p>
      <w:pPr>
        <w:pStyle w:val="ListBullet"/>
      </w:pPr>
      <w:r>
        <w:t>Surveillance manager: allocate work using risk and confidence, monitor compression and validate prioritisation quality.</w:t>
      </w:r>
    </w:p>
    <w:p>
      <w:pPr>
        <w:pStyle w:val="ListBullet"/>
      </w:pPr>
      <w:r>
        <w:t>Model risk/compliance: reproduce a score, inspect versions and verify limitations, testing and change controls.</w:t>
      </w:r>
    </w:p>
    <w:p>
      <w:pPr>
        <w:pStyle w:val="ListBullet"/>
      </w:pPr>
      <w:r>
        <w:t>Data/engineering: trace freshness, missingness, lineage, schema contracts and failed jobs.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Detect repeated opposing trades using one-to-one and one-to-many matching; retain all match candidates and assignment rationale.</w:t>
      </w:r>
    </w:p>
    <w:p>
      <w:pPr>
        <w:pStyle w:val="ListBullet"/>
      </w:pPr>
      <w:r>
        <w:t>Calculate timing, spread/volatility-normalised price similarity, cumulative quantity similarity, recurrence and burst statistics.</w:t>
      </w:r>
    </w:p>
    <w:p>
      <w:pPr>
        <w:pStyle w:val="ListBullet"/>
      </w:pPr>
      <w:r>
        <w:t>Calculate starting, peak and ending positions, gross turnover, holding duration, realised P&amp;L when available and net exposure ratio.</w:t>
      </w:r>
    </w:p>
    <w:p>
      <w:pPr>
        <w:pStyle w:val="ListBullet"/>
      </w:pPr>
      <w:r>
        <w:t>Resolve trusted entity paths across account, client, trader, legal entity and beneficial owner; represent uncertainty explicitly.</w:t>
      </w:r>
    </w:p>
    <w:p>
      <w:pPr>
        <w:pStyle w:val="ListBullet"/>
      </w:pPr>
      <w:r>
        <w:t>Cluster related alerts and explain every include/exclude edge.</w:t>
      </w:r>
    </w:p>
    <w:p>
      <w:pPr>
        <w:pStyle w:val="ListBullet"/>
      </w:pPr>
      <w:r>
        <w:t>Render a 0–100 score, individual positive/negative contributions, score journey, independent confidence and data gaps.</w:t>
      </w:r>
    </w:p>
    <w:p>
      <w:pPr>
        <w:pStyle w:val="ListBullet"/>
      </w:pPr>
      <w:r>
        <w:t>Generate narrative only from verified structured evidence; every material factual sentence must cite source IDs.</w:t>
      </w:r>
    </w:p>
    <w:p>
      <w:pPr>
        <w:pStyle w:val="ListBullet"/>
      </w:pPr>
      <w:r>
        <w:t>Require investigator identity, rationale, timestamp and confirmation for disposition.</w:t>
      </w:r>
    </w:p>
    <w:p>
      <w:pPr>
        <w:pStyle w:val="Heading1"/>
      </w:pPr>
      <w:r>
        <w:t>2. Target architecture and control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12"/>
            <w:shd w:fill="DDEFE9"/>
            <w:vAlign w:val="center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3672"/>
            <w:shd w:fill="DDEFE9"/>
            <w:vAlign w:val="center"/>
          </w:tcPr>
          <w:p>
            <w:r>
              <w:rPr>
                <w:b/>
                <w:sz w:val="17"/>
              </w:rPr>
              <w:t>Responsibility</w:t>
            </w:r>
          </w:p>
        </w:tc>
        <w:tc>
          <w:tcPr>
            <w:tcW w:type="dxa" w:w="4320"/>
            <w:shd w:fill="DDEFE9"/>
            <w:vAlign w:val="center"/>
          </w:tcPr>
          <w:p>
            <w:r>
              <w:rPr>
                <w:b/>
                <w:sz w:val="17"/>
              </w:rPr>
              <w:t>Technology boundary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sz w:val="16"/>
              </w:rPr>
              <w:t>Sources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Trades, orders, positions, market, reference, accounts, ownership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sz w:val="16"/>
              </w:rPr>
              <w:t>Source timestamps, immutable IDs, quality flags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sz w:val="16"/>
              </w:rPr>
              <w:t>Normalisation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Time zones, instruments, currencies, venues, identities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sz w:val="16"/>
              </w:rPr>
              <w:t>Deterministic ETL and schema validation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sz w:val="16"/>
              </w:rPr>
              <w:t>Feature engine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Matching, recurrence, exposure, liquidity, volatility, participation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sz w:val="16"/>
              </w:rPr>
              <w:t>Deterministic, unit-tested calculations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sz w:val="16"/>
              </w:rPr>
              <w:t>ML/statistics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Anomaly, peer deviation, prioritisation, clustering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sz w:val="16"/>
              </w:rPr>
              <w:t>Interpretable models with calibrated outputs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sz w:val="16"/>
              </w:rPr>
              <w:t>Graph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Common control, relationship paths, synchrony, circular motifs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sz w:val="16"/>
              </w:rPr>
              <w:t>Rules + graph algorithms; confidence preserved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sz w:val="16"/>
              </w:rPr>
              <w:t>Evidence/score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Contributions, confidence, lineage, versions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sz w:val="16"/>
              </w:rPr>
              <w:t>Append-only assessment record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sz w:val="16"/>
              </w:rPr>
              <w:t>Copilot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Summary, timeline, rationale, suggested review areas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sz w:val="16"/>
              </w:rPr>
              <w:t>Retrieval-constrained LLM; verified evidence only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40"/>
            </w:pPr>
            <w:r>
              <w:rPr>
                <w:sz w:val="16"/>
              </w:rPr>
              <w:t>Workflow/UI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Queue, case, graph, citations, decision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sz w:val="16"/>
              </w:rPr>
              <w:t>Role-based human control and audit log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792"/>
            <w:shd w:fill="FFF1DA"/>
          </w:tcPr>
          <w:p>
            <w:r>
              <w:rPr>
                <w:b/>
                <w:color w:val="0E7A5F"/>
              </w:rPr>
              <w:t xml:space="preserve">NON-NEGOTIABLE  </w:t>
            </w:r>
            <w:r>
              <w:t>The LLM does not calculate metrics, infer missing facts, set risk, decide abuse, or close cases. No evidence means no factual claim.</w:t>
            </w:r>
          </w:p>
        </w:tc>
      </w:tr>
    </w:tbl>
    <w:p>
      <w:pPr>
        <w:spacing w:after="20"/>
      </w:pPr>
    </w:p>
    <w:p>
      <w:pPr>
        <w:pStyle w:val="Heading2"/>
      </w:pPr>
      <w:r>
        <w:t>Core processing flow</w:t>
      </w:r>
    </w:p>
    <w:p>
      <w:r>
        <w:t>Rule alert → deterministic candidate retrieval → trade/position/market features → behavioural and peer context → entity graph → calibrated risk + confidence → alert clustering → evidence lineage → constrained narrative → human decision.</w:t>
      </w:r>
    </w:p>
    <w:p>
      <w:pPr>
        <w:pStyle w:val="Heading1"/>
      </w:pPr>
      <w:r>
        <w:t>3. Detection and feature engineering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DDEFE9"/>
            <w:vAlign w:val="center"/>
          </w:tcPr>
          <w:p>
            <w:r>
              <w:rPr>
                <w:b/>
                <w:sz w:val="17"/>
              </w:rPr>
              <w:t>Feature family</w:t>
            </w:r>
          </w:p>
        </w:tc>
        <w:tc>
          <w:tcPr>
            <w:tcW w:type="dxa" w:w="5256"/>
            <w:shd w:fill="DDEFE9"/>
            <w:vAlign w:val="center"/>
          </w:tcPr>
          <w:p>
            <w:r>
              <w:rPr>
                <w:b/>
                <w:sz w:val="17"/>
              </w:rPr>
              <w:t>Definition / method</w:t>
            </w:r>
          </w:p>
        </w:tc>
        <w:tc>
          <w:tcPr>
            <w:tcW w:type="dxa" w:w="2448"/>
            <w:shd w:fill="DDEFE9"/>
            <w:vAlign w:val="center"/>
          </w:tcPr>
          <w:p>
            <w:r>
              <w:rPr>
                <w:b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Temporal proximity</w:t>
            </w:r>
          </w:p>
        </w:tc>
        <w:tc>
          <w:tcPr>
            <w:tcW w:type="dxa" w:w="5256"/>
            <w:vAlign w:val="top"/>
          </w:tcPr>
          <w:p>
            <w:pPr>
              <w:spacing w:after="40"/>
            </w:pPr>
            <w:r>
              <w:rPr>
                <w:sz w:val="16"/>
              </w:rPr>
              <w:t>Adaptive percentile of |buy time − sell time| by instrument liquidity, volatility and strategy cohort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Trade IDs; market regime snapshot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Quantity similarity</w:t>
            </w:r>
          </w:p>
        </w:tc>
        <w:tc>
          <w:tcPr>
            <w:tcW w:type="dxa" w:w="5256"/>
            <w:vAlign w:val="top"/>
          </w:tcPr>
          <w:p>
            <w:pPr>
              <w:spacing w:after="40"/>
            </w:pPr>
            <w:r>
              <w:rPr>
                <w:sz w:val="16"/>
              </w:rPr>
              <w:t>min(q_buy,q_sell)/max(q_buy,q_sell); min-cost flow for one-to-many fragments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All assigned trades; residual quantities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Price similarity</w:t>
            </w:r>
          </w:p>
        </w:tc>
        <w:tc>
          <w:tcPr>
            <w:tcW w:type="dxa" w:w="5256"/>
            <w:vAlign w:val="top"/>
          </w:tcPr>
          <w:p>
            <w:pPr>
              <w:spacing w:after="40"/>
            </w:pPr>
            <w:r>
              <w:rPr>
                <w:sz w:val="16"/>
              </w:rPr>
              <w:t>1 − spread/volatility-normalised distance; clipped to [0,1]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Executions; bid/ask; realised volatility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Recurrence</w:t>
            </w:r>
          </w:p>
        </w:tc>
        <w:tc>
          <w:tcPr>
            <w:tcW w:type="dxa" w:w="5256"/>
            <w:vAlign w:val="top"/>
          </w:tcPr>
          <w:p>
            <w:pPr>
              <w:spacing w:after="40"/>
            </w:pPr>
            <w:r>
              <w:rPr>
                <w:sz w:val="16"/>
              </w:rPr>
              <w:t>Cycles, frequency, burstiness, repeated pairs/instruments and recurrence across days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Cycle membership and windows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Position round trip</w:t>
            </w:r>
          </w:p>
        </w:tc>
        <w:tc>
          <w:tcPr>
            <w:tcW w:type="dxa" w:w="5256"/>
            <w:vAlign w:val="top"/>
          </w:tcPr>
          <w:p>
            <w:pPr>
              <w:spacing w:after="40"/>
            </w:pPr>
            <w:r>
              <w:rPr>
                <w:sz w:val="16"/>
              </w:rPr>
              <w:t>abs(end−start)/gross traded volume; peak exposure, turnover and holding time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Trades and position snapshots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Participation</w:t>
            </w:r>
          </w:p>
        </w:tc>
        <w:tc>
          <w:tcPr>
            <w:tcW w:type="dxa" w:w="5256"/>
            <w:vAlign w:val="top"/>
          </w:tcPr>
          <w:p>
            <w:pPr>
              <w:spacing w:after="40"/>
            </w:pPr>
            <w:r>
              <w:rPr>
                <w:sz w:val="16"/>
              </w:rPr>
              <w:t>Participant gross volume / observed market volume, compared with history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Trade and consolidated market volume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Behaviour deviation</w:t>
            </w:r>
          </w:p>
        </w:tc>
        <w:tc>
          <w:tcPr>
            <w:tcW w:type="dxa" w:w="5256"/>
            <w:vAlign w:val="top"/>
          </w:tcPr>
          <w:p>
            <w:pPr>
              <w:spacing w:after="40"/>
            </w:pPr>
            <w:r>
              <w:rPr>
                <w:sz w:val="16"/>
              </w:rPr>
              <w:t>Current feature vector against participant baseline and peer cohort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Historical window and cohort definition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Coordination</w:t>
            </w:r>
          </w:p>
        </w:tc>
        <w:tc>
          <w:tcPr>
            <w:tcW w:type="dxa" w:w="5256"/>
            <w:vAlign w:val="top"/>
          </w:tcPr>
          <w:p>
            <w:pPr>
              <w:spacing w:after="40"/>
            </w:pPr>
            <w:r>
              <w:rPr>
                <w:sz w:val="16"/>
              </w:rPr>
              <w:t>Opposing-side synchrony, repeated edge weight, complementary size and shared control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Trade graph and entity relationship path</w:t>
            </w:r>
          </w:p>
        </w:tc>
      </w:tr>
    </w:tbl>
    <w:p>
      <w:pPr>
        <w:spacing w:after="20"/>
      </w:pPr>
    </w:p>
    <w:p>
      <w:r>
        <w:t>Unknown is a first-class state. Missing market spread, history or ownership does not receive a benign value; it reduces confidence and generates an explicit data-gap record.</w:t>
      </w:r>
    </w:p>
    <w:p>
      <w:pPr>
        <w:pStyle w:val="Heading1"/>
      </w:pPr>
      <w:r>
        <w:t>4. Recommended ML design</w:t>
      </w:r>
    </w:p>
    <w:p>
      <w:pPr>
        <w:pStyle w:val="Heading2"/>
      </w:pPr>
      <w:r>
        <w:t>Champion model: calibrated Explainable Boosting Machine</w:t>
      </w:r>
    </w:p>
    <w:p>
      <w:r>
        <w:t>Use an Explainable Boosting Machine (generalised additive model with learned shape functions and a small, governed set of pairwise interactions) once representative labels exist. It captures non-linear effects such as timing being more important in illiquid instruments while producing per-feature local contributions. Calibrate on out-of-time predictions with isotonic regression. Present the result as a prioritisation score, not the probability that abuse occurred.</w:t>
      </w:r>
    </w:p>
    <w:p>
      <w:pPr>
        <w:pStyle w:val="Heading2"/>
      </w:pPr>
      <w:r>
        <w:t>Supporting algorithms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DDEFE9"/>
            <w:vAlign w:val="center"/>
          </w:tcPr>
          <w:p>
            <w:r>
              <w:rPr>
                <w:b/>
                <w:sz w:val="17"/>
              </w:rPr>
              <w:t>Task</w:t>
            </w:r>
          </w:p>
        </w:tc>
        <w:tc>
          <w:tcPr>
            <w:tcW w:type="dxa" w:w="3672"/>
            <w:shd w:fill="DDEFE9"/>
            <w:vAlign w:val="center"/>
          </w:tcPr>
          <w:p>
            <w:r>
              <w:rPr>
                <w:b/>
                <w:sz w:val="17"/>
              </w:rPr>
              <w:t>MVP algorithm</w:t>
            </w:r>
          </w:p>
        </w:tc>
        <w:tc>
          <w:tcPr>
            <w:tcW w:type="dxa" w:w="4032"/>
            <w:shd w:fill="DDEFE9"/>
            <w:vAlign w:val="center"/>
          </w:tcPr>
          <w:p>
            <w:r>
              <w:rPr>
                <w:b/>
                <w:sz w:val="17"/>
              </w:rPr>
              <w:t>Why / guardrail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Behaviour anomaly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Isolation Forest per peer cohort; percentile transform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Strong for sparse labels; anomaly ≠ abuse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clustering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Constrained agglomerative clustering or HDBSCAN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Case compression; hard cannot-link constraints protect coherence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Entity resolution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Exact rules + probabilistic Fellegi–Sunter linkage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Auditable match fields; no auto-merge below threshold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Trade fragmentation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Min-cost bipartite flow over bounded windows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Deterministic one-to-many economic matching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6"/>
              </w:rPr>
              <w:t>Graph patterns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sz w:val="16"/>
              </w:rPr>
              <w:t>Connected components, weighted edges, cycle motifs, synchrony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Transparent MVP; graph neural nets deferred</w:t>
            </w:r>
          </w:p>
        </w:tc>
      </w:tr>
    </w:tbl>
    <w:p>
      <w:pPr>
        <w:spacing w:after="20"/>
      </w:pPr>
    </w:p>
    <w:p>
      <w:pPr>
        <w:pStyle w:val="Heading2"/>
      </w:pPr>
      <w:r>
        <w:t>Leakage-safe validation and calibration</w:t>
      </w:r>
    </w:p>
    <w:p>
      <w:pPr>
        <w:pStyle w:val="ListBullet"/>
      </w:pPr>
      <w:r>
        <w:t>Use rolling time splits; never random-split repeated events from the same investigation.</w:t>
      </w:r>
    </w:p>
    <w:p>
      <w:pPr>
        <w:pStyle w:val="ListBullet"/>
      </w:pPr>
      <w:r>
        <w:t>Group accounts, related entities and near-duplicate patterns into the same fold.</w:t>
      </w:r>
    </w:p>
    <w:p>
      <w:pPr>
        <w:pStyle w:val="ListBullet"/>
      </w:pPr>
      <w:r>
        <w:t>Measure precision@K, recall on seeded typologies, PR-AUC, Brier/calibration error and ranking stability.</w:t>
      </w:r>
    </w:p>
    <w:p>
      <w:pPr>
        <w:pStyle w:val="ListBullet"/>
      </w:pPr>
      <w:r>
        <w:t>Evaluate slices by asset class, liquidity, volatility, venue, participant type and data-quality tier.</w:t>
      </w:r>
    </w:p>
    <w:p>
      <w:pPr>
        <w:pStyle w:val="ListBullet"/>
      </w:pPr>
      <w:r>
        <w:t>Compare champion against existing queue order and transparent weighted baseline.</w:t>
      </w:r>
    </w:p>
    <w:p>
      <w:pPr>
        <w:pStyle w:val="ListBullet"/>
      </w:pPr>
      <w:r>
        <w:t>Thresholds are management capacity bands (critical/high/medium/low), governed independently from training.</w:t>
      </w:r>
    </w:p>
    <w:p>
      <w:pPr>
        <w:pStyle w:val="Heading2"/>
      </w:pPr>
      <w:r>
        <w:t>Transparent fallback score for month one</w:t>
      </w:r>
    </w:p>
    <w:p>
      <w:r>
        <w:t>Start with a feature-weighted scorecard whose weights are elicited from SMEs, stress-tested on synthetic typologies and sensitivity-tested. Contributions are capped by feature family to prevent correlated evidence double-counting. Market and exposure reducers can lower priority; missing features contribute zero points and lower confidence. Replace only after the calibrated EBM demonstrates superior out-of-time ranking and stability.</w:t>
      </w:r>
    </w:p>
    <w:p>
      <w:pPr>
        <w:pStyle w:val="Heading1"/>
      </w:pPr>
      <w:r>
        <w:t>5. Risk, confidence and evidence lineage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72"/>
            <w:shd w:fill="DDEFE9"/>
            <w:vAlign w:val="center"/>
          </w:tcPr>
          <w:p>
            <w:r>
              <w:rPr>
                <w:b/>
                <w:sz w:val="17"/>
              </w:rPr>
              <w:t>Concept</w:t>
            </w:r>
          </w:p>
        </w:tc>
        <w:tc>
          <w:tcPr>
            <w:tcW w:type="dxa" w:w="7632"/>
            <w:shd w:fill="DDEFE9"/>
            <w:vAlign w:val="center"/>
          </w:tcPr>
          <w:p>
            <w:r>
              <w:rPr>
                <w:b/>
                <w:sz w:val="17"/>
              </w:rPr>
              <w:t>Contract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6"/>
              </w:rPr>
              <w:t>Risk</w:t>
            </w:r>
          </w:p>
        </w:tc>
        <w:tc>
          <w:tcPr>
            <w:tcW w:type="dxa" w:w="7632"/>
            <w:vAlign w:val="top"/>
          </w:tcPr>
          <w:p>
            <w:pPr>
              <w:spacing w:after="40"/>
            </w:pPr>
            <w:r>
              <w:rPr>
                <w:sz w:val="16"/>
              </w:rPr>
              <w:t>0–100 calibrated ranking; additive local contributions; band thresholds versioned.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6"/>
              </w:rPr>
              <w:t>Confidence</w:t>
            </w:r>
          </w:p>
        </w:tc>
        <w:tc>
          <w:tcPr>
            <w:tcW w:type="dxa" w:w="7632"/>
            <w:vAlign w:val="top"/>
          </w:tcPr>
          <w:p>
            <w:pPr>
              <w:spacing w:after="40"/>
            </w:pPr>
            <w:r>
              <w:rPr>
                <w:sz w:val="16"/>
              </w:rPr>
              <w:t>Independent 0–1 measure of completeness, link confidence, freshness and out-of-distribution status.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6"/>
              </w:rPr>
              <w:t>Claim</w:t>
            </w:r>
          </w:p>
        </w:tc>
        <w:tc>
          <w:tcPr>
            <w:tcW w:type="dxa" w:w="7632"/>
            <w:vAlign w:val="top"/>
          </w:tcPr>
          <w:p>
            <w:pPr>
              <w:spacing w:after="40"/>
            </w:pPr>
            <w:r>
              <w:rPr>
                <w:sz w:val="16"/>
              </w:rPr>
              <w:t>Investigator-readable statement generated only from structured metric records.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6"/>
              </w:rPr>
              <w:t>Metric</w:t>
            </w:r>
          </w:p>
        </w:tc>
        <w:tc>
          <w:tcPr>
            <w:tcW w:type="dxa" w:w="7632"/>
            <w:vAlign w:val="top"/>
          </w:tcPr>
          <w:p>
            <w:pPr>
              <w:spacing w:after="40"/>
            </w:pPr>
            <w:r>
              <w:rPr>
                <w:sz w:val="16"/>
              </w:rPr>
              <w:t>Named value, definition, units, window, feature version and missingness.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7632"/>
            <w:vAlign w:val="top"/>
          </w:tcPr>
          <w:p>
            <w:pPr>
              <w:spacing w:after="40"/>
            </w:pPr>
            <w:r>
              <w:rPr>
                <w:sz w:val="16"/>
              </w:rPr>
              <w:t>Immutable source ID, timestamp, URI/hash and fields used.</w:t>
            </w:r>
          </w:p>
        </w:tc>
      </w:tr>
    </w:tbl>
    <w:p>
      <w:pPr>
        <w:spacing w:after="20"/>
      </w:pPr>
    </w:p>
    <w:p>
      <w:pPr>
        <w:pStyle w:val="Heading2"/>
      </w:pPr>
      <w:r>
        <w:t>Example score journey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16"/>
            <w:shd w:fill="DDEFE9"/>
            <w:vAlign w:val="center"/>
          </w:tcPr>
          <w:p>
            <w:r>
              <w:rPr>
                <w:b/>
                <w:sz w:val="17"/>
              </w:rPr>
              <w:t>Stage</w:t>
            </w:r>
          </w:p>
        </w:tc>
        <w:tc>
          <w:tcPr>
            <w:tcW w:type="dxa" w:w="1440"/>
            <w:shd w:fill="DDEFE9"/>
            <w:vAlign w:val="center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6048"/>
            <w:shd w:fill="DDEFE9"/>
            <w:vAlign w:val="center"/>
          </w:tcPr>
          <w:p>
            <w:r>
              <w:rPr>
                <w:b/>
                <w:sz w:val="17"/>
              </w:rPr>
              <w:t>Change reason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6"/>
              </w:rPr>
              <w:t>Initial rule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51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>
              <w:rPr>
                <w:sz w:val="16"/>
              </w:rPr>
              <w:t>Static opposing-side rule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6"/>
              </w:rPr>
              <w:t>Pattern intelligence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67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>
              <w:rPr>
                <w:sz w:val="16"/>
              </w:rPr>
              <w:t>Seven close recurrent cycles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6"/>
              </w:rPr>
              <w:t>Market context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71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>
              <w:rPr>
                <w:sz w:val="16"/>
              </w:rPr>
              <w:t>Illiquid regime increases relevance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6"/>
              </w:rPr>
              <w:t>Economic exposure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83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>
              <w:rPr>
                <w:sz w:val="16"/>
              </w:rPr>
              <w:t>0.3% net exposure ratio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6"/>
              </w:rPr>
              <w:t>Entity intelligence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94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>
              <w:rPr>
                <w:sz w:val="16"/>
              </w:rPr>
              <w:t>Common beneficial owner</w:t>
            </w:r>
          </w:p>
        </w:tc>
      </w:tr>
    </w:tbl>
    <w:p>
      <w:pPr>
        <w:spacing w:after="20"/>
      </w:pPr>
    </w:p>
    <w:p>
      <w:r>
        <w:t>Example claim lineage: “Rapid position round trip” → Net Exposure Ratio = 0.30% → [Trade:T183][Trade:T187][Position:P901][Position:P905].</w:t>
      </w:r>
    </w:p>
    <w:p>
      <w:pPr>
        <w:pStyle w:val="Heading1"/>
      </w:pPr>
      <w:r>
        <w:t>6. Data model and API contract</w:t>
      </w:r>
    </w:p>
    <w:p>
      <w:r>
        <w:t>Core immutable records: trade, order (optional), position snapshot, market snapshot, entity, entity edge and rule alert. Derived/versioned records: feature value, score contribution, cluster membership, claim, evidence reference, generated pack and investigator decision. Every assessment stores model, feature, score, cluster and prompt versions plus as-of timestamps and hashes.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888"/>
            <w:shd w:fill="DDEFE9"/>
            <w:vAlign w:val="center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5616"/>
            <w:shd w:fill="DDEFE9"/>
            <w:vAlign w:val="center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sz w:val="16"/>
              </w:rPr>
              <w:t>POST /v1/alerts/score</w:t>
            </w:r>
          </w:p>
        </w:tc>
        <w:tc>
          <w:tcPr>
            <w:tcW w:type="dxa" w:w="5616"/>
            <w:vAlign w:val="top"/>
          </w:tcPr>
          <w:p>
            <w:pPr>
              <w:spacing w:after="40"/>
            </w:pPr>
            <w:r>
              <w:rPr>
                <w:sz w:val="16"/>
              </w:rPr>
              <w:t>Return score, confidence, contributions, versions and evidence refs.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sz w:val="16"/>
              </w:rPr>
              <w:t>GET /v1/cases</w:t>
            </w:r>
          </w:p>
        </w:tc>
        <w:tc>
          <w:tcPr>
            <w:tcW w:type="dxa" w:w="5616"/>
            <w:vAlign w:val="top"/>
          </w:tcPr>
          <w:p>
            <w:pPr>
              <w:spacing w:after="40"/>
            </w:pPr>
            <w:r>
              <w:rPr>
                <w:sz w:val="16"/>
              </w:rPr>
              <w:t>List prioritised clustered cases with filters.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sz w:val="16"/>
              </w:rPr>
              <w:t>GET /v1/cases/{id}/evidence</w:t>
            </w:r>
          </w:p>
        </w:tc>
        <w:tc>
          <w:tcPr>
            <w:tcW w:type="dxa" w:w="5616"/>
            <w:vAlign w:val="top"/>
          </w:tcPr>
          <w:p>
            <w:pPr>
              <w:spacing w:after="40"/>
            </w:pPr>
            <w:r>
              <w:rPr>
                <w:sz w:val="16"/>
              </w:rPr>
              <w:t>Retrieve claim → metric → source pack and timeline.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sz w:val="16"/>
              </w:rPr>
              <w:t>POST /v1/cases/{id}/decisions</w:t>
            </w:r>
          </w:p>
        </w:tc>
        <w:tc>
          <w:tcPr>
            <w:tcW w:type="dxa" w:w="5616"/>
            <w:vAlign w:val="top"/>
          </w:tcPr>
          <w:p>
            <w:pPr>
              <w:spacing w:after="40"/>
            </w:pPr>
            <w:r>
              <w:rPr>
                <w:sz w:val="16"/>
              </w:rPr>
              <w:t>Record authenticated human disposition and rationale.</w:t>
            </w:r>
          </w:p>
        </w:tc>
      </w:tr>
    </w:tbl>
    <w:p>
      <w:pPr>
        <w:spacing w:after="20"/>
      </w:pPr>
    </w:p>
    <w:p>
      <w:r>
        <w:t>The accompanying package contains a concrete OpenAPI 3.1 contract and SQL reference schema.</w:t>
      </w:r>
    </w:p>
    <w:p>
      <w:pPr>
        <w:pStyle w:val="Heading1"/>
      </w:pPr>
      <w:r>
        <w:t>7. Investigation experience</w:t>
      </w:r>
    </w:p>
    <w:p>
      <w:pPr>
        <w:pStyle w:val="ListBullet"/>
      </w:pPr>
      <w:r>
        <w:t>Queue shows risk, confidence, alert count and primary driver; it prioritises rather than generating extra alerts.</w:t>
      </w:r>
    </w:p>
    <w:p>
      <w:pPr>
        <w:pStyle w:val="ListBullet"/>
      </w:pPr>
      <w:r>
        <w:t>Case header separates risk band from confidence and shows the score journey.</w:t>
      </w:r>
    </w:p>
    <w:p>
      <w:pPr>
        <w:pStyle w:val="ListBullet"/>
      </w:pPr>
      <w:r>
        <w:t>Assessment displays risk-increasing and risk-reducing factors side by side to reduce confirmation bias.</w:t>
      </w:r>
    </w:p>
    <w:p>
      <w:pPr>
        <w:pStyle w:val="ListBullet"/>
      </w:pPr>
      <w:r>
        <w:t>Evidence lineage lets the user click every claim to inspect source records.</w:t>
      </w:r>
    </w:p>
    <w:p>
      <w:pPr>
        <w:pStyle w:val="ListBullet"/>
      </w:pPr>
      <w:r>
        <w:t>Timeline, entity graph, market context, baseline comparison and data gaps remain independently inspectable.</w:t>
      </w:r>
    </w:p>
    <w:p>
      <w:pPr>
        <w:pStyle w:val="ListBullet"/>
      </w:pPr>
      <w:r>
        <w:t>Disposition buttons stage a decision; submission requires investigator rationale and confirmation.</w:t>
      </w:r>
    </w:p>
    <w:p>
      <w:pPr>
        <w:pStyle w:val="Heading2"/>
      </w:pPr>
      <w:r>
        <w:t>Golden demo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DDEFE9"/>
            <w:vAlign w:val="center"/>
          </w:tcPr>
          <w:p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5328"/>
            <w:shd w:fill="DDEFE9"/>
            <w:vAlign w:val="center"/>
          </w:tcPr>
          <w:p>
            <w:r>
              <w:rPr>
                <w:b/>
                <w:sz w:val="17"/>
              </w:rPr>
              <w:t>Moment</w:t>
            </w:r>
          </w:p>
        </w:tc>
        <w:tc>
          <w:tcPr>
            <w:tcW w:type="dxa" w:w="2088"/>
            <w:shd w:fill="DDEFE9"/>
            <w:vAlign w:val="center"/>
          </w:tcPr>
          <w:p>
            <w:r>
              <w:rPr>
                <w:b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Obvious high risk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sz w:val="16"/>
              </w:rPr>
              <w:t>Illiquid, linked accounts, 8s, 99.8% size, 7 cycles, 0.3% exposure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94 HIGH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False-positive reduction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sz w:val="16"/>
              </w:rPr>
              <w:t>Liquid/volatile event, normal strategy, genuine exposure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22 LOW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AI connects dots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sz w:val="16"/>
              </w:rPr>
              <w:t>Common UBO discovered after initial scoring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46 → 87 HIGH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Coordinated network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sz w:val="16"/>
              </w:rPr>
              <w:t>A↔B↔C synchrony looks stronger collectively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Network case prioritised</w:t>
            </w:r>
          </w:p>
        </w:tc>
      </w:tr>
    </w:tbl>
    <w:p>
      <w:pPr>
        <w:spacing w:after="20"/>
      </w:pPr>
    </w:p>
    <w:p>
      <w:pPr>
        <w:pStyle w:val="Heading1"/>
      </w:pPr>
      <w:r>
        <w:t>8. Delivery plan and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936"/>
            <w:shd w:fill="DDEFE9"/>
            <w:vAlign w:val="center"/>
          </w:tcPr>
          <w:p>
            <w:r>
              <w:rPr>
                <w:b/>
                <w:sz w:val="17"/>
              </w:rPr>
              <w:t>Week</w:t>
            </w:r>
          </w:p>
        </w:tc>
        <w:tc>
          <w:tcPr>
            <w:tcW w:type="dxa" w:w="3528"/>
            <w:shd w:fill="DDEFE9"/>
            <w:vAlign w:val="center"/>
          </w:tcPr>
          <w:p>
            <w:r>
              <w:rPr>
                <w:b/>
                <w:sz w:val="17"/>
              </w:rPr>
              <w:t>End-to-end milestone</w:t>
            </w:r>
          </w:p>
        </w:tc>
        <w:tc>
          <w:tcPr>
            <w:tcW w:type="dxa" w:w="5040"/>
            <w:shd w:fill="DDEFE9"/>
            <w:vAlign w:val="center"/>
          </w:tcPr>
          <w:p>
            <w:r>
              <w:rPr>
                <w:b/>
                <w:sz w:val="17"/>
              </w:rPr>
              <w:t>Exit criteria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sz w:val="16"/>
              </w:rPr>
              <w:t>Trade → alert → risk score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6"/>
              </w:rPr>
              <w:t>All deterministic metrics unit-tested; two scenarios run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→ context → prioritised case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6"/>
              </w:rPr>
              <w:t>Market/baseline/entity features; coherent clustering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sz w:val="16"/>
              </w:rPr>
              <w:t>Case → evidence → investigator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6"/>
              </w:rPr>
              <w:t>100% claim citations; human decisions audited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3528"/>
            <w:vAlign w:val="top"/>
          </w:tcPr>
          <w:p>
            <w:pPr>
              <w:spacing w:after="40"/>
            </w:pPr>
            <w:r>
              <w:rPr>
                <w:sz w:val="16"/>
              </w:rPr>
              <w:t>Reliable hackathon story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sz w:val="16"/>
              </w:rPr>
              <w:t>Calibration, QA, KPI timing, resilience and rehearsal</w:t>
            </w:r>
          </w:p>
        </w:tc>
      </w:tr>
    </w:tbl>
    <w:p>
      <w:pPr>
        <w:spacing w:after="20"/>
      </w:pPr>
    </w:p>
    <w:p>
      <w:pPr>
        <w:pStyle w:val="Heading2"/>
      </w:pPr>
      <w:r>
        <w:t>MVP acceptance gates</w:t>
      </w:r>
    </w:p>
    <w:p>
      <w:pPr>
        <w:pStyle w:val="ListBullet"/>
      </w:pPr>
      <w:r>
        <w:t>All four scripted scenarios produce the intended direction and rationale.</w:t>
      </w:r>
    </w:p>
    <w:p>
      <w:pPr>
        <w:pStyle w:val="ListBullet"/>
      </w:pPr>
      <w:r>
        <w:t>Every displayed factual claim resolves to one or more source records.</w:t>
      </w:r>
    </w:p>
    <w:p>
      <w:pPr>
        <w:pStyle w:val="ListBullet"/>
      </w:pPr>
      <w:r>
        <w:t>Re-running a frozen assessment reproduces score, contributions and narrative inputs.</w:t>
      </w:r>
    </w:p>
    <w:p>
      <w:pPr>
        <w:pStyle w:val="ListBullet"/>
      </w:pPr>
      <w:r>
        <w:t>No human decision can be created without authenticated investigator, reason and timestamp.</w:t>
      </w:r>
    </w:p>
    <w:p>
      <w:pPr>
        <w:pStyle w:val="ListBullet"/>
      </w:pPr>
      <w:r>
        <w:t>Failure of ownership or market feeds is visible and affects confidence, not silently risk.</w:t>
      </w:r>
    </w:p>
    <w:p>
      <w:pPr>
        <w:pStyle w:val="ListBullet"/>
      </w:pPr>
      <w:r>
        <w:t>Prototype metrics carry a visible synthetic/prototype label.</w:t>
      </w:r>
    </w:p>
    <w:p>
      <w:pPr>
        <w:pStyle w:val="Heading1"/>
      </w:pPr>
      <w:r>
        <w:t>9. Governance, security and operating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fill="DDEFE9"/>
            <w:vAlign w:val="center"/>
          </w:tcPr>
          <w:p>
            <w:r>
              <w:rPr>
                <w:b/>
                <w:sz w:val="17"/>
              </w:rPr>
              <w:t>Risk</w:t>
            </w:r>
          </w:p>
        </w:tc>
        <w:tc>
          <w:tcPr>
            <w:tcW w:type="dxa" w:w="7056"/>
            <w:shd w:fill="DDEFE9"/>
            <w:vAlign w:val="center"/>
          </w:tcPr>
          <w:p>
            <w:r>
              <w:rPr>
                <w:b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Overreliance / automation bias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>
              <w:rPr>
                <w:sz w:val="16"/>
              </w:rPr>
              <w:t>Two-sided evidence, cautious language, human confirmation and training.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Hallucinated narrative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Schema-constrained retrieval, citation validator and unsupported-claim rejection.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Model drift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>
              <w:rPr>
                <w:sz w:val="16"/>
              </w:rPr>
              <w:t>Time-slice monitoring, PSI/feature drift, calibration and ranking stability.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Entity false merge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>
              <w:rPr>
                <w:sz w:val="16"/>
              </w:rPr>
              <w:t>Confidence thresholds, evidence paths and manual review for uncertain links.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Data leakage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>
              <w:rPr>
                <w:sz w:val="16"/>
              </w:rPr>
              <w:t>Entity-grouped temporal validation and point-in-time features.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Reproducibility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>
              <w:rPr>
                <w:sz w:val="16"/>
              </w:rPr>
              <w:t>Immutable snapshots, versions, hashes, prompts, retrieval results and decisions.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Feedback contamination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>
              <w:rPr>
                <w:sz w:val="16"/>
              </w:rPr>
              <w:t>Governed batch curation; no automatic retraining from one disposition.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Access/privacy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>
              <w:rPr>
                <w:sz w:val="16"/>
              </w:rPr>
              <w:t>Least privilege, row-level entitlements, encryption and immutable audit events.</w:t>
            </w:r>
          </w:p>
        </w:tc>
      </w:tr>
    </w:tbl>
    <w:p>
      <w:pPr>
        <w:spacing w:after="20"/>
      </w:pPr>
    </w:p>
    <w:p>
      <w:pPr>
        <w:pStyle w:val="Heading2"/>
      </w:pPr>
      <w:r>
        <w:t>Model card essentials</w:t>
      </w:r>
    </w:p>
    <w:p>
      <w:pPr>
        <w:pStyle w:val="ListBullet"/>
      </w:pPr>
      <w:r>
        <w:t>Intended use: prioritise existing surveillance alerts and support investigation preparation.</w:t>
      </w:r>
    </w:p>
    <w:p>
      <w:pPr>
        <w:pStyle w:val="ListBullet"/>
      </w:pPr>
      <w:r>
        <w:t>Not intended: determine manipulation, replace legal judgement, autonomously disposition or infer absent facts.</w:t>
      </w:r>
    </w:p>
    <w:p>
      <w:pPr>
        <w:pStyle w:val="ListBullet"/>
      </w:pPr>
      <w:r>
        <w:t>Training/evaluation: labelled cases plus synthetic seeded scenarios, with source provenance and leakage controls.</w:t>
      </w:r>
    </w:p>
    <w:p>
      <w:pPr>
        <w:pStyle w:val="ListBullet"/>
      </w:pPr>
      <w:r>
        <w:t>Limitations: label bias, incomplete ownership, venue coverage, strategy heterogeneity and distribution shift.</w:t>
      </w:r>
    </w:p>
    <w:p>
      <w:pPr>
        <w:pStyle w:val="ListBullet"/>
      </w:pPr>
      <w:r>
        <w:t>Monitoring: data quality, score distribution, calibration, precision@K, investigator override and unsupported claims.</w:t>
      </w:r>
    </w:p>
    <w:p>
      <w:pPr>
        <w:pStyle w:val="Heading1"/>
      </w:pPr>
      <w:r>
        <w:t>10. Measurement and winning narrative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DDEFE9"/>
            <w:vAlign w:val="center"/>
          </w:tcPr>
          <w:p>
            <w:r>
              <w:rPr>
                <w:b/>
                <w:sz w:val="17"/>
              </w:rPr>
              <w:t>KPI</w:t>
            </w:r>
          </w:p>
        </w:tc>
        <w:tc>
          <w:tcPr>
            <w:tcW w:type="dxa" w:w="4392"/>
            <w:shd w:fill="DDEFE9"/>
            <w:vAlign w:val="center"/>
          </w:tcPr>
          <w:p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3024"/>
            <w:shd w:fill="DDEFE9"/>
            <w:vAlign w:val="center"/>
          </w:tcPr>
          <w:p>
            <w:r>
              <w:rPr>
                <w:b/>
                <w:sz w:val="17"/>
              </w:rPr>
              <w:t>Hackathon method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Citation coverage</w:t>
            </w:r>
          </w:p>
        </w:tc>
        <w:tc>
          <w:tcPr>
            <w:tcW w:type="dxa" w:w="4392"/>
            <w:vAlign w:val="top"/>
          </w:tcPr>
          <w:p>
            <w:pPr>
              <w:spacing w:after="40"/>
            </w:pPr>
            <w:r>
              <w:rPr>
                <w:sz w:val="16"/>
              </w:rPr>
              <w:t>Material claims with ≥1 valid citation / material claims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Automated validator; target 100%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Unsupported claims</w:t>
            </w:r>
          </w:p>
        </w:tc>
        <w:tc>
          <w:tcPr>
            <w:tcW w:type="dxa" w:w="4392"/>
            <w:vAlign w:val="top"/>
          </w:tcPr>
          <w:p>
            <w:pPr>
              <w:spacing w:after="40"/>
            </w:pPr>
            <w:r>
              <w:rPr>
                <w:sz w:val="16"/>
              </w:rPr>
              <w:t>Claims without resolvable evidence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Hard gate; target 0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Case compression</w:t>
            </w:r>
          </w:p>
        </w:tc>
        <w:tc>
          <w:tcPr>
            <w:tcW w:type="dxa" w:w="4392"/>
            <w:vAlign w:val="top"/>
          </w:tcPr>
          <w:p>
            <w:pPr>
              <w:spacing w:after="40"/>
            </w:pPr>
            <w:r>
              <w:rPr>
                <w:sz w:val="16"/>
              </w:rPr>
              <w:t>1 − clustered cases/raw alerts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Synthetic run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Prioritisation quality</w:t>
            </w:r>
          </w:p>
        </w:tc>
        <w:tc>
          <w:tcPr>
            <w:tcW w:type="dxa" w:w="4392"/>
            <w:vAlign w:val="top"/>
          </w:tcPr>
          <w:p>
            <w:pPr>
              <w:spacing w:after="40"/>
            </w:pPr>
            <w:r>
              <w:rPr>
                <w:sz w:val="16"/>
              </w:rPr>
              <w:t>Seeded high-risk scenarios in top K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Golden dataset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Preparation time</w:t>
            </w:r>
          </w:p>
        </w:tc>
        <w:tc>
          <w:tcPr>
            <w:tcW w:type="dxa" w:w="4392"/>
            <w:vAlign w:val="top"/>
          </w:tcPr>
          <w:p>
            <w:pPr>
              <w:spacing w:after="40"/>
            </w:pPr>
            <w:r>
              <w:rPr>
                <w:sz w:val="16"/>
              </w:rPr>
              <w:t>Median manual minutes − assisted minutes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Timed investigator exercise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</w:t>
            </w:r>
          </w:p>
        </w:tc>
        <w:tc>
          <w:tcPr>
            <w:tcW w:type="dxa" w:w="4392"/>
            <w:vAlign w:val="top"/>
          </w:tcPr>
          <w:p>
            <w:pPr>
              <w:spacing w:after="40"/>
            </w:pPr>
            <w:r>
              <w:rPr>
                <w:sz w:val="16"/>
              </w:rPr>
              <w:t>Evidence-pack usefulness rating / workflow adoption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Structured feedback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792"/>
            <w:shd w:fill="E8F5F1"/>
          </w:tcPr>
          <w:p>
            <w:r>
              <w:rPr>
                <w:b/>
                <w:color w:val="0E7A5F"/>
              </w:rPr>
              <w:t xml:space="preserve">WINNING POSITIONING  </w:t>
            </w:r>
            <w:r>
              <w:t>“We transform static surveillance alerts into context-aware, explainable and evidence-backed investigation cases.”</w:t>
            </w:r>
          </w:p>
        </w:tc>
      </w:tr>
    </w:tbl>
    <w:p>
      <w:pPr>
        <w:spacing w:after="20"/>
      </w:pPr>
    </w:p>
    <w:p>
      <w:pPr>
        <w:pStyle w:val="Heading2"/>
      </w:pPr>
      <w:r>
        <w:t>Demo close</w:t>
      </w:r>
    </w:p>
    <w:p>
      <w:r>
        <w:t>Ask the judges to choose any case, any score contribution and any narrative sentence. Show the source record, the calculation/version and the human decision boundary. The defensible innovation is not an opaque prediction—it is context plus evidence plus controlled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Hackathon prototype • Synthetic metrics • Human decision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B6C66"/>
        <w:sz w:val="16"/>
      </w:rPr>
      <w:t>AEGIS  |  CONTEXT-AWARE TRADE SURVEILLANCE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b w:val="0"/>
      <w:color w:val="1323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E7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323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E7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59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3231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59" w:lineRule="auto"/>
    </w:pPr>
    <w:rPr>
      <w:rFonts w:asciiTheme="majorHAnsi" w:eastAsiaTheme="majorEastAsia" w:hAnsiTheme="majorHAnsi" w:cstheme="majorBidi" w:ascii="Arial" w:hAnsi="Arial"/>
      <w:b w:val="0"/>
      <w:i/>
      <w:iCs/>
      <w:color w:val="5B6C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