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F4E78"/>
          <w:sz w:val="60"/>
        </w:rPr>
        <w:t>EquityLens</w:t>
      </w:r>
    </w:p>
    <w:p>
      <w:pPr>
        <w:jc w:val="center"/>
      </w:pPr>
      <w:r>
        <w:rPr>
          <w:sz w:val="32"/>
        </w:rPr>
        <w:t>14-Day Prototype Development Plan</w:t>
      </w:r>
    </w:p>
    <w:p>
      <w:pPr>
        <w:jc w:val="center"/>
      </w:pPr>
      <w:r>
        <w:rPr>
          <w:i/>
          <w:color w:val="505050"/>
        </w:rPr>
        <w:t>Explainable ASX analytics and probabilistic market forecasting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tblHeader w:val="true"/>
        </w:trPr>
        <w:tc>
          <w:tcPr>
            <w:tcW w:type="dxa" w:w="388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Implementation and Learning Plan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Shiv Bhosale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Planning baseline v1.0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1 September 2026</w:t>
            </w:r>
          </w:p>
        </w:tc>
      </w:tr>
    </w:tbl>
    <w:p/>
    <w:p>
      <w:pPr>
        <w:jc w:val="center"/>
      </w:pPr>
      <w:r>
        <w:rPr>
          <w:b/>
          <w:sz w:val="18"/>
        </w:rPr>
        <w:t>Educational analytics only. EquityLens will not provide personalised financial advice or guarantee investment returns.</w:t>
      </w:r>
    </w:p>
    <w:p>
      <w:r>
        <w:br w:type="page"/>
      </w:r>
    </w:p>
    <w:p>
      <w:pPr>
        <w:pStyle w:val="Heading1"/>
      </w:pPr>
      <w:r>
        <w:t>1. Plan outcome</w:t>
      </w:r>
    </w:p>
    <w:p>
      <w:r>
        <w:t>At the end of Day 14, a public Streamlit dashboard should analyse DRO.AX plus nine diversified large ASX companies using five years of daily data. It should display price/volume charts, selected technical indicators, a one-day probability of a volatility-adjusted rise, a separate technical outlook and a concise explanation. The prototype is a learning milestone, not the complete product specification.</w:t>
      </w:r>
    </w:p>
    <w:p>
      <w:pPr>
        <w:pStyle w:val="Heading1"/>
      </w:pPr>
      <w:r>
        <w:t>2. Working method</w:t>
      </w:r>
    </w:p>
    <w:p>
      <w:pPr>
        <w:pStyle w:val="ListBullet"/>
      </w:pPr>
      <w:r>
        <w:t>Time budget: approximately one focused hour per day.</w:t>
      </w:r>
    </w:p>
    <w:p>
      <w:pPr>
        <w:pStyle w:val="ListBullet"/>
      </w:pPr>
      <w:r>
        <w:t>AI may propose code, but Shiv manually types, runs, tests and explains it.</w:t>
      </w:r>
    </w:p>
    <w:p>
      <w:pPr>
        <w:pStyle w:val="ListBullet"/>
      </w:pPr>
      <w:r>
        <w:t>Do not copy a full application in one step.</w:t>
      </w:r>
    </w:p>
    <w:p>
      <w:pPr>
        <w:pStyle w:val="ListBullet"/>
      </w:pPr>
      <w:r>
        <w:t>Finish each day with a working checkpoint and Git commit.</w:t>
      </w:r>
    </w:p>
    <w:p>
      <w:pPr>
        <w:pStyle w:val="ListBullet"/>
      </w:pPr>
      <w:r>
        <w:t>If a task overruns, protect correctness and reduce visual polish before removing tests or evaluation.</w:t>
      </w:r>
    </w:p>
    <w:p>
      <w:pPr>
        <w:pStyle w:val="ListBullet"/>
      </w:pPr>
      <w:r>
        <w:t>Keep a short learning log: what was built, what failed, what was fixed and what remains unclear.</w:t>
      </w:r>
    </w:p>
    <w:p>
      <w:pPr>
        <w:pStyle w:val="Heading1"/>
      </w:pPr>
      <w:r>
        <w:t>3. Daily session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58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8064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0-10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Read the goal and explain the concept in your own words.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10-40</w:t>
            </w:r>
          </w:p>
        </w:tc>
        <w:tc>
          <w:tcPr>
            <w:tcW w:type="dxa" w:w="806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Manually implement the day’s code in small blocks and run continuously.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40-52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Run tests/checks and diagnose at least one failure case.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52-57</w:t>
            </w:r>
          </w:p>
        </w:tc>
        <w:tc>
          <w:tcPr>
            <w:tcW w:type="dxa" w:w="8064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Update README or learning log.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57-60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7"/>
              </w:rPr>
              <w:t>Commit with a clear message and write tomorrow’s starting point.</w:t>
            </w:r>
          </w:p>
        </w:tc>
      </w:tr>
    </w:tbl>
    <w:p/>
    <w:p>
      <w:pPr>
        <w:pStyle w:val="Heading1"/>
      </w:pPr>
      <w:r>
        <w:t>4. Fourteen-day schedule</w:t>
      </w:r>
    </w:p>
    <w:p>
      <w:pPr>
        <w:pStyle w:val="Heading2"/>
      </w:pPr>
      <w:r>
        <w:t>Day 1: Repository foundation and project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Create the repository, virtual environment, dependency file, source/test folders, configuration pattern and README scope. Add formatting/linting configuration and a .gitignore.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The app imports successfully; secrets and local data are excluded from Git.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why UI, data, features and models belong in separate modules.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chore: initialise EquityLens project structure</w:t>
            </w:r>
          </w:p>
        </w:tc>
      </w:tr>
    </w:tbl>
    <w:p/>
    <w:p>
      <w:pPr>
        <w:pStyle w:val="Heading2"/>
      </w:pPr>
      <w:r>
        <w:t>Day 2: Data-provider validation and first ingestion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Review current official provider documentation, record limits/licensing, implement the provider interface and download DRO.AX daily data. Standardise the schema.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DRO.AX returns five years of sorted OHLCV data with expected columns.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adjusted close, rate limits and why provider code is isolated.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add ASX market data provider</w:t>
            </w:r>
          </w:p>
        </w:tc>
      </w:tr>
    </w:tbl>
    <w:p/>
    <w:p>
      <w:pPr>
        <w:pStyle w:val="Heading2"/>
      </w:pPr>
      <w:r>
        <w:t>Day 3: Data validation and local caching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Implement ticker normalisation, duplicate checks, OHLC consistency checks, missing-value reporting, minimum-history rules and a lightweight cache.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Repeated requests reuse valid cached data; invalid ticker/data produces a clear exception.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idempotency and why failed data must not replace valid cached data.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validate and cache daily market data</w:t>
            </w:r>
          </w:p>
        </w:tc>
      </w:tr>
    </w:tbl>
    <w:p/>
    <w:p>
      <w:pPr>
        <w:pStyle w:val="Heading2"/>
      </w:pPr>
      <w:r>
        <w:t>Day 4: Trend and momentum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Implement a small initial set: SMA/EMA relationships, RSI, MACD and rate of change. Calculate within ticker and retain warm-up NaNs correctly.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Known rows match manual/library checks; no ticker contamination occurs.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rolling windows, exponential weighting and leakage risks.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add trend and momentum features</w:t>
            </w:r>
          </w:p>
        </w:tc>
      </w:tr>
    </w:tbl>
    <w:p/>
    <w:p>
      <w:pPr>
        <w:pStyle w:val="Heading2"/>
      </w:pPr>
      <w:r>
        <w:t>Day 5: Volatility and volume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Implement Bollinger Band position/width, ATR, rolling volatility, volume change, relative volume and OBV. Keep features scale-aware.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Feature table has documented columns, sensible ranges and no infinite values.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why ratios/standardised features help a shared model.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add volatility and volume features</w:t>
            </w:r>
          </w:p>
        </w:tc>
      </w:tr>
    </w:tbl>
    <w:p/>
    <w:p>
      <w:pPr>
        <w:pStyle w:val="Heading2"/>
      </w:pPr>
      <w:r>
        <w:t>Day 6: Target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Calculate forward one-day return and the volatility-adjusted positive target. Keep target construction separate from inference features.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Last row has no future label; training rows have reproducible labels and thresholds.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why shift direction matters and how leakage could occur.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create volatility adjusted prediction target</w:t>
            </w:r>
          </w:p>
        </w:tc>
      </w:tr>
    </w:tbl>
    <w:p/>
    <w:p>
      <w:pPr>
        <w:pStyle w:val="Heading2"/>
      </w:pPr>
      <w:r>
        <w:t>Day 7: Build the 10-stock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Add DRO.AX and nine diversified large ASX demonstration stocks. Run ingestion, validation and feature generation per ticker, then concatenate stock-day rows.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All 10 tickers have coverage reports; exclusions are documented rather than hidden.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pooled stock-day data and why calculations must group by ticker.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assemble multi stock training dataset</w:t>
            </w:r>
          </w:p>
        </w:tc>
      </w:tr>
    </w:tbl>
    <w:p/>
    <w:p>
      <w:pPr>
        <w:pStyle w:val="Heading2"/>
      </w:pPr>
      <w:r>
        <w:t>Day 8: Chronological splitting and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Create time-based train/validation/test boundaries. Implement majority and historical-positive-rate baselines. Fit preprocessing only on training data.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No training date occurs after a validation/test date; baseline metrics are saved.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why random row splitting leaks market-period information.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add time aware splits and baselines</w:t>
            </w:r>
          </w:p>
        </w:tc>
      </w:tr>
    </w:tbl>
    <w:p/>
    <w:p>
      <w:pPr>
        <w:pStyle w:val="Heading2"/>
      </w:pPr>
      <w:r>
        <w:t>Day 9: Logistic Regression probability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 a pipeline with appropriate imputation/scaling and Logistic Regression. Generate probabilities and calculate Brier score, log loss, ROC-AUC and classification metrics.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Probability values stay within 0-1; metrics beat or honestly compare with baselines.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coefficients, regularisation and why accuracy alone is insufficient.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train interpretable probability model</w:t>
            </w:r>
          </w:p>
        </w:tc>
      </w:tr>
    </w:tbl>
    <w:p/>
    <w:p>
      <w:pPr>
        <w:pStyle w:val="Heading2"/>
      </w:pPr>
      <w:r>
        <w:t>Day 10: Walk-forward evaluation and model artefact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Implement a small expanding-window evaluation, record fold metrics and fit the final prototype model using the approved training period. Save feature order and metadata with the model.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Model loads and predicts with the same feature schema; fold results are reproducible.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holdout discipline and why the test set cannot select the model.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add walk forward model evaluation</w:t>
            </w:r>
          </w:p>
        </w:tc>
      </w:tr>
    </w:tbl>
    <w:p/>
    <w:p>
      <w:pPr>
        <w:pStyle w:val="Heading2"/>
      </w:pPr>
      <w:r>
        <w:t>Day 11: Technical outlook and explanations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Create documented bullish/neutral/bearish indicator rules. Produce three to five plain-language reasons. Add simple Logistic Regression feature contributions.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ML probability and technical outlook can disagree and remain separately displayed.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association versus causation and how contribution signs are interpreted.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add explainable technical outlook</w:t>
            </w:r>
          </w:p>
        </w:tc>
      </w:tr>
    </w:tbl>
    <w:p/>
    <w:p>
      <w:pPr>
        <w:pStyle w:val="Heading2"/>
      </w:pPr>
      <w:r>
        <w:t>Day 12: Streamlit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 ticker selection, summary cards, timestamps, price/volume charts, indicator views, probability display, outlook and explanation. Keep business logic in services.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All 10 demonstration tickers render; invalid input shows a helpful message.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the request flow from UI to service to data/model components.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feat: build Streamlit analysis dashboard</w:t>
            </w:r>
          </w:p>
        </w:tc>
      </w:tr>
    </w:tbl>
    <w:p/>
    <w:p>
      <w:pPr>
        <w:pStyle w:val="Heading2"/>
      </w:pPr>
      <w:r>
        <w:t>Day 13: Testing, reliability and portfolio 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Add focused unit tests for validation, targets and key indicators; test invalid ticker/provider failure; improve README with architecture, screenshots, methodology and limitations.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Tests pass; the README allows another person to run the project and understand its claims.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Explain one bug found by testing and how it was corrected.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test: harden pipeline and document prototype</w:t>
            </w:r>
          </w:p>
        </w:tc>
      </w:tr>
    </w:tbl>
    <w:p/>
    <w:p>
      <w:pPr>
        <w:pStyle w:val="Heading2"/>
      </w:pPr>
      <w:r>
        <w:t>Day 14: Deployment and final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Deploy the Streamlit app, configure secrets securely, test the public URL on all 10 tickers, capture final screenshots and complete the acceptance checklist.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Done when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Public URL works; no secrets are exposed; all prototype definition-of-done items are checked.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You must explain</w:t>
            </w:r>
          </w:p>
        </w:tc>
        <w:tc>
          <w:tcPr>
            <w:tcW w:type="dxa" w:w="7704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Give a two-minute interview explanation without reading the code.</w:t>
            </w:r>
          </w:p>
        </w:tc>
      </w:tr>
      <w:tr>
        <w:tc>
          <w:tcPr>
            <w:tcW w:type="dxa" w:w="194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Suggested commit</w:t>
            </w:r>
          </w:p>
        </w:tc>
        <w:tc>
          <w:tcPr>
            <w:tcW w:type="dxa" w:w="7704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release: deploy EquityLens prototype v0.1</w:t>
            </w:r>
          </w:p>
        </w:tc>
      </w:tr>
    </w:tbl>
    <w:p/>
    <w:p>
      <w:pPr>
        <w:pStyle w:val="Heading1"/>
      </w:pPr>
      <w:r>
        <w:t>5. Prototype technical structure</w:t>
      </w:r>
    </w:p>
    <w:p>
      <w:r>
        <w:t>Recommended repository layout:</w:t>
      </w:r>
    </w:p>
    <w:p>
      <w:pPr>
        <w:spacing w:after="0"/>
      </w:pPr>
      <w:r>
        <w:rPr>
          <w:rFonts w:ascii="Consolas" w:hAnsi="Consolas"/>
          <w:sz w:val="17"/>
        </w:rPr>
        <w:t>equitylens/</w:t>
      </w:r>
    </w:p>
    <w:p>
      <w:pPr>
        <w:spacing w:after="0"/>
      </w:pPr>
      <w:r>
        <w:rPr>
          <w:rFonts w:ascii="Consolas" w:hAnsi="Consolas"/>
          <w:sz w:val="17"/>
        </w:rPr>
        <w:t xml:space="preserve">  app.py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src/equitylens/config.py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src/equitylens/data/provider.py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src/equitylens/data/validation.py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src/equitylens/data/cache.py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src/equitylens/features/indicators.py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src/equitylens/features/targets.py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src/equitylens/models/baselines.py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src/equitylens/models/training.py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src/equitylens/models/evaluation.py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src/equitylens/services/analysis.py</w:t>
      </w:r>
    </w:p>
    <w:p>
      <w:pPr>
        <w:spacing w:after="0"/>
      </w:pPr>
      <w:r>
        <w:rPr>
          <w:rFonts w:ascii="Consolas" w:hAnsi="Consolas"/>
          <w:sz w:val="17"/>
        </w:rPr>
        <w:t xml:space="preserve">  src/equitylens/outlook/rules.py</w:t>
      </w:r>
    </w:p>
    <w:p>
      <w:pPr>
        <w:spacing w:after="0"/>
      </w:pPr>
      <w:r>
        <w:rPr>
          <w:rFonts w:ascii="Consolas" w:hAnsi="Consolas"/>
          <w:sz w:val="17"/>
        </w:rPr>
        <w:t xml:space="preserve">  tests/</w:t>
      </w:r>
    </w:p>
    <w:p>
      <w:pPr>
        <w:spacing w:after="0"/>
      </w:pPr>
      <w:r>
        <w:rPr>
          <w:rFonts w:ascii="Consolas" w:hAnsi="Consolas"/>
          <w:sz w:val="17"/>
        </w:rPr>
        <w:t xml:space="preserve">  docs/</w:t>
      </w:r>
    </w:p>
    <w:p>
      <w:pPr>
        <w:spacing w:after="0"/>
      </w:pPr>
      <w:r>
        <w:rPr>
          <w:rFonts w:ascii="Consolas" w:hAnsi="Consolas"/>
          <w:sz w:val="17"/>
        </w:rPr>
        <w:t xml:space="preserve">  README.md</w:t>
      </w:r>
    </w:p>
    <w:p>
      <w:pPr>
        <w:pStyle w:val="Heading1"/>
      </w:pPr>
      <w:r>
        <w:t>6. Ten-stock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tblHeader w:val="true"/>
        </w:trPr>
        <w:tc>
          <w:tcPr>
            <w:tcW w:type="dxa" w:w="1440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3312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Sector role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40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DRO.AX</w:t>
            </w:r>
          </w:p>
        </w:tc>
        <w:tc>
          <w:tcPr>
            <w:tcW w:type="dxa" w:w="3312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DroneShield</w:t>
            </w:r>
          </w:p>
        </w:tc>
        <w:tc>
          <w:tcPr>
            <w:tcW w:type="dxa" w:w="2448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Technology/defence</w:t>
            </w:r>
          </w:p>
        </w:tc>
        <w:tc>
          <w:tcPr>
            <w:tcW w:type="dxa" w:w="2448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Required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TBD-2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Select current large ASX company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Banking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Verify before Day 7</w:t>
            </w:r>
          </w:p>
        </w:tc>
      </w:tr>
      <w:tr>
        <w:tc>
          <w:tcPr>
            <w:tcW w:type="dxa" w:w="1440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TBD-3</w:t>
            </w:r>
          </w:p>
        </w:tc>
        <w:tc>
          <w:tcPr>
            <w:tcW w:type="dxa" w:w="3312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Select current large ASX company</w:t>
            </w:r>
          </w:p>
        </w:tc>
        <w:tc>
          <w:tcPr>
            <w:tcW w:type="dxa" w:w="2448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Mining</w:t>
            </w:r>
          </w:p>
        </w:tc>
        <w:tc>
          <w:tcPr>
            <w:tcW w:type="dxa" w:w="2448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Verify before Day 7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TBD-4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Select current large ASX company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Healthcare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Verify before Day 7</w:t>
            </w:r>
          </w:p>
        </w:tc>
      </w:tr>
      <w:tr>
        <w:tc>
          <w:tcPr>
            <w:tcW w:type="dxa" w:w="1440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TBD-5</w:t>
            </w:r>
          </w:p>
        </w:tc>
        <w:tc>
          <w:tcPr>
            <w:tcW w:type="dxa" w:w="3312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Select current large ASX company</w:t>
            </w:r>
          </w:p>
        </w:tc>
        <w:tc>
          <w:tcPr>
            <w:tcW w:type="dxa" w:w="2448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Consumer</w:t>
            </w:r>
          </w:p>
        </w:tc>
        <w:tc>
          <w:tcPr>
            <w:tcW w:type="dxa" w:w="2448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Verify before Day 7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TBD-6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Select current large ASX company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Telecommunications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Verify before Day 7</w:t>
            </w:r>
          </w:p>
        </w:tc>
      </w:tr>
      <w:tr>
        <w:tc>
          <w:tcPr>
            <w:tcW w:type="dxa" w:w="1440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TBD-7</w:t>
            </w:r>
          </w:p>
        </w:tc>
        <w:tc>
          <w:tcPr>
            <w:tcW w:type="dxa" w:w="3312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Select current large ASX company</w:t>
            </w:r>
          </w:p>
        </w:tc>
        <w:tc>
          <w:tcPr>
            <w:tcW w:type="dxa" w:w="2448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2448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Verify before Day 7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TBD-8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Select current large ASX company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Real estate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keepNext/>
            </w:pPr>
            <w:r/>
            <w:r>
              <w:rPr>
                <w:b w:val="0"/>
                <w:sz w:val="17"/>
              </w:rPr>
              <w:t>Verify before Day 7</w:t>
            </w:r>
          </w:p>
        </w:tc>
      </w:tr>
      <w:tr>
        <w:tc>
          <w:tcPr>
            <w:tcW w:type="dxa" w:w="1440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TBD-9</w:t>
            </w:r>
          </w:p>
        </w:tc>
        <w:tc>
          <w:tcPr>
            <w:tcW w:type="dxa" w:w="3312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Select current large ASX company</w:t>
            </w:r>
          </w:p>
        </w:tc>
        <w:tc>
          <w:tcPr>
            <w:tcW w:type="dxa" w:w="2448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Energy</w:t>
            </w:r>
          </w:p>
        </w:tc>
        <w:tc>
          <w:tcPr>
            <w:tcW w:type="dxa" w:w="2448"/>
            <w:vAlign w:val="center"/>
          </w:tcPr>
          <w:p>
            <w:pPr>
              <w:keepNext/>
            </w:pPr>
            <w:r/>
            <w:r>
              <w:rPr>
                <w:b w:val="0"/>
                <w:sz w:val="17"/>
              </w:rPr>
              <w:t>Verify before Day 7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TBD-10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Select current large ASX company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Insurance</w:t>
            </w:r>
          </w:p>
        </w:tc>
        <w:tc>
          <w:tcPr>
            <w:tcW w:type="dxa" w:w="2448"/>
            <w:vAlign w:val="center"/>
            <w:shd w:fill="F7F9FB"/>
          </w:tcPr>
          <w:p>
            <w:pPr>
              <w:keepNext w:val="0"/>
            </w:pPr>
            <w:r/>
            <w:r>
              <w:rPr>
                <w:b w:val="0"/>
                <w:sz w:val="17"/>
              </w:rPr>
              <w:t>Verify before Day 7</w:t>
            </w:r>
          </w:p>
        </w:tc>
      </w:tr>
    </w:tbl>
    <w:p/>
    <w:p>
      <w:r>
        <w:t>The exact nine tickers must be selected from current, verifiable information. Record the selection date and avoid inventing or relying on an outdated constituent list.</w:t>
      </w:r>
    </w:p>
    <w:p>
      <w:pPr>
        <w:pStyle w:val="Heading1"/>
      </w:pPr>
      <w:r>
        <w:t>7. Daily understanding checklist</w:t>
      </w:r>
    </w:p>
    <w:p>
      <w:pPr>
        <w:pStyle w:val="ListBullet"/>
      </w:pPr>
      <w:r>
        <w:t>Can I explain what today’s component does without reading the code?</w:t>
      </w:r>
    </w:p>
    <w:p>
      <w:pPr>
        <w:pStyle w:val="ListBullet"/>
      </w:pPr>
      <w:r>
        <w:t>Can I identify its inputs, outputs and failure cases?</w:t>
      </w:r>
    </w:p>
    <w:p>
      <w:pPr>
        <w:pStyle w:val="ListBullet"/>
      </w:pPr>
      <w:r>
        <w:t>Can I change one behaviour safely?</w:t>
      </w:r>
    </w:p>
    <w:p>
      <w:pPr>
        <w:pStyle w:val="ListBullet"/>
      </w:pPr>
      <w:r>
        <w:t>Did I run the code and inspect the output?</w:t>
      </w:r>
    </w:p>
    <w:p>
      <w:pPr>
        <w:pStyle w:val="ListBullet"/>
      </w:pPr>
      <w:r>
        <w:t>Did I write or run at least one meaningful check?</w:t>
      </w:r>
    </w:p>
    <w:p>
      <w:pPr>
        <w:pStyle w:val="ListBullet"/>
      </w:pPr>
      <w:r>
        <w:t>Did I remove secrets and generated data before committing?</w:t>
      </w:r>
    </w:p>
    <w:p>
      <w:pPr>
        <w:pStyle w:val="ListBullet"/>
      </w:pPr>
      <w:r>
        <w:t>Is the repository working at the end of the session?</w:t>
      </w:r>
    </w:p>
    <w:p>
      <w:r>
        <w:br w:type="page"/>
      </w:r>
    </w:p>
    <w:p>
      <w:pPr>
        <w:pStyle w:val="Heading1"/>
      </w:pPr>
      <w:r>
        <w:t>8. Scope-control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If this happens</w:t>
            </w:r>
          </w:p>
        </w:tc>
        <w:tc>
          <w:tcPr>
            <w:tcW w:type="dxa" w:w="676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 provider is unreliable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Switch through the provider interface; do not rewrite downstream modules.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ASX 100 ingestion is too slow</w:t>
            </w:r>
          </w:p>
        </w:tc>
        <w:tc>
          <w:tcPr>
            <w:tcW w:type="dxa" w:w="6768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Use the 10-stock prototype dataset; keep ASX 100 as the next milestone.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Model does not beat baselines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Report the honest result and deploy the analytics tool; do not tune on the test set.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Deployment persistence is limited</w:t>
            </w:r>
          </w:p>
        </w:tc>
        <w:tc>
          <w:tcPr>
            <w:tcW w:type="dxa" w:w="6768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Use cached demonstration data and document the limitation.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 day overruns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Carry only the smallest unfinished testable task; do not add new features.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Charts consume too much time</w:t>
            </w:r>
          </w:p>
        </w:tc>
        <w:tc>
          <w:tcPr>
            <w:tcW w:type="dxa" w:w="6768"/>
            <w:vAlign w:val="center"/>
            <w:shd w:fill="F7F9FB"/>
          </w:tcPr>
          <w:p>
            <w:r/>
            <w:r>
              <w:rPr>
                <w:b w:val="0"/>
                <w:sz w:val="17"/>
              </w:rPr>
              <w:t>Use clear default charts; prioritise correct data and evaluation.</w:t>
            </w:r>
          </w:p>
        </w:tc>
      </w:tr>
    </w:tbl>
    <w:p/>
    <w:p>
      <w:pPr>
        <w:pStyle w:val="Heading1"/>
      </w:pPr>
      <w:r>
        <w:t>9. Final acceptance checklist</w:t>
      </w:r>
    </w:p>
    <w:p>
      <w:pPr>
        <w:pStyle w:val="ListBullet"/>
      </w:pPr>
      <w:r>
        <w:t>Public Streamlit URL opens successfully.</w:t>
      </w:r>
    </w:p>
    <w:p>
      <w:pPr>
        <w:pStyle w:val="ListBullet"/>
      </w:pPr>
      <w:r>
        <w:t>DRO.AX plus nine diversified ASX tickers complete analysis.</w:t>
      </w:r>
    </w:p>
    <w:p>
      <w:pPr>
        <w:pStyle w:val="ListBullet"/>
      </w:pPr>
      <w:r>
        <w:t>Data dates and source are visible.</w:t>
      </w:r>
    </w:p>
    <w:p>
      <w:pPr>
        <w:pStyle w:val="ListBullet"/>
      </w:pPr>
      <w:r>
        <w:t>Five years of history are validated or exceptions documented.</w:t>
      </w:r>
    </w:p>
    <w:p>
      <w:pPr>
        <w:pStyle w:val="ListBullet"/>
      </w:pPr>
      <w:r>
        <w:t>Price, volume and indicator charts render.</w:t>
      </w:r>
    </w:p>
    <w:p>
      <w:pPr>
        <w:pStyle w:val="ListBullet"/>
      </w:pPr>
      <w:r>
        <w:t>One-day probability is labelled and timestamped.</w:t>
      </w:r>
    </w:p>
    <w:p>
      <w:pPr>
        <w:pStyle w:val="ListBullet"/>
      </w:pPr>
      <w:r>
        <w:t>Technical outlook is distinct from the model output.</w:t>
      </w:r>
    </w:p>
    <w:p>
      <w:pPr>
        <w:pStyle w:val="ListBullet"/>
      </w:pPr>
      <w:r>
        <w:t>Invalid tickers and provider errors are handled.</w:t>
      </w:r>
    </w:p>
    <w:p>
      <w:pPr>
        <w:pStyle w:val="ListBullet"/>
      </w:pPr>
      <w:r>
        <w:t>Evaluation uses chronological splits and includes baselines.</w:t>
      </w:r>
    </w:p>
    <w:p>
      <w:pPr>
        <w:pStyle w:val="ListBullet"/>
      </w:pPr>
      <w:r>
        <w:t>No API keys, tokens or connection strings appear in GitHub.</w:t>
      </w:r>
    </w:p>
    <w:p>
      <w:pPr>
        <w:pStyle w:val="ListBullet"/>
      </w:pPr>
      <w:r>
        <w:t>README includes setup, architecture, methods, results and limitations.</w:t>
      </w:r>
    </w:p>
    <w:p>
      <w:pPr>
        <w:pStyle w:val="ListBullet"/>
      </w:pPr>
      <w:r>
        <w:t>Shiv can explain the full pipeline and modify a feature or rule.</w:t>
      </w:r>
    </w:p>
    <w:p>
      <w:pPr>
        <w:pStyle w:val="Heading1"/>
      </w:pPr>
      <w:r>
        <w:t>10. Immediately after Day 14</w:t>
      </w:r>
    </w:p>
    <w:p>
      <w:pPr>
        <w:pStyle w:val="ListNumber"/>
      </w:pPr>
      <w:r>
        <w:t>Expand ingestion and training to the versioned ASX 100 universe.</w:t>
      </w:r>
    </w:p>
    <w:p>
      <w:pPr>
        <w:pStyle w:val="ListNumber"/>
      </w:pPr>
      <w:r>
        <w:t>Add 5-day and 21-day targets and horizon-specific evaluation.</w:t>
      </w:r>
    </w:p>
    <w:p>
      <w:pPr>
        <w:pStyle w:val="ListNumber"/>
      </w:pPr>
      <w:r>
        <w:t>Compare Random Forest, XGBoost and the ARIMA return benchmark.</w:t>
      </w:r>
    </w:p>
    <w:p>
      <w:pPr>
        <w:pStyle w:val="ListNumber"/>
      </w:pPr>
      <w:r>
        <w:t>Implement SQL Server repositories.</w:t>
      </w:r>
    </w:p>
    <w:p>
      <w:pPr>
        <w:pStyle w:val="ListNumber"/>
      </w:pPr>
      <w:r>
        <w:t>Add managed Google sign-in and private persistent watchlists.</w:t>
      </w:r>
    </w:p>
    <w:p>
      <w:pPr>
        <w:pStyle w:val="ListNumber"/>
      </w:pPr>
      <w:r>
        <w:t>Schedule trading-day updates and monthly retraining.</w:t>
      </w:r>
    </w:p>
    <w:p>
      <w:pPr>
        <w:pStyle w:val="ListNumber"/>
      </w:pPr>
      <w:r>
        <w:t>Migrate to FastAPI, React and Azure SQL after the Streamlit MVP is stable.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EquityLens | Planning document | 1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EquityLens - 14-Day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